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is generated from</w:t>
      </w:r>
      <w:r>
        <w:t xml:space="preserve"> </w:t>
      </w:r>
      <w:r>
        <w:t xml:space="preserve">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616,037</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386,428.9457</w:t>
            </w:r>
          </w:p>
        </w:tc>
      </w:tr>
      <w:tr>
        <w:tc>
          <w:tcPr/>
          <w:p>
            <w:pPr>
              <w:pStyle w:val="Compact"/>
            </w:pPr>
            <w:r>
              <w:t xml:space="preserve">5. Equivalent-English growth rate</w:t>
            </w:r>
          </w:p>
        </w:tc>
        <w:tc>
          <w:tcPr/>
          <w:p>
            <w:pPr>
              <w:pStyle w:val="Compact"/>
              <w:jc w:val="right"/>
            </w:pPr>
            <w:r>
              <w:rPr>
                <w:b/>
                <w:bCs/>
              </w:rPr>
              <w:t xml:space="preserve">2.8919%</w:t>
            </w:r>
          </w:p>
        </w:tc>
      </w:tr>
    </w:tbl>
    <w:p>
      <w:pPr>
        <w:pStyle w:val="BodyText"/>
      </w:pPr>
      <w:r>
        <w:t xml:space="preserve">Lines 1 and 2 are your</w:t>
      </w:r>
      <w:r>
        <w:t xml:space="preserve"> </w:t>
      </w:r>
      <w:r>
        <w:rPr>
          <w:rStyle w:val="VerbatimChar"/>
        </w:rPr>
        <w:t xml:space="preserve">merged260821</w:t>
      </w:r>
      <w:r>
        <w:t xml:space="preserve"> </w:t>
      </w:r>
      <w:r>
        <w:t xml:space="preserve">totals, unchanged, since this increment is not yet merged. The</w:t>
      </w:r>
      <w:r>
        <w:t xml:space="preserve"> </w:t>
      </w:r>
      <w:r>
        <w:t xml:space="preserve">increment covers 593,559 distinct domains, of which</w:t>
      </w:r>
      <w:r>
        <w:t xml:space="preserve"> </w:t>
      </w:r>
      <w:r>
        <w:rPr>
          <w:b/>
          <w:bCs/>
        </w:rPr>
        <w:t xml:space="preserve">105,530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32,672</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50,118</w:t>
            </w:r>
          </w:p>
        </w:tc>
        <w:tc>
          <w:tcPr/>
          <w:p>
            <w:pPr>
              <w:pStyle w:val="Compact"/>
              <w:jc w:val="right"/>
            </w:pPr>
            <w:r>
              <w:t xml:space="preserve">21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115,203</w:t>
            </w:r>
          </w:p>
        </w:tc>
        <w:tc>
          <w:tcPr/>
          <w:p>
            <w:pPr>
              <w:pStyle w:val="Compact"/>
              <w:jc w:val="right"/>
            </w:pPr>
            <w:r>
              <w:t xml:space="preserve">449 (0.4%)</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142,438</w:t>
            </w:r>
          </w:p>
        </w:tc>
        <w:tc>
          <w:tcPr/>
          <w:p>
            <w:pPr>
              <w:pStyle w:val="Compact"/>
              <w:jc w:val="right"/>
            </w:pPr>
            <w:r>
              <w:t xml:space="preserve">1,869 (1.3%)</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90,571</w:t>
            </w:r>
          </w:p>
        </w:tc>
        <w:tc>
          <w:tcPr/>
          <w:p>
            <w:pPr>
              <w:pStyle w:val="Compact"/>
              <w:jc w:val="right"/>
            </w:pPr>
            <w:r>
              <w:t xml:space="preserve">2,496 (2.8%)</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185,035</w:t>
            </w:r>
          </w:p>
        </w:tc>
        <w:tc>
          <w:tcPr/>
          <w:p>
            <w:pPr>
              <w:pStyle w:val="Compact"/>
              <w:jc w:val="right"/>
            </w:pPr>
            <w:r>
              <w:t xml:space="preserve">52,071 (28.1%)</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616,037</w:t>
            </w:r>
          </w:p>
        </w:tc>
        <w:tc>
          <w:tcPr/>
          <w:p>
            <w:pPr>
              <w:pStyle w:val="Compact"/>
              <w:jc w:val="right"/>
            </w:pPr>
            <w:r>
              <w:rPr>
                <w:b/>
                <w:bCs/>
              </w:rPr>
              <w:t xml:space="preserve">56,913 (9.2%)</w:t>
            </w:r>
          </w:p>
        </w:tc>
      </w:tr>
    </w:tbl>
    <w:p>
      <w:pPr>
        <w:pStyle w:val="BodyText"/>
      </w:pPr>
      <w:r>
        <w:rPr>
          <w:b/>
          <w:bCs/>
        </w:rPr>
        <w:t xml:space="preserve">Cumulative.</w:t>
      </w:r>
      <w:r>
        <w:t xml:space="preserve"> </w:t>
      </w:r>
      <w:r>
        <w:t xml:space="preserve">Across the 4 rounds shipped so far plus this one, this project has added 5,752,098 domain-year records worth 3,404,434.4625 equivalent-English, which is</w:t>
      </w:r>
      <w:r>
        <w:t xml:space="preserve"> </w:t>
      </w:r>
      <w:r>
        <w:rPr>
          <w:b/>
          <w:bCs/>
        </w:rPr>
        <w:t xml:space="preserve">25.4778%</w:t>
      </w:r>
      <w:r>
        <w:t xml:space="preserve"> </w:t>
      </w:r>
      <w:r>
        <w:t xml:space="preserve">of the 13,362,368.8792 the corpus holds today. Each shipped round is quoted at the figure the reviewer ACCEPTED, which is not always the one it was submitted with: he recalculates against whatever baseline is current when he merges, and records of ours that reached it by another route in the meantime are his, not ours, to count. Round 1 predates the equivalent-English metric, so its records are the reviewer's own confirmed count and the weight beside it is measured over the two releases either side under the unchanged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Round</w:t>
            </w: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1</w:t>
            </w:r>
          </w:p>
        </w:tc>
        <w:tc>
          <w:tcPr/>
          <w:p>
            <w:pPr>
              <w:pStyle w:val="Compact"/>
              <w:jc w:val="right"/>
            </w:pPr>
            <w:r>
              <w:t xml:space="preserve">1,429,524</w:t>
            </w:r>
          </w:p>
        </w:tc>
        <w:tc>
          <w:tcPr/>
          <w:p>
            <w:pPr>
              <w:pStyle w:val="Compact"/>
              <w:jc w:val="right"/>
            </w:pPr>
            <w:r>
              <w:t xml:space="preserve">756,559.2864</w:t>
            </w:r>
          </w:p>
        </w:tc>
      </w:tr>
      <w:tr>
        <w:tc>
          <w:tcPr/>
          <w:p>
            <w:pPr>
              <w:pStyle w:val="Compact"/>
            </w:pPr>
            <w:r>
              <w:t xml:space="preserve">3</w:t>
            </w:r>
          </w:p>
        </w:tc>
        <w:tc>
          <w:tcPr/>
          <w:p>
            <w:pPr>
              <w:pStyle w:val="Compact"/>
              <w:jc w:val="right"/>
            </w:pPr>
            <w:r>
              <w:t xml:space="preserve">151,949</w:t>
            </w:r>
          </w:p>
        </w:tc>
        <w:tc>
          <w:tcPr/>
          <w:p>
            <w:pPr>
              <w:pStyle w:val="Compact"/>
              <w:jc w:val="right"/>
            </w:pPr>
            <w:r>
              <w:t xml:space="preserve">91,814.6880</w:t>
            </w:r>
          </w:p>
        </w:tc>
      </w:tr>
      <w:tr>
        <w:tc>
          <w:tcPr/>
          <w:p>
            <w:pPr>
              <w:pStyle w:val="Compact"/>
            </w:pPr>
            <w:r>
              <w:t xml:space="preserve">4</w:t>
            </w:r>
          </w:p>
        </w:tc>
        <w:tc>
          <w:tcPr/>
          <w:p>
            <w:pPr>
              <w:pStyle w:val="Compact"/>
              <w:jc w:val="right"/>
            </w:pPr>
            <w:r>
              <w:t xml:space="preserve">946,266</w:t>
            </w:r>
          </w:p>
        </w:tc>
        <w:tc>
          <w:tcPr/>
          <w:p>
            <w:pPr>
              <w:pStyle w:val="Compact"/>
              <w:jc w:val="right"/>
            </w:pPr>
            <w:r>
              <w:t xml:space="preserve">603,401.7811</w:t>
            </w:r>
          </w:p>
        </w:tc>
      </w:tr>
      <w:tr>
        <w:tc>
          <w:tcPr/>
          <w:p>
            <w:pPr>
              <w:pStyle w:val="Compact"/>
            </w:pPr>
            <w:r>
              <w:t xml:space="preserve">5</w:t>
            </w:r>
          </w:p>
        </w:tc>
        <w:tc>
          <w:tcPr/>
          <w:p>
            <w:pPr>
              <w:pStyle w:val="Compact"/>
              <w:jc w:val="right"/>
            </w:pPr>
            <w:r>
              <w:t xml:space="preserve">2,608,322</w:t>
            </w:r>
          </w:p>
        </w:tc>
        <w:tc>
          <w:tcPr/>
          <w:p>
            <w:pPr>
              <w:pStyle w:val="Compact"/>
              <w:jc w:val="right"/>
            </w:pPr>
            <w:r>
              <w:t xml:space="preserve">1,566,229.7613</w:t>
            </w:r>
          </w:p>
        </w:tc>
      </w:tr>
      <w:tr>
        <w:tc>
          <w:tcPr/>
          <w:p>
            <w:pPr>
              <w:pStyle w:val="Compact"/>
            </w:pPr>
            <w:r>
              <w:rPr>
                <w:b/>
                <w:bCs/>
              </w:rPr>
              <w:t xml:space="preserve">6, this one</w:t>
            </w:r>
          </w:p>
        </w:tc>
        <w:tc>
          <w:tcPr/>
          <w:p>
            <w:pPr>
              <w:pStyle w:val="Compact"/>
              <w:jc w:val="right"/>
            </w:pPr>
            <w:r>
              <w:rPr>
                <w:b/>
                <w:bCs/>
              </w:rPr>
              <w:t xml:space="preserve">616,037</w:t>
            </w:r>
          </w:p>
        </w:tc>
        <w:tc>
          <w:tcPr/>
          <w:p>
            <w:pPr>
              <w:pStyle w:val="Compact"/>
              <w:jc w:val="right"/>
            </w:pPr>
            <w:r>
              <w:rPr>
                <w:b/>
                <w:bCs/>
              </w:rPr>
              <w:t xml:space="preserve">386,428.9457</w:t>
            </w:r>
          </w:p>
        </w:tc>
      </w:tr>
      <w:tr>
        <w:tc>
          <w:tcPr/>
          <w:p>
            <w:pPr>
              <w:pStyle w:val="Compact"/>
            </w:pPr>
            <w:r>
              <w:rPr>
                <w:b/>
                <w:bCs/>
              </w:rPr>
              <w:t xml:space="preserve">Total</w:t>
            </w:r>
          </w:p>
        </w:tc>
        <w:tc>
          <w:tcPr/>
          <w:p>
            <w:pPr>
              <w:pStyle w:val="Compact"/>
              <w:jc w:val="right"/>
            </w:pPr>
            <w:r>
              <w:rPr>
                <w:b/>
                <w:bCs/>
              </w:rPr>
              <w:t xml:space="preserve">5,752,098</w:t>
            </w:r>
          </w:p>
        </w:tc>
        <w:tc>
          <w:tcPr/>
          <w:p>
            <w:pPr>
              <w:pStyle w:val="Compact"/>
              <w:jc w:val="right"/>
            </w:pPr>
            <w:r>
              <w:rPr>
                <w:b/>
                <w:bCs/>
              </w:rPr>
              <w:t xml:space="preserve">3,404,434.4625</w:t>
            </w:r>
          </w:p>
        </w:tc>
      </w:tr>
    </w:tbl>
    <w:bookmarkEnd w:id="9"/>
    <w:bookmarkStart w:id="10" w:name="X6a19e97a84a4db9290a04f18a9db355bd96abbe"/>
    <w:p>
      <w:pPr>
        <w:pStyle w:val="Heading2"/>
      </w:pPr>
      <w:r>
        <w:t xml:space="preserve">2. What dates each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56,493</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450,588</w:t>
            </w:r>
          </w:p>
        </w:tc>
      </w:tr>
    </w:tbl>
    <w:p>
      <w:pPr>
        <w:pStyle w:val="BodyText"/>
      </w:pPr>
      <w:r>
        <w:rPr>
          <w:b/>
          <w:bCs/>
        </w:rPr>
        <w:t xml:space="preserve">Both routes are self-dating and take no corroboration split.</w:t>
      </w:r>
      <w:r>
        <w:t xml:space="preserve"> </w:t>
      </w:r>
      <w:r>
        <w:t xml:space="preserve">A capture timestamp and a registry</w:t>
      </w:r>
      <w:r>
        <w:t xml:space="preserve"> </w:t>
      </w:r>
      <w:r>
        <w:t xml:space="preserve">creation date are records of the thing itself, not somebody's description of it. The registry route is</w:t>
      </w:r>
      <w:r>
        <w:t xml:space="preserve"> </w:t>
      </w:r>
      <w:r>
        <w:t xml:space="preserve">deliberately under-claimed:</w:t>
      </w:r>
      <w:r>
        <w:t xml:space="preserve"> </w:t>
      </w:r>
      <w:r>
        <w:rPr>
          <w:b/>
          <w:bCs/>
        </w:rPr>
        <w:t xml:space="preserve">a creation date writes its own year and no other</w:t>
      </w:r>
      <w:r>
        <w:t xml:space="preserve">, per your rule 6, so a</w:t>
      </w:r>
      <w:r>
        <w:t xml:space="preserve"> </w:t>
      </w:r>
      <w:r>
        <w:t xml:space="preserve">domain created in 1997 and live in 2001 earns 1997 here and must earn the other four from a capture. The</w:t>
      </w:r>
      <w:r>
        <w:t xml:space="preserve"> </w:t>
      </w:r>
      <w:r>
        <w:t xml:space="preserve">parser emits one evidence row for one year, so a second cannot be written.</w:t>
      </w:r>
    </w:p>
    <w:bookmarkEnd w:id="10"/>
    <w:bookmarkStart w:id="11" w:name="X2a78a83370e505a178182b91686717ca2ed463f"/>
    <w:p>
      <w:pPr>
        <w:pStyle w:val="Heading2"/>
      </w:pPr>
      <w:r>
        <w:t xml:space="preserve">3. Source contributions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450,588</w:t>
            </w:r>
          </w:p>
        </w:tc>
        <w:tc>
          <w:tcPr/>
          <w:p>
            <w:pPr>
              <w:pStyle w:val="Compact"/>
              <w:jc w:val="right"/>
            </w:pPr>
            <w:r>
              <w:t xml:space="preserve">279,455.5</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56,493</w:t>
            </w:r>
          </w:p>
        </w:tc>
        <w:tc>
          <w:tcPr/>
          <w:p>
            <w:pPr>
              <w:pStyle w:val="Compact"/>
              <w:jc w:val="right"/>
            </w:pPr>
            <w:r>
              <w:t xml:space="preserve">50,910.0</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101,465</w:t>
            </w:r>
          </w:p>
        </w:tc>
        <w:tc>
          <w:tcPr/>
          <w:p>
            <w:pPr>
              <w:pStyle w:val="Compact"/>
              <w:jc w:val="right"/>
            </w:pPr>
            <w:r>
              <w:t xml:space="preserve">50,206.3</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4,231</w:t>
            </w:r>
          </w:p>
        </w:tc>
        <w:tc>
          <w:tcPr/>
          <w:p>
            <w:pPr>
              <w:pStyle w:val="Compact"/>
              <w:jc w:val="right"/>
            </w:pPr>
            <w:r>
              <w:t xml:space="preserve">3,165.7</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3,087</w:t>
            </w:r>
          </w:p>
        </w:tc>
        <w:tc>
          <w:tcPr/>
          <w:p>
            <w:pPr>
              <w:pStyle w:val="Compact"/>
              <w:jc w:val="right"/>
            </w:pPr>
            <w:r>
              <w:t xml:space="preserve">2,565.5</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69.6</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32</w:t>
            </w:r>
          </w:p>
        </w:tc>
        <w:tc>
          <w:tcPr/>
          <w:p>
            <w:pPr>
              <w:pStyle w:val="Compact"/>
              <w:jc w:val="right"/>
            </w:pPr>
            <w:r>
              <w:t xml:space="preserve">23.4</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31</w:t>
            </w:r>
          </w:p>
        </w:tc>
        <w:tc>
          <w:tcPr/>
          <w:p>
            <w:pPr>
              <w:pStyle w:val="Compact"/>
              <w:jc w:val="right"/>
            </w:pPr>
            <w:r>
              <w:t xml:space="preserve">17.3</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27</w:t>
            </w:r>
          </w:p>
        </w:tc>
        <w:tc>
          <w:tcPr/>
          <w:p>
            <w:pPr>
              <w:pStyle w:val="Compact"/>
              <w:jc w:val="right"/>
            </w:pPr>
            <w:r>
              <w:t xml:space="preserve">15.7</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616,037</w:t>
            </w:r>
          </w:p>
        </w:tc>
        <w:tc>
          <w:tcPr/>
          <w:p>
            <w:pPr>
              <w:pStyle w:val="Compact"/>
              <w:jc w:val="right"/>
            </w:pPr>
            <w:r>
              <w:rPr>
                <w:b/>
                <w:bCs/>
              </w:rPr>
              <w:t xml:space="preserve">386,428.9</w:t>
            </w:r>
          </w:p>
        </w:tc>
      </w:tr>
    </w:tbl>
    <w:p>
      <w:pPr>
        <w:pStyle w:val="BodyText"/>
      </w:pPr>
      <w:r>
        <w:t xml:space="preserve">Every row is master-eligible. Separately,</w:t>
      </w:r>
      <w:r>
        <w:t xml:space="preserve"> </w:t>
      </w:r>
      <w:r>
        <w:rPr>
          <w:b/>
          <w:bCs/>
        </w:rPr>
        <w:t xml:space="preserve">2,395,383 domains carry no year-specific evidence</w:t>
      </w:r>
      <w:r>
        <w:t xml:space="preserve"> </w:t>
      </w:r>
      <w:r>
        <w:t xml:space="preserve">and</w:t>
      </w:r>
      <w:r>
        <w:t xml:space="preserve"> </w:t>
      </w:r>
      <w:r>
        <w:t xml:space="preserve">ship as</w:t>
      </w:r>
      <w:r>
        <w:t xml:space="preserve"> </w:t>
      </w:r>
      <w:r>
        <w:rPr>
          <w:rStyle w:val="VerbatimChar"/>
        </w:rPr>
        <w:t xml:space="preserve">candidates.txt</w:t>
      </w:r>
      <w:r>
        <w:t xml:space="preserve">, kept out of the annual files.</w:t>
      </w:r>
    </w:p>
    <w:bookmarkEnd w:id="11"/>
    <w:bookmarkStart w:id="12" w:name="Xaccaaaf25b817046eb80f7175ec90ddeecbbb6f"/>
    <w:p>
      <w:pPr>
        <w:pStyle w:val="Heading2"/>
      </w:pPr>
      <w:r>
        <w:t xml:space="preserve">4.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26</w:t>
            </w:r>
          </w:p>
        </w:tc>
        <w:tc>
          <w:tcPr/>
          <w:p>
            <w:pPr>
              <w:pStyle w:val="Compact"/>
              <w:jc w:val="right"/>
            </w:pPr>
            <w:r>
              <w:t xml:space="preserve">1,270,463</w:t>
            </w:r>
          </w:p>
        </w:tc>
        <w:tc>
          <w:tcPr/>
          <w:p>
            <w:pPr>
              <w:pStyle w:val="Compact"/>
              <w:jc w:val="right"/>
            </w:pPr>
            <w:r>
              <w:t xml:space="preserve">1,270,463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56,516</w:t>
            </w:r>
          </w:p>
        </w:tc>
        <w:tc>
          <w:tcPr/>
          <w:p>
            <w:pPr>
              <w:pStyle w:val="Compact"/>
              <w:jc w:val="right"/>
            </w:pPr>
            <w:r>
              <w:t xml:space="preserve">2,454,234</w:t>
            </w:r>
          </w:p>
        </w:tc>
      </w:tr>
      <w:tr>
        <w:tc>
          <w:tcPr/>
          <w:p>
            <w:pPr>
              <w:pStyle w:val="Compact"/>
            </w:pPr>
            <w:r>
              <w:rPr>
                <w:rStyle w:val="VerbatimChar"/>
              </w:rPr>
              <w:t xml:space="preserve">cdx_pool</w:t>
            </w:r>
          </w:p>
        </w:tc>
        <w:tc>
          <w:tcPr/>
          <w:p>
            <w:pPr>
              <w:pStyle w:val="Compact"/>
              <w:jc w:val="right"/>
            </w:pPr>
            <w:r>
              <w:t xml:space="preserve">200</w:t>
            </w:r>
          </w:p>
        </w:tc>
        <w:tc>
          <w:tcPr/>
          <w:p>
            <w:pPr>
              <w:pStyle w:val="Compact"/>
              <w:jc w:val="right"/>
            </w:pPr>
            <w:r>
              <w:t xml:space="preserve">126,345</w:t>
            </w:r>
          </w:p>
        </w:tc>
        <w:tc>
          <w:tcPr/>
          <w:p>
            <w:pPr>
              <w:pStyle w:val="Compact"/>
              <w:jc w:val="right"/>
            </w:pPr>
            <w:r>
              <w:t xml:space="preserve">109,728</w:t>
            </w:r>
          </w:p>
        </w:tc>
        <w:tc>
          <w:tcPr/>
          <w:p>
            <w:pPr>
              <w:pStyle w:val="Compact"/>
              <w:jc w:val="right"/>
            </w:pPr>
            <w:r>
              <w:t xml:space="preserve">86.8%</w:t>
            </w:r>
          </w:p>
        </w:tc>
        <w:tc>
          <w:tcPr/>
          <w:p>
            <w:pPr>
              <w:pStyle w:val="Compact"/>
              <w:jc w:val="right"/>
            </w:pPr>
            <w:r>
              <w:t xml:space="preserve">47.0%</w:t>
            </w:r>
          </w:p>
        </w:tc>
        <w:tc>
          <w:tcPr/>
          <w:p>
            <w:pPr>
              <w:pStyle w:val="Compact"/>
              <w:jc w:val="right"/>
            </w:pPr>
            <w:r>
              <w:t xml:space="preserve">110,077</w:t>
            </w:r>
          </w:p>
        </w:tc>
        <w:tc>
          <w:tcPr/>
          <w:p>
            <w:pPr>
              <w:pStyle w:val="Compact"/>
              <w:jc w:val="right"/>
            </w:pPr>
            <w:r>
              <w:t xml:space="preserve">71,044</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75</w:t>
            </w:r>
          </w:p>
        </w:tc>
        <w:tc>
          <w:tcPr/>
          <w:p>
            <w:pPr>
              <w:pStyle w:val="Compact"/>
              <w:jc w:val="right"/>
            </w:pPr>
            <w:r>
              <w:t xml:space="preserve">35,232</w:t>
            </w:r>
          </w:p>
        </w:tc>
        <w:tc>
          <w:tcPr/>
          <w:p>
            <w:pPr>
              <w:pStyle w:val="Compact"/>
              <w:jc w:val="right"/>
            </w:pPr>
            <w:r>
              <w:t xml:space="preserve">26,844</w:t>
            </w:r>
          </w:p>
        </w:tc>
        <w:tc>
          <w:tcPr/>
          <w:p>
            <w:pPr>
              <w:pStyle w:val="Compact"/>
              <w:jc w:val="right"/>
            </w:pPr>
            <w:r>
              <w:t xml:space="preserve">76.2%</w:t>
            </w:r>
          </w:p>
        </w:tc>
        <w:tc>
          <w:tcPr/>
          <w:p>
            <w:pPr>
              <w:pStyle w:val="Compact"/>
              <w:jc w:val="right"/>
            </w:pPr>
            <w:r>
              <w:t xml:space="preserve">94.8%</w:t>
            </w:r>
          </w:p>
        </w:tc>
        <w:tc>
          <w:tcPr/>
          <w:p>
            <w:pPr>
              <w:pStyle w:val="Compact"/>
              <w:jc w:val="right"/>
            </w:pPr>
            <w:r>
              <w:t xml:space="preserve">28,961</w:t>
            </w:r>
          </w:p>
        </w:tc>
        <w:tc>
          <w:tcPr/>
          <w:p>
            <w:pPr>
              <w:pStyle w:val="Compact"/>
              <w:jc w:val="right"/>
            </w:pPr>
            <w:r>
              <w:t xml:space="preserve">89,561</w:t>
            </w:r>
          </w:p>
        </w:tc>
      </w:tr>
      <w:tr>
        <w:tc>
          <w:tcPr/>
          <w:p>
            <w:pPr>
              <w:pStyle w:val="Compact"/>
            </w:pPr>
            <w:r>
              <w:rPr>
                <w:rStyle w:val="VerbatimChar"/>
              </w:rPr>
              <w:t xml:space="preserve">cdx_edge</w:t>
            </w:r>
          </w:p>
        </w:tc>
        <w:tc>
          <w:tcPr/>
          <w:p>
            <w:pPr>
              <w:pStyle w:val="Compact"/>
              <w:jc w:val="right"/>
            </w:pPr>
            <w:r>
              <w:t xml:space="preserve">49</w:t>
            </w:r>
          </w:p>
        </w:tc>
        <w:tc>
          <w:tcPr/>
          <w:p>
            <w:pPr>
              <w:pStyle w:val="Compact"/>
              <w:jc w:val="right"/>
            </w:pPr>
            <w:r>
              <w:t xml:space="preserve">24,815</w:t>
            </w:r>
          </w:p>
        </w:tc>
        <w:tc>
          <w:tcPr/>
          <w:p>
            <w:pPr>
              <w:pStyle w:val="Compact"/>
              <w:jc w:val="right"/>
            </w:pPr>
            <w:r>
              <w:t xml:space="preserve">23,658</w:t>
            </w:r>
          </w:p>
        </w:tc>
        <w:tc>
          <w:tcPr/>
          <w:p>
            <w:pPr>
              <w:pStyle w:val="Compact"/>
              <w:jc w:val="right"/>
            </w:pPr>
            <w:r>
              <w:t xml:space="preserve">95.3%</w:t>
            </w:r>
          </w:p>
        </w:tc>
        <w:tc>
          <w:tcPr/>
          <w:p>
            <w:pPr>
              <w:pStyle w:val="Compact"/>
              <w:jc w:val="right"/>
            </w:pPr>
            <w:r>
              <w:t xml:space="preserve">85.7%</w:t>
            </w:r>
          </w:p>
        </w:tc>
        <w:tc>
          <w:tcPr/>
          <w:p>
            <w:pPr>
              <w:pStyle w:val="Compact"/>
              <w:jc w:val="right"/>
            </w:pPr>
            <w:r>
              <w:t xml:space="preserve">23,659</w:t>
            </w:r>
          </w:p>
        </w:tc>
        <w:tc>
          <w:tcPr/>
          <w:p>
            <w:pPr>
              <w:pStyle w:val="Compact"/>
              <w:jc w:val="right"/>
            </w:pPr>
            <w:r>
              <w:t xml:space="preserve">47,010</w:t>
            </w:r>
          </w:p>
        </w:tc>
      </w:tr>
      <w:tr>
        <w:tc>
          <w:tcPr/>
          <w:p>
            <w:pPr>
              <w:pStyle w:val="Compact"/>
            </w:pPr>
            <w:r>
              <w:rPr>
                <w:rStyle w:val="VerbatimChar"/>
              </w:rPr>
              <w:t xml:space="preserve">cdx_suffix_diagtest</w:t>
            </w:r>
          </w:p>
        </w:tc>
        <w:tc>
          <w:tcPr/>
          <w:p>
            <w:pPr>
              <w:pStyle w:val="Compact"/>
              <w:jc w:val="right"/>
            </w:pPr>
            <w:r>
              <w:t xml:space="preserve">1</w:t>
            </w:r>
          </w:p>
        </w:tc>
        <w:tc>
          <w:tcPr/>
          <w:p>
            <w:pPr>
              <w:pStyle w:val="Compact"/>
              <w:jc w:val="right"/>
            </w:pPr>
            <w:r>
              <w:t xml:space="preserve">20,552</w:t>
            </w:r>
          </w:p>
        </w:tc>
        <w:tc>
          <w:tcPr/>
          <w:p>
            <w:pPr>
              <w:pStyle w:val="Compact"/>
              <w:jc w:val="right"/>
            </w:pPr>
            <w:r>
              <w:t xml:space="preserve">20,552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20,552</w:t>
            </w:r>
          </w:p>
        </w:tc>
        <w:tc>
          <w:tcPr/>
          <w:p>
            <w:pPr>
              <w:pStyle w:val="Compact"/>
              <w:jc w:val="right"/>
            </w:pPr>
            <w:r>
              <w:t xml:space="preserve">29,459</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cdx_gap3</w:t>
            </w:r>
          </w:p>
        </w:tc>
        <w:tc>
          <w:tcPr/>
          <w:p>
            <w:pPr>
              <w:pStyle w:val="Compact"/>
              <w:jc w:val="right"/>
            </w:pPr>
            <w:r>
              <w:t xml:space="preserve">37</w:t>
            </w:r>
          </w:p>
        </w:tc>
        <w:tc>
          <w:tcPr/>
          <w:p>
            <w:pPr>
              <w:pStyle w:val="Compact"/>
              <w:jc w:val="right"/>
            </w:pPr>
            <w:r>
              <w:t xml:space="preserve">10,608</w:t>
            </w:r>
          </w:p>
        </w:tc>
        <w:tc>
          <w:tcPr/>
          <w:p>
            <w:pPr>
              <w:pStyle w:val="Compact"/>
              <w:jc w:val="right"/>
            </w:pPr>
            <w:r>
              <w:t xml:space="preserve">9,637</w:t>
            </w:r>
          </w:p>
        </w:tc>
        <w:tc>
          <w:tcPr/>
          <w:p>
            <w:pPr>
              <w:pStyle w:val="Compact"/>
              <w:jc w:val="right"/>
            </w:pPr>
            <w:r>
              <w:t xml:space="preserve">90.8%</w:t>
            </w:r>
          </w:p>
        </w:tc>
        <w:tc>
          <w:tcPr/>
          <w:p>
            <w:pPr>
              <w:pStyle w:val="Compact"/>
              <w:jc w:val="right"/>
            </w:pPr>
            <w:r>
              <w:t xml:space="preserve">64.4%</w:t>
            </w:r>
          </w:p>
        </w:tc>
        <w:tc>
          <w:tcPr/>
          <w:p>
            <w:pPr>
              <w:pStyle w:val="Compact"/>
              <w:jc w:val="right"/>
            </w:pPr>
            <w:r>
              <w:t xml:space="preserve">9,641</w:t>
            </w:r>
          </w:p>
        </w:tc>
        <w:tc>
          <w:tcPr/>
          <w:p>
            <w:pPr>
              <w:pStyle w:val="Compact"/>
              <w:jc w:val="right"/>
            </w:pPr>
            <w:r>
              <w:t xml:space="preserve">11,223</w:t>
            </w:r>
          </w:p>
        </w:tc>
      </w:tr>
      <w:tr>
        <w:tc>
          <w:tcPr/>
          <w:p>
            <w:pPr>
              <w:pStyle w:val="Compact"/>
            </w:pPr>
            <w:r>
              <w:rPr>
                <w:rStyle w:val="VerbatimChar"/>
              </w:rPr>
              <w:t xml:space="preserve">cdx_suffix_20260821a</w:t>
            </w:r>
          </w:p>
        </w:tc>
        <w:tc>
          <w:tcPr/>
          <w:p>
            <w:pPr>
              <w:pStyle w:val="Compact"/>
              <w:jc w:val="right"/>
            </w:pPr>
            <w:r>
              <w:t xml:space="preserve">1</w:t>
            </w:r>
          </w:p>
        </w:tc>
        <w:tc>
          <w:tcPr/>
          <w:p>
            <w:pPr>
              <w:pStyle w:val="Compact"/>
              <w:jc w:val="right"/>
            </w:pPr>
            <w:r>
              <w:t xml:space="preserve">10,575</w:t>
            </w:r>
          </w:p>
        </w:tc>
        <w:tc>
          <w:tcPr/>
          <w:p>
            <w:pPr>
              <w:pStyle w:val="Compact"/>
              <w:jc w:val="right"/>
            </w:pPr>
            <w:r>
              <w:t xml:space="preserve">10,575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10,575</w:t>
            </w:r>
          </w:p>
        </w:tc>
        <w:tc>
          <w:tcPr/>
          <w:p>
            <w:pPr>
              <w:pStyle w:val="Compact"/>
              <w:jc w:val="right"/>
            </w:pPr>
            <w:r>
              <w:t xml:space="preserve">13,768</w:t>
            </w:r>
          </w:p>
        </w:tc>
      </w:tr>
      <w:tr>
        <w:tc>
          <w:tcPr/>
          <w:p>
            <w:pPr>
              <w:pStyle w:val="Compact"/>
            </w:pPr>
            <w:r>
              <w:rPr>
                <w:rStyle w:val="VerbatimChar"/>
              </w:rPr>
              <w:t xml:space="preserve">cdx_vedge</w:t>
            </w:r>
          </w:p>
        </w:tc>
        <w:tc>
          <w:tcPr/>
          <w:p>
            <w:pPr>
              <w:pStyle w:val="Compact"/>
              <w:jc w:val="right"/>
            </w:pPr>
            <w:r>
              <w:t xml:space="preserve">9</w:t>
            </w:r>
          </w:p>
        </w:tc>
        <w:tc>
          <w:tcPr/>
          <w:p>
            <w:pPr>
              <w:pStyle w:val="Compact"/>
              <w:jc w:val="right"/>
            </w:pPr>
            <w:r>
              <w:t xml:space="preserve">7,426</w:t>
            </w:r>
          </w:p>
        </w:tc>
        <w:tc>
          <w:tcPr/>
          <w:p>
            <w:pPr>
              <w:pStyle w:val="Compact"/>
              <w:jc w:val="right"/>
            </w:pPr>
            <w:r>
              <w:t xml:space="preserve">7,105</w:t>
            </w:r>
          </w:p>
        </w:tc>
        <w:tc>
          <w:tcPr/>
          <w:p>
            <w:pPr>
              <w:pStyle w:val="Compact"/>
              <w:jc w:val="right"/>
            </w:pPr>
            <w:r>
              <w:t xml:space="preserve">95.7%</w:t>
            </w:r>
          </w:p>
        </w:tc>
        <w:tc>
          <w:tcPr/>
          <w:p>
            <w:pPr>
              <w:pStyle w:val="Compact"/>
              <w:jc w:val="right"/>
            </w:pPr>
            <w:r>
              <w:t xml:space="preserve">68.3%</w:t>
            </w:r>
          </w:p>
        </w:tc>
        <w:tc>
          <w:tcPr/>
          <w:p>
            <w:pPr>
              <w:pStyle w:val="Compact"/>
              <w:jc w:val="right"/>
            </w:pPr>
            <w:r>
              <w:t xml:space="preserve">7,151</w:t>
            </w:r>
          </w:p>
        </w:tc>
        <w:tc>
          <w:tcPr/>
          <w:p>
            <w:pPr>
              <w:pStyle w:val="Compact"/>
              <w:jc w:val="right"/>
            </w:pPr>
            <w:r>
              <w:t xml:space="preserve">10,036</w:t>
            </w:r>
          </w:p>
        </w:tc>
      </w:tr>
      <w:tr>
        <w:tc>
          <w:tcPr/>
          <w:p>
            <w:pPr>
              <w:pStyle w:val="Compact"/>
            </w:pPr>
            <w:r>
              <w:rPr>
                <w:rStyle w:val="VerbatimChar"/>
              </w:rPr>
              <w:t xml:space="preserve">cdx_linkhint</w:t>
            </w:r>
          </w:p>
        </w:tc>
        <w:tc>
          <w:tcPr/>
          <w:p>
            <w:pPr>
              <w:pStyle w:val="Compact"/>
              <w:jc w:val="right"/>
            </w:pPr>
            <w:r>
              <w:t xml:space="preserve">8</w:t>
            </w:r>
          </w:p>
        </w:tc>
        <w:tc>
          <w:tcPr/>
          <w:p>
            <w:pPr>
              <w:pStyle w:val="Compact"/>
              <w:jc w:val="right"/>
            </w:pPr>
            <w:r>
              <w:t xml:space="preserve">6,360</w:t>
            </w:r>
          </w:p>
        </w:tc>
        <w:tc>
          <w:tcPr/>
          <w:p>
            <w:pPr>
              <w:pStyle w:val="Compact"/>
              <w:jc w:val="right"/>
            </w:pPr>
            <w:r>
              <w:t xml:space="preserve">6,315</w:t>
            </w:r>
          </w:p>
        </w:tc>
        <w:tc>
          <w:tcPr/>
          <w:p>
            <w:pPr>
              <w:pStyle w:val="Compact"/>
              <w:jc w:val="right"/>
            </w:pPr>
            <w:r>
              <w:t xml:space="preserve">99.3%</w:t>
            </w:r>
          </w:p>
        </w:tc>
        <w:tc>
          <w:tcPr/>
          <w:p>
            <w:pPr>
              <w:pStyle w:val="Compact"/>
              <w:jc w:val="right"/>
            </w:pPr>
            <w:r>
              <w:t xml:space="preserve">67.3%</w:t>
            </w:r>
          </w:p>
        </w:tc>
        <w:tc>
          <w:tcPr/>
          <w:p>
            <w:pPr>
              <w:pStyle w:val="Compact"/>
              <w:jc w:val="right"/>
            </w:pPr>
            <w:r>
              <w:t xml:space="preserve">6,317</w:t>
            </w:r>
          </w:p>
        </w:tc>
        <w:tc>
          <w:tcPr/>
          <w:p>
            <w:pPr>
              <w:pStyle w:val="Compact"/>
              <w:jc w:val="right"/>
            </w:pPr>
            <w:r>
              <w:t xml:space="preserve">7,035</w:t>
            </w:r>
          </w:p>
        </w:tc>
      </w:tr>
      <w:tr>
        <w:tc>
          <w:tcPr/>
          <w:p>
            <w:pPr>
              <w:pStyle w:val="Compact"/>
            </w:pPr>
            <w:r>
              <w:rPr>
                <w:rStyle w:val="VerbatimChar"/>
              </w:rPr>
              <w:t xml:space="preserve">cdx_gap2</w:t>
            </w:r>
          </w:p>
        </w:tc>
        <w:tc>
          <w:tcPr/>
          <w:p>
            <w:pPr>
              <w:pStyle w:val="Compact"/>
              <w:jc w:val="right"/>
            </w:pPr>
            <w:r>
              <w:t xml:space="preserve">13</w:t>
            </w:r>
          </w:p>
        </w:tc>
        <w:tc>
          <w:tcPr/>
          <w:p>
            <w:pPr>
              <w:pStyle w:val="Compact"/>
              <w:jc w:val="right"/>
            </w:pPr>
            <w:r>
              <w:t xml:space="preserve">3,718</w:t>
            </w:r>
          </w:p>
        </w:tc>
        <w:tc>
          <w:tcPr/>
          <w:p>
            <w:pPr>
              <w:pStyle w:val="Compact"/>
              <w:jc w:val="right"/>
            </w:pPr>
            <w:r>
              <w:t xml:space="preserve">3,309</w:t>
            </w:r>
          </w:p>
        </w:tc>
        <w:tc>
          <w:tcPr/>
          <w:p>
            <w:pPr>
              <w:pStyle w:val="Compact"/>
              <w:jc w:val="right"/>
            </w:pPr>
            <w:r>
              <w:t xml:space="preserve">89.0%</w:t>
            </w:r>
          </w:p>
        </w:tc>
        <w:tc>
          <w:tcPr/>
          <w:p>
            <w:pPr>
              <w:pStyle w:val="Compact"/>
              <w:jc w:val="right"/>
            </w:pPr>
            <w:r>
              <w:t xml:space="preserve">94.5%</w:t>
            </w:r>
          </w:p>
        </w:tc>
        <w:tc>
          <w:tcPr/>
          <w:p>
            <w:pPr>
              <w:pStyle w:val="Compact"/>
              <w:jc w:val="right"/>
            </w:pPr>
            <w:r>
              <w:t xml:space="preserve">3,323</w:t>
            </w:r>
          </w:p>
        </w:tc>
        <w:tc>
          <w:tcPr/>
          <w:p>
            <w:pPr>
              <w:pStyle w:val="Compact"/>
              <w:jc w:val="right"/>
            </w:pPr>
            <w:r>
              <w:t xml:space="preserve">10,420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rStyle w:val="VerbatimChar"/>
              </w:rPr>
              <w:t xml:space="preserve">cdx_edgepilot_b</w:t>
            </w:r>
          </w:p>
        </w:tc>
        <w:tc>
          <w:tcPr/>
          <w:p>
            <w:pPr>
              <w:pStyle w:val="Compact"/>
              <w:jc w:val="right"/>
            </w:pPr>
            <w:r>
              <w:t xml:space="preserve">1</w:t>
            </w:r>
          </w:p>
        </w:tc>
        <w:tc>
          <w:tcPr/>
          <w:p>
            <w:pPr>
              <w:pStyle w:val="Compact"/>
              <w:jc w:val="right"/>
            </w:pPr>
            <w:r>
              <w:t xml:space="preserve">155</w:t>
            </w:r>
          </w:p>
        </w:tc>
        <w:tc>
          <w:tcPr/>
          <w:p>
            <w:pPr>
              <w:pStyle w:val="Compact"/>
              <w:jc w:val="right"/>
            </w:pPr>
            <w:r>
              <w:t xml:space="preserve">141</w:t>
            </w:r>
          </w:p>
        </w:tc>
        <w:tc>
          <w:tcPr/>
          <w:p>
            <w:pPr>
              <w:pStyle w:val="Compact"/>
              <w:jc w:val="right"/>
            </w:pPr>
            <w:r>
              <w:t xml:space="preserve">91.0%</w:t>
            </w:r>
          </w:p>
        </w:tc>
        <w:tc>
          <w:tcPr/>
          <w:p>
            <w:pPr>
              <w:pStyle w:val="Compact"/>
              <w:jc w:val="right"/>
            </w:pPr>
            <w:r>
              <w:t xml:space="preserve">80.9%</w:t>
            </w:r>
          </w:p>
        </w:tc>
        <w:tc>
          <w:tcPr/>
          <w:p>
            <w:pPr>
              <w:pStyle w:val="Compact"/>
              <w:jc w:val="right"/>
            </w:pPr>
            <w:r>
              <w:t xml:space="preserve">155</w:t>
            </w:r>
          </w:p>
        </w:tc>
        <w:tc>
          <w:tcPr/>
          <w:p>
            <w:pPr>
              <w:pStyle w:val="Compact"/>
              <w:jc w:val="right"/>
            </w:pPr>
            <w:r>
              <w:t xml:space="preserve">325</w:t>
            </w:r>
          </w:p>
        </w:tc>
      </w:tr>
      <w:tr>
        <w:tc>
          <w:tcPr/>
          <w:p>
            <w:pPr>
              <w:pStyle w:val="Compact"/>
            </w:pPr>
            <w:r>
              <w:rPr>
                <w:b/>
                <w:bCs/>
              </w:rPr>
              <w:t xml:space="preserve">All</w:t>
            </w:r>
          </w:p>
        </w:tc>
        <w:tc>
          <w:tcPr/>
          <w:p>
            <w:pPr>
              <w:pStyle w:val="Compact"/>
              <w:jc w:val="right"/>
            </w:pPr>
            <w:r>
              <w:rPr>
                <w:b/>
                <w:bCs/>
              </w:rPr>
              <w:t xml:space="preserve">856</w:t>
            </w:r>
          </w:p>
        </w:tc>
        <w:tc>
          <w:tcPr/>
          <w:p>
            <w:pPr>
              <w:pStyle w:val="Compact"/>
              <w:jc w:val="right"/>
            </w:pPr>
            <w:r>
              <w:rPr>
                <w:b/>
                <w:bCs/>
              </w:rPr>
              <w:t xml:space="preserve">1,677,326</w:t>
            </w:r>
          </w:p>
        </w:tc>
        <w:tc>
          <w:tcPr/>
          <w:p>
            <w:pPr>
              <w:pStyle w:val="Compact"/>
              <w:jc w:val="right"/>
            </w:pPr>
            <w:r>
              <w:rPr>
                <w:b/>
                <w:bCs/>
              </w:rPr>
              <w:t xml:space="preserve">1,633,847</w:t>
            </w:r>
          </w:p>
        </w:tc>
        <w:tc>
          <w:tcPr/>
          <w:p>
            <w:pPr>
              <w:pStyle w:val="Compact"/>
              <w:jc w:val="right"/>
            </w:pPr>
            <w:r>
              <w:rPr>
                <w:b/>
                <w:bCs/>
              </w:rPr>
              <w:t xml:space="preserve">97.4%</w:t>
            </w:r>
          </w:p>
        </w:tc>
        <w:tc>
          <w:tcPr/>
          <w:p>
            <w:pPr>
              <w:pStyle w:val="Compact"/>
              <w:jc w:val="right"/>
            </w:pPr>
            <w:r>
              <w:rPr>
                <w:b/>
                <w:bCs/>
              </w:rPr>
              <w:t xml:space="preserve">93.8%</w:t>
            </w:r>
          </w:p>
        </w:tc>
        <w:tc>
          <w:tcPr/>
          <w:p>
            <w:pPr>
              <w:pStyle w:val="Compact"/>
              <w:jc w:val="right"/>
            </w:pPr>
            <w:r>
              <w:rPr>
                <w:b/>
                <w:bCs/>
              </w:rPr>
              <w:t xml:space="preserve">379,531</w:t>
            </w:r>
          </w:p>
        </w:tc>
        <w:tc>
          <w:tcPr/>
          <w:p>
            <w:pPr>
              <w:pStyle w:val="Compact"/>
              <w:jc w:val="right"/>
            </w:pPr>
            <w:r>
              <w:rPr>
                <w:b/>
                <w:bCs/>
              </w:rPr>
              <w:t xml:space="preserve">3,133,091</w:t>
            </w:r>
          </w:p>
        </w:tc>
      </w:tr>
    </w:tbl>
    <w:p>
      <w:pPr>
        <w:pStyle w:val="BodyText"/>
      </w:pPr>
      <w:r>
        <w:t xml:space="preserve">Of 1,677,326 queries, 1,633,847 were answered (97.4%). The 43,479 that were not divide into two kinds, and the smaller kind is the one usually discussed.</w:t>
      </w:r>
      <w:r>
        <w:t xml:space="preserve"> </w:t>
      </w:r>
      <w:r>
        <w:rPr>
          <w:b/>
          <w:bCs/>
        </w:rPr>
        <w:t xml:space="preserve">HTTP-level errors are 3,124 (0.19%)</w:t>
      </w:r>
      <w:r>
        <w:t xml:space="preserve">: 0 rate limits (429), 2,155 server errors (500, 502, 503, 504) and 969 refusals (403).</w:t>
      </w:r>
      <w:r>
        <w:t xml:space="preserve"> </w:t>
      </w:r>
      <w:r>
        <w:rPr>
          <w:b/>
          <w:bCs/>
        </w:rPr>
        <w:t xml:space="preserve">Transport-level failures are 40,355 (2.41%)</w:t>
      </w:r>
      <w:r>
        <w:t xml:space="preserve">: 29,171 connections refused or reset and 11,184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bookmarkEnd w:id="12"/>
    <w:bookmarkStart w:id="13" w:name="X870403881742e834cface291a59e7e12402c183"/>
    <w:p>
      <w:pPr>
        <w:pStyle w:val="Heading2"/>
      </w:pPr>
      <w:r>
        <w:t xml:space="preserve">5. The discovery method, and what changed this round</w:t>
      </w:r>
    </w:p>
    <w:p>
      <w:pPr>
        <w:pStyle w:val="FirstParagraph"/>
      </w:pPr>
      <w:r>
        <w:t xml:space="preserve">You asked for the autonomous discovery process rather than the totals, so this is the short version of</w:t>
      </w:r>
      <w:r>
        <w:t xml:space="preserve"> </w:t>
      </w:r>
      <w:r>
        <w:t xml:space="preserve">what the system is and how this round's method differed from the last.</w:t>
      </w:r>
    </w:p>
    <w:p>
      <w:pPr>
        <w:pStyle w:val="BodyText"/>
      </w:pPr>
      <w:r>
        <w:rPr>
          <w:b/>
          <w:bCs/>
        </w:rPr>
        <w:t xml:space="preserve">Two mechanisms bound an agent nobody is watching, and both are structural.</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with a foreign key into</w:t>
      </w:r>
      <w:r>
        <w:t xml:space="preserve"> </w:t>
      </w:r>
      <w:r>
        <w:rPr>
          <w:rStyle w:val="VerbatimChar"/>
        </w:rPr>
        <w:t xml:space="preserve">evidence</w:t>
      </w:r>
      <w:r>
        <w:t xml:space="preserve">, so no code path can write a</w:t>
      </w:r>
      <w:r>
        <w:t xml:space="preserve"> </w:t>
      </w:r>
      <w:r>
        <w:t xml:space="preserve">year without naming the observation behind it; eleven invariants check that before every commit and again</w:t>
      </w:r>
      <w:r>
        <w:t xml:space="preserve"> </w:t>
      </w:r>
      <w:r>
        <w:t xml:space="preserve">inside the archive. And a source class cannot date a year until a human writes one</w:t>
      </w:r>
      <w:r>
        <w:t xml:space="preserve"> </w:t>
      </w:r>
      <w:r>
        <w:rPr>
          <w:rStyle w:val="VerbatimChar"/>
        </w:rPr>
        <w:t xml:space="preserve">Decision:</w:t>
      </w:r>
      <w:r>
        <w:t xml:space="preserve"> </w:t>
      </w:r>
      <w:r>
        <w:t xml:space="preserve">line, with</w:t>
      </w:r>
      <w:r>
        <w:t xml:space="preserve"> </w:t>
      </w:r>
      <w:r>
        <w:t xml:space="preserve">the request generated from a seeded-random sample and live links, so the reviewer checks external evidence</w:t>
      </w:r>
      <w:r>
        <w:t xml:space="preserve"> </w:t>
      </w:r>
      <w:r>
        <w:t xml:space="preserve">rather than an agent's argument.</w:t>
      </w:r>
      <w:r>
        <w:t xml:space="preserve"> </w:t>
      </w:r>
      <w:r>
        <w:rPr>
          <w:b/>
          <w:bCs/>
        </w:rPr>
        <w:t xml:space="preserve">An agent asserting its own find is trustworthy is the least reliable</w:t>
      </w:r>
      <w:r>
        <w:rPr>
          <w:b/>
          <w:bCs/>
        </w:rPr>
        <w:t xml:space="preserve"> </w:t>
      </w:r>
      <w:r>
        <w:rPr>
          <w:b/>
          <w:bCs/>
        </w:rPr>
        <w:t xml:space="preserve">artifact in the system</w:t>
      </w:r>
      <w:r>
        <w:t xml:space="preserve">, so it is never asked to.</w:t>
      </w:r>
    </w:p>
    <w:p>
      <w:pPr>
        <w:pStyle w:val="BodyText"/>
      </w:pPr>
      <w:r>
        <w:rPr>
          <w:b/>
          <w:bCs/>
        </w:rPr>
        <w:t xml:space="preserve">Tested by accident this round.</w:t>
      </w:r>
      <w:r>
        <w:t xml:space="preserve"> </w:t>
      </w:r>
      <w:r>
        <w:t xml:space="preserve">The candidate pool accumulated 575,417 names that cannot exist, strings</w:t>
      </w:r>
      <w:r>
        <w:t xml:space="preserve"> </w:t>
      </w:r>
      <w:r>
        <w:t xml:space="preserve">under three namespaces that never allowed arbitrary registration, mostly from address extraction where</w:t>
      </w:r>
      <w:r>
        <w:t xml:space="preserve"> </w:t>
      </w:r>
      <w:r>
        <w:t xml:space="preserve">anti-spam munging garbles text.</w:t>
      </w:r>
      <w:r>
        <w:t xml:space="preserve"> </w:t>
      </w:r>
      <w:r>
        <w:rPr>
          <w:b/>
          <w:bCs/>
        </w:rPr>
        <w:t xml:space="preserve">Not one reached an annual file.</w:t>
      </w:r>
      <w:r>
        <w:t xml:space="preserve"> </w:t>
      </w:r>
      <w:r>
        <w:t xml:space="preserve">All 826</w:t>
      </w:r>
      <w:r>
        <w:t xml:space="preserve"> </w:t>
      </w:r>
      <w:r>
        <w:rPr>
          <w:rStyle w:val="VerbatimChar"/>
        </w:rPr>
        <w:t xml:space="preserve">.mil</w:t>
      </w:r>
      <w:r>
        <w:t xml:space="preserve">, 6,679</w:t>
      </w:r>
      <w:r>
        <w:t xml:space="preserve"> </w:t>
      </w:r>
      <w:r>
        <w:rPr>
          <w:rStyle w:val="VerbatimChar"/>
        </w:rPr>
        <w:t xml:space="preserve">.gov</w:t>
      </w:r>
      <w:r>
        <w:t xml:space="preserve"> </w:t>
      </w:r>
      <w:r>
        <w:t xml:space="preserve">and 25,155</w:t>
      </w:r>
      <w:r>
        <w:t xml:space="preserve"> </w:t>
      </w:r>
      <w:r>
        <w:rPr>
          <w:rStyle w:val="VerbatimChar"/>
        </w:rPr>
        <w:t xml:space="preserve">.edu</w:t>
      </w:r>
      <w:r>
        <w:t xml:space="preserve"> </w:t>
      </w:r>
      <w:r>
        <w:t xml:space="preserve">domains shipped carry independent attestation: 100.0%, zero on a mention alone, on the three</w:t>
      </w:r>
      <w:r>
        <w:t xml:space="preserve"> </w:t>
      </w:r>
      <w:r>
        <w:t xml:space="preserve">highest-weighted namespaces in the model.</w:t>
      </w:r>
    </w:p>
    <w:p>
      <w:pPr>
        <w:pStyle w:val="BodyText"/>
      </w:pPr>
      <w:r>
        <w:rPr>
          <w:b/>
          <w:bCs/>
        </w:rPr>
        <w:t xml:space="preserve">What changed against the previous cycle.</w:t>
      </w:r>
      <w:r>
        <w:t xml:space="preserve"> </w:t>
      </w:r>
      <w:r>
        <w:t xml:space="preserve">Phase 5 was one long agent session driving collection</w:t>
      </w:r>
      <w:r>
        <w:t xml:space="preserve"> </w:t>
      </w:r>
      <w:r>
        <w:t xml:space="preserve">directly. This round separated the two: collectors became detached shell supervisors holding an absolute</w:t>
      </w:r>
      <w:r>
        <w:t xml:space="preserve"> </w:t>
      </w:r>
      <w:r>
        <w:t xml:space="preserve">epoch deadline, so they outlive the session and a day of agent absence costs nothing, while the agent</w:t>
      </w:r>
      <w:r>
        <w:t xml:space="preserve"> </w:t>
      </w:r>
      <w:r>
        <w:t xml:space="preserve">spends its turns hunting and pricing. A scheduled job runs the health cycle independently. The instruction</w:t>
      </w:r>
      <w:r>
        <w:t xml:space="preserve"> </w:t>
      </w:r>
      <w:r>
        <w:t xml:space="preserve">file was treated as a component and</w:t>
      </w:r>
      <w:r>
        <w:t xml:space="preserve"> </w:t>
      </w:r>
      <w:r>
        <w:rPr>
          <w:b/>
          <w:bCs/>
        </w:rPr>
        <w:t xml:space="preserve">cut from 186 lines to 59</w:t>
      </w:r>
      <w:r>
        <w:t xml:space="preserve">, because length was making the agent</w:t>
      </w:r>
      <w:r>
        <w:t xml:space="preserve"> </w:t>
      </w:r>
      <w:r>
        <w:t xml:space="preserve">worse: a rule that takes a paragraph gets skipped, and prose competes with the task on every turn. The</w:t>
      </w:r>
      <w:r>
        <w:t xml:space="preserve"> </w:t>
      </w:r>
      <w:r>
        <w:t xml:space="preserve">measured effect of the split is in section 4: collection continued through a full day when the agent was</w:t>
      </w:r>
      <w:r>
        <w:t xml:space="preserve"> </w:t>
      </w:r>
      <w:r>
        <w:t xml:space="preserve">away, which phase 5's design could not have done.</w:t>
      </w:r>
    </w:p>
    <w:p>
      <w:pPr>
        <w:pStyle w:val="BodyText"/>
      </w:pPr>
      <w:r>
        <w:rPr>
          <w:b/>
          <w:bCs/>
        </w:rPr>
        <w:t xml:space="preserve">Health is three questions, not one.</w:t>
      </w:r>
      <w:r>
        <w:t xml:space="preserve"> </w:t>
      </w:r>
      <w:r>
        <w:t xml:space="preserve">Presence is not progress and progress is not yield. A supervisor</w:t>
      </w:r>
      <w:r>
        <w:t xml:space="preserve"> </w:t>
      </w:r>
      <w:r>
        <w:t xml:space="preserve">that checks only liveness calls a batch stalled on a socket healthy; one that checks only journal growth</w:t>
      </w:r>
      <w:r>
        <w:t xml:space="preserve"> </w:t>
      </w:r>
      <w:r>
        <w:t xml:space="preserve">cannot tell misses from hits. This round RDAP was crippled on both machines for most of a day and neither</w:t>
      </w:r>
      <w:r>
        <w:t xml:space="preserve"> </w:t>
      </w:r>
      <w:r>
        <w:t xml:space="preserve">fault looked like one: locally it died on a dead inherited stdin while the supervisor reported "the list</w:t>
      </w:r>
      <w:r>
        <w:t xml:space="preserve"> </w:t>
      </w:r>
      <w:r>
        <w:t xml:space="preserve">is exhausted", and remotely it was alive and therefore looked fine while running at 1.92 queries a second</w:t>
      </w:r>
      <w:r>
        <w:t xml:space="preserve"> </w:t>
      </w:r>
      <w:r>
        <w:t xml:space="preserve">instead of 95.</w:t>
      </w:r>
      <w:r>
        <w:t xml:space="preserve"> </w:t>
      </w:r>
      <w:r>
        <w:rPr>
          <w:b/>
          <w:bCs/>
        </w:rPr>
        <w:t xml:space="preserve">A running collector is not a working one, and a supervisor's guess at why it stopped is</w:t>
      </w:r>
      <w:r>
        <w:rPr>
          <w:b/>
          <w:bCs/>
        </w:rPr>
        <w:t xml:space="preserve"> </w:t>
      </w:r>
      <w:r>
        <w:rPr>
          <w:b/>
          <w:bCs/>
        </w:rPr>
        <w:t xml:space="preserve">not evidence.</w:t>
      </w:r>
    </w:p>
    <w:p>
      <w:pPr>
        <w:pStyle w:val="BodyText"/>
      </w:pPr>
      <w:r>
        <w:rPr>
          <w:b/>
          <w:bCs/>
        </w:rPr>
        <w:t xml:space="preserve">Four measurement rules, each bought with a wasted day.</w:t>
      </w:r>
      <w:r>
        <w:t xml:space="preserve"> </w:t>
      </w:r>
      <w:r>
        <w:t xml:space="preserve">Gross and net yield differ by more than 10x,</w:t>
      </w:r>
      <w:r>
        <w:t xml:space="preserve"> </w:t>
      </w:r>
      <w:r>
        <w:t xml:space="preserve">and a population that looks spectacular on gross was 97.9% already dated. Per-query and total yield point</w:t>
      </w:r>
      <w:r>
        <w:t xml:space="preserve"> </w:t>
      </w:r>
      <w:r>
        <w:t xml:space="preserve">opposite ways, so optimising the wrong one is easy. Ranking a queue by TLD weight alone fills it with</w:t>
      </w:r>
      <w:r>
        <w:t xml:space="preserve"> </w:t>
      </w:r>
      <w:r>
        <w:t xml:space="preserve">namespaces delegated in 2013. And a source's worth decays while it waits: one parked at 77,749</w:t>
      </w:r>
      <w:r>
        <w:t xml:space="preserve"> </w:t>
      </w:r>
      <w:r>
        <w:t xml:space="preserve">equivalent-English was worth 4,512 by the time it was approved, because our own sweeps had banked that</w:t>
      </w:r>
      <w:r>
        <w:t xml:space="preserve"> </w:t>
      </w:r>
      <w:r>
        <w:t xml:space="preserve">population first.</w:t>
      </w:r>
    </w:p>
    <w:p>
      <w:pPr>
        <w:pStyle w:val="BodyText"/>
      </w:pPr>
      <w:r>
        <w:rPr>
          <w:b/>
          <w:bCs/>
        </w:rPr>
        <w:t xml:space="preserve">The most useful result was a refusal.</w:t>
      </w:r>
      <w:r>
        <w:t xml:space="preserve"> </w:t>
      </w:r>
      <w:r>
        <w:t xml:space="preserve">An idea priced at 1,704,843 equivalent-English, two and a half</w:t>
      </w:r>
      <w:r>
        <w:t xml:space="preserve"> </w:t>
      </w:r>
      <w:r>
        <w:t xml:space="preserve">times this threshold, was forbidden by your rule 6: a creation date alone does not establish continued</w:t>
      </w:r>
      <w:r>
        <w:t xml:space="preserve"> </w:t>
      </w:r>
      <w:r>
        <w:t xml:space="preserve">registration. The rule took four minutes to find and the measurement took an afternoon. The lesson is</w:t>
      </w:r>
      <w:r>
        <w:t xml:space="preserve"> </w:t>
      </w:r>
      <w:r>
        <w:t xml:space="preserve">recorded as a standing check, because the same reasoning sat under a source already shipped.</w:t>
      </w:r>
    </w:p>
    <w:p>
      <w:pPr>
        <w:pStyle w:val="BodyText"/>
      </w:pPr>
      <w:r>
        <w:rPr>
          <w:b/>
          <w:bCs/>
        </w:rPr>
        <w:t xml:space="preserve">Negative results are first-class.</w:t>
      </w:r>
      <w:r>
        <w:t xml:space="preserve"> </w:t>
      </w:r>
      <w:r>
        <w:rPr>
          <w:b/>
          <w:bCs/>
        </w:rPr>
        <w:t xml:space="preserve">156 source families have been searched and recorded</w:t>
      </w:r>
      <w:r>
        <w:t xml:space="preserve">, 27 developed far enough to earn their own section and 129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3"/>
    <w:bookmarkStart w:id="14" w:name="X07495bb7d7ff3c50206f872d4766169330a61ca"/>
    <w:p>
      <w:pPr>
        <w:pStyle w:val="Heading2"/>
      </w:pPr>
      <w:r>
        <w:t xml:space="preserve">6. Limitations</w:t>
      </w:r>
    </w:p>
    <w:p>
      <w:pPr>
        <w:pStyle w:val="FirstParagraph"/>
      </w:pPr>
      <w:r>
        <w:rPr>
          <w:b/>
          <w:bCs/>
        </w:rPr>
        <w:t xml:space="preserve">Both routes err toward under-claiming.</w:t>
      </w:r>
      <w:r>
        <w:t xml:space="preserve"> </w:t>
      </w:r>
      <w:r>
        <w:t xml:space="preserve">A capture proves presence and never absence, so a year with no</w:t>
      </w:r>
      <w:r>
        <w:t xml:space="preserve"> </w:t>
      </w:r>
      <w:r>
        <w:t xml:space="preserve">capture is unevidenced rather than empty. A creation date attests registration for one year only. Neither</w:t>
      </w:r>
      <w:r>
        <w:t xml:space="preserve"> </w:t>
      </w:r>
      <w:r>
        <w:t xml:space="preserve">can invent a year; the mistake they can make is omission.</w:t>
      </w:r>
    </w:p>
    <w:p>
      <w:pPr>
        <w:pStyle w:val="BodyText"/>
      </w:pPr>
      <w:r>
        <w:rPr>
          <w:b/>
          <w:bCs/>
        </w:rPr>
        <w:t xml:space="preserve">Two limits no amount of work fixes.</w:t>
      </w:r>
      <w:r>
        <w:t xml:space="preserve"> </w:t>
      </w:r>
      <w:r>
        <w:t xml:space="preserve">A material share of archive requests fail at transport level</w:t>
      </w:r>
      <w:r>
        <w:t xml:space="preserve"> </w:t>
      </w:r>
      <w:r>
        <w:t xml:space="preserve">rather than with a status code, which is throttling seen from the other side of the socket. And the</w:t>
      </w:r>
      <w:r>
        <w:t xml:space="preserve"> </w:t>
      </w:r>
      <w:r>
        <w:t xml:space="preserve">corroboration split asks whether a domain is dated somewhere, never whether a mention was genuine, so</w:t>
      </w:r>
      <w:r>
        <w:t xml:space="preserve"> </w:t>
      </w:r>
      <w:r>
        <w:t xml:space="preserve">prose that invents plausible examples is the one shape it does not stop. That is why both of this round's</w:t>
      </w:r>
      <w:r>
        <w:t xml:space="preserve"> </w:t>
      </w:r>
      <w:r>
        <w:t xml:space="preserve">routes are self-dating.</w:t>
      </w:r>
    </w:p>
    <w:p>
      <w:pPr>
        <w:pStyle w:val="BodyText"/>
      </w:pPr>
      <w:r>
        <w:rPr>
          <w:b/>
          <w:bCs/>
        </w:rPr>
        <w:t xml:space="preserve">Worth expanding, in order.</w:t>
      </w:r>
      <w:r>
        <w:t xml:space="preserve"> </w:t>
      </w:r>
      <w:r>
        <w:t xml:space="preserve">Bulk dated corpora first, measured at two orders of magnitude more net-new</w:t>
      </w:r>
      <w:r>
        <w:t xml:space="preserve"> </w:t>
      </w:r>
      <w:r>
        <w:t xml:space="preserve">pairs per megabyte than prose. Registry datasets publishing creation dates as open data second, because</w:t>
      </w:r>
      <w:r>
        <w:t xml:space="preserve"> </w:t>
      </w:r>
      <w:r>
        <w:t xml:space="preserve">that is the route that reaches 2001 where the archives are thin. Re-auditing material already on disk</w:t>
      </w:r>
      <w:r>
        <w:t xml:space="preserve"> </w:t>
      </w:r>
      <w:r>
        <w:t xml:space="preserve">third, which has repeatedly been the cheapest source available.</w: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 and</w:t>
      </w:r>
      <w:r>
        <w:t xml:space="preserve"> </w:t>
      </w:r>
      <w:r>
        <w:t xml:space="preserve">this round's net-new records,</w:t>
      </w:r>
      <w:r>
        <w:t xml:space="preserve"> </w:t>
      </w:r>
      <w:r>
        <w:rPr>
          <w:rStyle w:val="VerbatimChar"/>
        </w:rPr>
        <w:t xml:space="preserve">candidates.txt</w:t>
      </w:r>
      <w:r>
        <w:t xml:space="preserve"> </w:t>
      </w:r>
      <w:r>
        <w:t xml:space="preserve">the names with no year evidence,</w:t>
      </w:r>
      <w:r>
        <w:t xml:space="preserve"> </w:t>
      </w:r>
      <w:r>
        <w:rPr>
          <w:rStyle w:val="VerbatimChar"/>
        </w:rPr>
        <w:t xml:space="preserve">provenance/*.parquet</w:t>
      </w:r>
      <w:r>
        <w:t xml:space="preserve"> </w:t>
      </w:r>
      <w:r>
        <w:t xml:space="preserve">every (domain, year) joined to the evidence row justifying it, and</w:t>
      </w:r>
      <w:r>
        <w:t xml:space="preserve"> </w:t>
      </w:r>
      <w:r>
        <w:rPr>
          <w:rStyle w:val="VerbatimChar"/>
        </w:rPr>
        <w:t xml:space="preserve">source/source.tar.gz</w:t>
      </w:r>
      <w:r>
        <w:t xml:space="preserve"> </w:t>
      </w:r>
      <w:r>
        <w:t xml:space="preserve">the repository</w:t>
      </w:r>
      <w:r>
        <w:t xml:space="preserve"> </w:t>
      </w:r>
      <w:r>
        <w:t xml:space="preserve">at the commit that built the delivery.</w:t>
      </w:r>
    </w:p>
    <w:p>
      <w:pPr>
        <w:pStyle w:val="BodyText"/>
      </w:pP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bookmarkEnd w:id="15"/>
    <w:bookmarkStart w:id="16" w:name="Xa860f5fc05f32f1e17fd7da08cb6b7683f62b81"/>
    <w:p>
      <w:pPr>
        <w:pStyle w:val="Heading2"/>
      </w:pPr>
      <w:r>
        <w:t xml:space="preserve">8. The merge, the overlap and the reconciliation</w:t>
      </w:r>
    </w:p>
    <w:p>
      <w:pPr>
        <w:pStyle w:val="FirstParagraph"/>
      </w:pPr>
      <w:r>
        <w:rPr>
          <w:b/>
          <w:bCs/>
        </w:rPr>
        <w:t xml:space="preserve">The merge, deduplication and overlap, computed here rather than described.</w:t>
      </w:r>
      <w:r>
        <w:t xml:space="preserve"> </w:t>
      </w: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which is the reviewer's own</w:t>
      </w:r>
      <w:r>
        <w:t xml:space="preserve"> </w:t>
      </w:r>
      <w:r>
        <w:t xml:space="preserve">counting unit, and scores every file with his own calculator. The per-year form is</w:t>
      </w:r>
      <w:r>
        <w:t xml:space="preserve"> </w:t>
      </w:r>
      <w:r>
        <w:rPr>
          <w:rStyle w:val="VerbatimChar"/>
        </w:rPr>
        <w:t xml:space="preserve">audit/merge_stats_ark_*.csv</w:t>
      </w:r>
      <w:r>
        <w:t xml:space="preserve">, in his column names so his audit and this one can be</w:t>
      </w:r>
      <w:r>
        <w:t xml:space="preserve"> </w:t>
      </w:r>
      <w:r>
        <w:t xml:space="preserve">diffed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merged260817-2</w:t>
            </w:r>
          </w:p>
        </w:tc>
        <w:tc>
          <w:tcPr/>
          <w:p>
            <w:pPr>
              <w:pStyle w:val="Compact"/>
              <w:jc w:val="right"/>
            </w:pPr>
            <w:r>
              <w:t xml:space="preserve">22,491,418</w:t>
            </w:r>
          </w:p>
        </w:tc>
        <w:tc>
          <w:tcPr/>
          <w:p>
            <w:pPr>
              <w:pStyle w:val="Compact"/>
              <w:jc w:val="right"/>
            </w:pPr>
            <w:r>
              <w:t xml:space="preserve">12,077,095.5404</w:t>
            </w:r>
          </w:p>
        </w:tc>
      </w:tr>
      <w:tr>
        <w:tc>
          <w:tcPr/>
          <w:p>
            <w:pPr>
              <w:pStyle w:val="Compact"/>
            </w:pPr>
            <w:r>
              <w:t xml:space="preserve">submitted</w:t>
            </w:r>
          </w:p>
        </w:tc>
        <w:tc>
          <w:tcPr/>
          <w:p>
            <w:pPr>
              <w:pStyle w:val="Compact"/>
              <w:jc w:val="right"/>
            </w:pPr>
            <w:r>
              <w:t xml:space="preserve">17,733</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17,733</w:t>
            </w:r>
          </w:p>
        </w:tc>
        <w:tc>
          <w:tcPr/>
          <w:p>
            <w:pPr>
              <w:pStyle w:val="Compact"/>
              <w:jc w:val="right"/>
            </w:pPr>
            <w:r>
              <w:rPr>
                <w:b/>
                <w:bCs/>
              </w:rPr>
              <w:t xml:space="preserve">14,358.9235</w:t>
            </w:r>
          </w:p>
        </w:tc>
      </w:tr>
      <w:tr>
        <w:tc>
          <w:tcPr/>
          <w:p>
            <w:pPr>
              <w:pStyle w:val="Compact"/>
            </w:pPr>
            <w:r>
              <w:t xml:space="preserve">post-merge total</w:t>
            </w:r>
          </w:p>
        </w:tc>
        <w:tc>
          <w:tcPr/>
          <w:p>
            <w:pPr>
              <w:pStyle w:val="Compact"/>
              <w:jc w:val="right"/>
            </w:pPr>
            <w:r>
              <w:t xml:space="preserve">22,509,151</w:t>
            </w:r>
          </w:p>
        </w:tc>
        <w:tc>
          <w:tcPr/>
          <w:p>
            <w:pPr>
              <w:pStyle w:val="Compact"/>
              <w:jc w:val="right"/>
            </w:pPr>
            <w:r>
              <w:t xml:space="preserve">12,091,454.4639</w:t>
            </w:r>
          </w:p>
        </w:tc>
      </w:tr>
    </w:tbl>
    <w:p>
      <w:pPr>
        <w:pStyle w:val="BodyText"/>
      </w:pPr>
      <w:r>
        <w:rPr>
          <w:b/>
          <w:bCs/>
        </w:rPr>
        <w:t xml:space="preserve">22 of 22 reconciliation checks pass.</w:t>
      </w:r>
      <w:r>
        <w:t xml:space="preserve"> </w:t>
      </w:r>
      <w:r>
        <w:t xml:space="preserve">They are arithmetic</w:t>
      </w:r>
      <w:r>
        <w:t xml:space="preserve"> </w:t>
      </w:r>
      <w:r>
        <w:t xml:space="preserve">identities, so a failure is a defect rather than a finding: per year that</w:t>
      </w:r>
      <w:r>
        <w:t xml:space="preserve"> </w:t>
      </w:r>
      <w:r>
        <w:rPr>
          <w:rStyle w:val="VerbatimChar"/>
        </w:rPr>
        <w:t xml:space="preserve">baseline_unique + accepted_new == merged_unique</w:t>
      </w:r>
      <w:r>
        <w:t xml:space="preserve"> </w:t>
      </w:r>
      <w:r>
        <w:t xml:space="preserve">and that</w:t>
      </w:r>
      <w:r>
        <w:t xml:space="preserve"> </w:t>
      </w:r>
      <w:r>
        <w:rPr>
          <w:rStyle w:val="VerbatimChar"/>
        </w:rPr>
        <w:t xml:space="preserve">already_in_baseline + accepted_new == submitted_unique</w:t>
      </w:r>
      <w:r>
        <w:t xml:space="preserve">, that the per-year</w:t>
      </w:r>
      <w:r>
        <w:t xml:space="preserve"> </w:t>
      </w:r>
      <w:r>
        <w:t xml:space="preserve">equivalent-English increments sum to the headline figure, that the baseline plus</w:t>
      </w:r>
      <w:r>
        <w:t xml:space="preserve"> </w:t>
      </w:r>
      <w:r>
        <w:t xml:space="preserve">the increment equals the post-merge total, and that a freshly measured baseline</w:t>
      </w:r>
      <w:r>
        <w:t xml:space="preserve"> </w:t>
      </w:r>
      <w:r>
        <w:t xml:space="preserve">reproduces the record count and equivalent-English total this round was measured</w:t>
      </w:r>
      <w:r>
        <w:t xml:space="preserve"> </w:t>
      </w:r>
      <w:r>
        <w:t xml:space="preserve">against. Every one is listed with its verdict in</w:t>
      </w:r>
      <w:r>
        <w:t xml:space="preserve"> </w:t>
      </w:r>
      <w:r>
        <w:rPr>
          <w:rStyle w:val="VerbatimChar"/>
        </w:rPr>
        <w:t xml:space="preserve">audit/merge_audit_ark_*.json</w:t>
      </w:r>
      <w:r>
        <w:t xml:space="preserve">.</w:t>
      </w:r>
    </w:p>
    <w:bookmarkEnd w:id="16"/>
    <w:bookmarkStart w:id="17" w:name="X884a000e56153557bdf1ee02c7f4439d72875e0"/>
    <w:p>
      <w:pPr>
        <w:pStyle w:val="Heading2"/>
      </w:pPr>
      <w:r>
        <w:t xml:space="preserve">9. The four requested artifacts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execution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deduplication code, overlap counts,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2026-08-24T00:23:50Z</dcterms:created>
  <dcterms:modified xsi:type="dcterms:W3CDTF">2026-08-24T00:23:50Z</dcterms:modified>
</cp:coreProperties>
</file>

<file path=docProps/custom.xml><?xml version="1.0" encoding="utf-8"?>
<Properties xmlns="http://schemas.openxmlformats.org/officeDocument/2006/custom-properties" xmlns:vt="http://schemas.openxmlformats.org/officeDocument/2006/docPropsVTypes"/>
</file>