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internet-digital-ark-round-6"/>
    <w:p>
      <w:pPr>
        <w:pStyle w:val="Heading1"/>
      </w:pPr>
      <w:r>
        <w:t xml:space="preserve">Internet Digital Ark: round 6</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22,491,418</w:t>
            </w:r>
          </w:p>
        </w:tc>
      </w:tr>
      <w:tr>
        <w:tc>
          <w:tcPr/>
          <w:p>
            <w:pPr>
              <w:pStyle w:val="Compact"/>
            </w:pPr>
            <w:r>
              <w:t xml:space="preserve">2. Equivalent-English total</w:t>
            </w:r>
          </w:p>
        </w:tc>
        <w:tc>
          <w:tcPr/>
          <w:p>
            <w:pPr>
              <w:pStyle w:val="Compact"/>
              <w:jc w:val="right"/>
            </w:pPr>
            <w:r>
              <w:t xml:space="preserve">12,077,095.5404</w:t>
            </w:r>
          </w:p>
        </w:tc>
      </w:tr>
      <w:tr>
        <w:tc>
          <w:tcPr/>
          <w:p>
            <w:pPr>
              <w:pStyle w:val="Compact"/>
            </w:pPr>
            <w:r>
              <w:t xml:space="preserve">3. Increment</w:t>
            </w:r>
          </w:p>
        </w:tc>
        <w:tc>
          <w:tcPr/>
          <w:p>
            <w:pPr>
              <w:pStyle w:val="Compact"/>
              <w:jc w:val="right"/>
            </w:pPr>
            <w:r>
              <w:rPr>
                <w:b/>
                <w:bCs/>
              </w:rPr>
              <w:t xml:space="preserve">17,733</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14,358.9235</w:t>
            </w:r>
          </w:p>
        </w:tc>
      </w:tr>
      <w:tr>
        <w:tc>
          <w:tcPr/>
          <w:p>
            <w:pPr>
              <w:pStyle w:val="Compact"/>
            </w:pPr>
            <w:r>
              <w:t xml:space="preserve">5. Equivalent-English growth rate</w:t>
            </w:r>
          </w:p>
        </w:tc>
        <w:tc>
          <w:tcPr/>
          <w:p>
            <w:pPr>
              <w:pStyle w:val="Compact"/>
              <w:jc w:val="right"/>
            </w:pPr>
            <w:r>
              <w:rPr>
                <w:b/>
                <w:bCs/>
              </w:rPr>
              <w:t xml:space="preserve">0.1189%</w:t>
            </w:r>
          </w:p>
        </w:tc>
      </w:tr>
    </w:tbl>
    <w:p>
      <w:pPr>
        <w:pStyle w:val="BodyText"/>
      </w:pPr>
      <w:r>
        <w:t xml:space="preserve">Lines 1 and 2 are the</w:t>
      </w:r>
      <w:r>
        <w:t xml:space="preserve"> </w:t>
      </w:r>
      <w:r>
        <w:rPr>
          <w:rStyle w:val="VerbatimChar"/>
        </w:rPr>
        <w:t xml:space="preserve">merged260817-2</w:t>
      </w:r>
      <w:r>
        <w:t xml:space="preserve"> </w:t>
      </w:r>
      <w:r>
        <w:t xml:space="preserve">totals, unchanged, since this increment is not yet merged. The</w:t>
      </w:r>
      <w:r>
        <w:t xml:space="preserve"> </w:t>
      </w:r>
      <w:r>
        <w:t xml:space="preserve">increment covers 17,058 distinct domains, of which</w:t>
      </w:r>
      <w:r>
        <w:t xml:space="preserve"> </w:t>
      </w:r>
      <w:r>
        <w:rPr>
          <w:b/>
          <w:bCs/>
        </w:rPr>
        <w:t xml:space="preserve">11,415 appear in none of the six baseline</w:t>
      </w:r>
      <w:r>
        <w:rPr>
          <w:b/>
          <w:bCs/>
        </w:rPr>
        <w:t xml:space="preserve"> </w:t>
      </w:r>
      <w:r>
        <w:rPr>
          <w:b/>
          <w:bCs/>
        </w:rPr>
        <w:t xml:space="preserve">files in any year</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jc w:val="right"/>
            </w:pPr>
            <w:r>
              <w:t xml:space="preserve">merged260817-2, this counting unit</w:t>
            </w:r>
          </w:p>
        </w:tc>
        <w:tc>
          <w:tcPr/>
          <w:p>
            <w:pPr>
              <w:pStyle w:val="Compact"/>
              <w:jc w:val="right"/>
            </w:pPr>
            <w:r>
              <w:t xml:space="preserve">Additions</w:t>
            </w:r>
          </w:p>
        </w:tc>
        <w:tc>
          <w:tcPr/>
          <w:p>
            <w:pPr>
              <w:pStyle w:val="Compact"/>
              <w:jc w:val="right"/>
            </w:pPr>
            <w:r>
              <w:t xml:space="preserve">Capture-backed</w:t>
            </w:r>
          </w:p>
        </w:tc>
      </w:tr>
      <w:tr>
        <w:tc>
          <w:tcPr/>
          <w:p>
            <w:pPr>
              <w:pStyle w:val="Compact"/>
            </w:pPr>
            <w:r>
              <w:t xml:space="preserve">1996</w:t>
            </w:r>
          </w:p>
        </w:tc>
        <w:tc>
          <w:tcPr/>
          <w:p>
            <w:pPr>
              <w:pStyle w:val="Compact"/>
              <w:jc w:val="right"/>
            </w:pPr>
            <w:r>
              <w:t xml:space="preserve">754,665</w:t>
            </w:r>
          </w:p>
        </w:tc>
        <w:tc>
          <w:tcPr/>
          <w:p>
            <w:pPr>
              <w:pStyle w:val="Compact"/>
              <w:jc w:val="right"/>
            </w:pPr>
            <w:r>
              <w:t xml:space="preserve">25</w:t>
            </w:r>
          </w:p>
        </w:tc>
        <w:tc>
          <w:tcPr/>
          <w:p>
            <w:pPr>
              <w:pStyle w:val="Compact"/>
              <w:jc w:val="right"/>
            </w:pPr>
            <w:r>
              <w:t xml:space="preserve">3 (12.0%)</w:t>
            </w:r>
          </w:p>
        </w:tc>
      </w:tr>
      <w:tr>
        <w:tc>
          <w:tcPr/>
          <w:p>
            <w:pPr>
              <w:pStyle w:val="Compact"/>
            </w:pPr>
            <w:r>
              <w:t xml:space="preserve">1997</w:t>
            </w:r>
          </w:p>
        </w:tc>
        <w:tc>
          <w:tcPr/>
          <w:p>
            <w:pPr>
              <w:pStyle w:val="Compact"/>
              <w:jc w:val="right"/>
            </w:pPr>
            <w:r>
              <w:t xml:space="preserve">1,791,859</w:t>
            </w:r>
          </w:p>
        </w:tc>
        <w:tc>
          <w:tcPr/>
          <w:p>
            <w:pPr>
              <w:pStyle w:val="Compact"/>
              <w:jc w:val="right"/>
            </w:pPr>
            <w:r>
              <w:t xml:space="preserve">104</w:t>
            </w:r>
          </w:p>
        </w:tc>
        <w:tc>
          <w:tcPr/>
          <w:p>
            <w:pPr>
              <w:pStyle w:val="Compact"/>
              <w:jc w:val="right"/>
            </w:pPr>
            <w:r>
              <w:t xml:space="preserve">2 (1.9%)</w:t>
            </w:r>
          </w:p>
        </w:tc>
      </w:tr>
      <w:tr>
        <w:tc>
          <w:tcPr/>
          <w:p>
            <w:pPr>
              <w:pStyle w:val="Compact"/>
            </w:pPr>
            <w:r>
              <w:t xml:space="preserve">1998</w:t>
            </w:r>
          </w:p>
        </w:tc>
        <w:tc>
          <w:tcPr/>
          <w:p>
            <w:pPr>
              <w:pStyle w:val="Compact"/>
              <w:jc w:val="right"/>
            </w:pPr>
            <w:r>
              <w:t xml:space="preserve">2,233,102</w:t>
            </w:r>
          </w:p>
        </w:tc>
        <w:tc>
          <w:tcPr/>
          <w:p>
            <w:pPr>
              <w:pStyle w:val="Compact"/>
              <w:jc w:val="right"/>
            </w:pPr>
            <w:r>
              <w:t xml:space="preserve">455</w:t>
            </w:r>
          </w:p>
        </w:tc>
        <w:tc>
          <w:tcPr/>
          <w:p>
            <w:pPr>
              <w:pStyle w:val="Compact"/>
              <w:jc w:val="right"/>
            </w:pPr>
            <w:r>
              <w:t xml:space="preserve">93 (20.4%)</w:t>
            </w:r>
          </w:p>
        </w:tc>
      </w:tr>
      <w:tr>
        <w:tc>
          <w:tcPr/>
          <w:p>
            <w:pPr>
              <w:pStyle w:val="Compact"/>
            </w:pPr>
            <w:r>
              <w:t xml:space="preserve">1999</w:t>
            </w:r>
          </w:p>
        </w:tc>
        <w:tc>
          <w:tcPr/>
          <w:p>
            <w:pPr>
              <w:pStyle w:val="Compact"/>
              <w:jc w:val="right"/>
            </w:pPr>
            <w:r>
              <w:t xml:space="preserve">4,612,622</w:t>
            </w:r>
          </w:p>
        </w:tc>
        <w:tc>
          <w:tcPr/>
          <w:p>
            <w:pPr>
              <w:pStyle w:val="Compact"/>
              <w:jc w:val="right"/>
            </w:pPr>
            <w:r>
              <w:t xml:space="preserve">1,366</w:t>
            </w:r>
          </w:p>
        </w:tc>
        <w:tc>
          <w:tcPr/>
          <w:p>
            <w:pPr>
              <w:pStyle w:val="Compact"/>
              <w:jc w:val="right"/>
            </w:pPr>
            <w:r>
              <w:t xml:space="preserve">265 (19.4%)</w:t>
            </w:r>
          </w:p>
        </w:tc>
      </w:tr>
      <w:tr>
        <w:tc>
          <w:tcPr/>
          <w:p>
            <w:pPr>
              <w:pStyle w:val="Compact"/>
            </w:pPr>
            <w:r>
              <w:t xml:space="preserve">2000</w:t>
            </w:r>
          </w:p>
        </w:tc>
        <w:tc>
          <w:tcPr/>
          <w:p>
            <w:pPr>
              <w:pStyle w:val="Compact"/>
              <w:jc w:val="right"/>
            </w:pPr>
            <w:r>
              <w:t xml:space="preserve">7,479,208</w:t>
            </w:r>
          </w:p>
        </w:tc>
        <w:tc>
          <w:tcPr/>
          <w:p>
            <w:pPr>
              <w:pStyle w:val="Compact"/>
              <w:jc w:val="right"/>
            </w:pPr>
            <w:r>
              <w:t xml:space="preserve">1,528</w:t>
            </w:r>
          </w:p>
        </w:tc>
        <w:tc>
          <w:tcPr/>
          <w:p>
            <w:pPr>
              <w:pStyle w:val="Compact"/>
              <w:jc w:val="right"/>
            </w:pPr>
            <w:r>
              <w:t xml:space="preserve">653 (42.7%)</w:t>
            </w:r>
          </w:p>
        </w:tc>
      </w:tr>
      <w:tr>
        <w:tc>
          <w:tcPr/>
          <w:p>
            <w:pPr>
              <w:pStyle w:val="Compact"/>
            </w:pPr>
            <w:r>
              <w:t xml:space="preserve">2001</w:t>
            </w:r>
          </w:p>
        </w:tc>
        <w:tc>
          <w:tcPr/>
          <w:p>
            <w:pPr>
              <w:pStyle w:val="Compact"/>
              <w:jc w:val="right"/>
            </w:pPr>
            <w:r>
              <w:t xml:space="preserve">3,974,450</w:t>
            </w:r>
          </w:p>
        </w:tc>
        <w:tc>
          <w:tcPr/>
          <w:p>
            <w:pPr>
              <w:pStyle w:val="Compact"/>
              <w:jc w:val="right"/>
            </w:pPr>
            <w:r>
              <w:t xml:space="preserve">14,255</w:t>
            </w:r>
          </w:p>
        </w:tc>
        <w:tc>
          <w:tcPr/>
          <w:p>
            <w:pPr>
              <w:pStyle w:val="Compact"/>
              <w:jc w:val="right"/>
            </w:pPr>
            <w:r>
              <w:t xml:space="preserve">13,921 (97.7%)</w:t>
            </w:r>
          </w:p>
        </w:tc>
      </w:tr>
      <w:tr>
        <w:tc>
          <w:tcPr/>
          <w:p>
            <w:pPr>
              <w:pStyle w:val="Compact"/>
            </w:pPr>
            <w:r>
              <w:rPr>
                <w:b/>
                <w:bCs/>
              </w:rPr>
              <w:t xml:space="preserve">Total</w:t>
            </w:r>
          </w:p>
        </w:tc>
        <w:tc>
          <w:tcPr/>
          <w:p>
            <w:pPr>
              <w:pStyle w:val="Compact"/>
              <w:jc w:val="right"/>
            </w:pPr>
            <w:r>
              <w:rPr>
                <w:b/>
                <w:bCs/>
              </w:rPr>
              <w:t xml:space="preserve">20,845,906</w:t>
            </w:r>
          </w:p>
        </w:tc>
        <w:tc>
          <w:tcPr/>
          <w:p>
            <w:pPr>
              <w:pStyle w:val="Compact"/>
              <w:jc w:val="right"/>
            </w:pPr>
            <w:r>
              <w:rPr>
                <w:b/>
                <w:bCs/>
              </w:rPr>
              <w:t xml:space="preserve">17,733</w:t>
            </w:r>
          </w:p>
        </w:tc>
        <w:tc>
          <w:tcPr/>
          <w:p>
            <w:pPr>
              <w:pStyle w:val="Compact"/>
              <w:jc w:val="right"/>
            </w:pPr>
            <w:r>
              <w:rPr>
                <w:b/>
                <w:bCs/>
              </w:rPr>
              <w:t xml:space="preserve">14,937 (84.2%)</w:t>
            </w:r>
          </w:p>
        </w:tc>
      </w:tr>
    </w:tbl>
    <w:p>
      <w:pPr>
        <w:pStyle w:val="BodyText"/>
      </w:pPr>
      <w:r>
        <w:t xml:space="preserve">The baseline column counts registered domains, so it reads lower than the raw lines of line 1; both</w:t>
      </w:r>
      <w:r>
        <w:t xml:space="preserve"> </w:t>
      </w:r>
      <w:r>
        <w:t xml:space="preserve">describe the same six files.</w:t>
      </w:r>
    </w:p>
    <w:p>
      <w:pPr>
        <w:pStyle w:val="BodyText"/>
      </w:pPr>
      <w:r>
        <w:rPr>
          <w:b/>
          <w:bCs/>
        </w:rPr>
        <w:t xml:space="preserve">Cumulative.</w:t>
      </w:r>
      <w:r>
        <w:t xml:space="preserve"> </w:t>
      </w:r>
      <w:r>
        <w:t xml:space="preserve">Across the 4 rounds shipped so far plus this one, this project has added 5,153,794 domain-year records worth 3,032,364.4403 equivalent-English, which is</w:t>
      </w:r>
      <w:r>
        <w:t xml:space="preserve"> </w:t>
      </w:r>
      <w:r>
        <w:rPr>
          <w:b/>
          <w:bCs/>
        </w:rPr>
        <w:t xml:space="preserve">25.1084%</w:t>
      </w:r>
      <w:r>
        <w:t xml:space="preserve"> </w:t>
      </w:r>
      <w:r>
        <w:t xml:space="preserve">of the 12,077,095.5404 the corpus holds today. Each shipped round is quoted at the figure the reviewer ACCEPTED, which is not always the one it was submitted with: he recalculates against whatever baseline is current when he merges, and records of ours that reached it by another route in the meantime are his, not ours, to count. Round 1 predates the equivalent-English metric, so its records are the reviewer's own confirmed count and the weight beside it is measured over the two releases either side under the unchanged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Round</w:t>
            </w: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1</w:t>
            </w:r>
          </w:p>
        </w:tc>
        <w:tc>
          <w:tcPr/>
          <w:p>
            <w:pPr>
              <w:pStyle w:val="Compact"/>
              <w:jc w:val="right"/>
            </w:pPr>
            <w:r>
              <w:t xml:space="preserve">1,429,524</w:t>
            </w:r>
          </w:p>
        </w:tc>
        <w:tc>
          <w:tcPr/>
          <w:p>
            <w:pPr>
              <w:pStyle w:val="Compact"/>
              <w:jc w:val="right"/>
            </w:pPr>
            <w:r>
              <w:t xml:space="preserve">756,559.2864</w:t>
            </w:r>
          </w:p>
        </w:tc>
      </w:tr>
      <w:tr>
        <w:tc>
          <w:tcPr/>
          <w:p>
            <w:pPr>
              <w:pStyle w:val="Compact"/>
            </w:pPr>
            <w:r>
              <w:t xml:space="preserve">3</w:t>
            </w:r>
          </w:p>
        </w:tc>
        <w:tc>
          <w:tcPr/>
          <w:p>
            <w:pPr>
              <w:pStyle w:val="Compact"/>
              <w:jc w:val="right"/>
            </w:pPr>
            <w:r>
              <w:t xml:space="preserve">151,949</w:t>
            </w:r>
          </w:p>
        </w:tc>
        <w:tc>
          <w:tcPr/>
          <w:p>
            <w:pPr>
              <w:pStyle w:val="Compact"/>
              <w:jc w:val="right"/>
            </w:pPr>
            <w:r>
              <w:t xml:space="preserve">91,814.6880</w:t>
            </w:r>
          </w:p>
        </w:tc>
      </w:tr>
      <w:tr>
        <w:tc>
          <w:tcPr/>
          <w:p>
            <w:pPr>
              <w:pStyle w:val="Compact"/>
            </w:pPr>
            <w:r>
              <w:t xml:space="preserve">4</w:t>
            </w:r>
          </w:p>
        </w:tc>
        <w:tc>
          <w:tcPr/>
          <w:p>
            <w:pPr>
              <w:pStyle w:val="Compact"/>
              <w:jc w:val="right"/>
            </w:pPr>
            <w:r>
              <w:t xml:space="preserve">946,266</w:t>
            </w:r>
          </w:p>
        </w:tc>
        <w:tc>
          <w:tcPr/>
          <w:p>
            <w:pPr>
              <w:pStyle w:val="Compact"/>
              <w:jc w:val="right"/>
            </w:pPr>
            <w:r>
              <w:t xml:space="preserve">603,401.7811</w:t>
            </w:r>
          </w:p>
        </w:tc>
      </w:tr>
      <w:tr>
        <w:tc>
          <w:tcPr/>
          <w:p>
            <w:pPr>
              <w:pStyle w:val="Compact"/>
            </w:pPr>
            <w:r>
              <w:t xml:space="preserve">5</w:t>
            </w:r>
          </w:p>
        </w:tc>
        <w:tc>
          <w:tcPr/>
          <w:p>
            <w:pPr>
              <w:pStyle w:val="Compact"/>
              <w:jc w:val="right"/>
            </w:pPr>
            <w:r>
              <w:t xml:space="preserve">2,608,322</w:t>
            </w:r>
          </w:p>
        </w:tc>
        <w:tc>
          <w:tcPr/>
          <w:p>
            <w:pPr>
              <w:pStyle w:val="Compact"/>
              <w:jc w:val="right"/>
            </w:pPr>
            <w:r>
              <w:t xml:space="preserve">1,566,229.7613</w:t>
            </w:r>
          </w:p>
        </w:tc>
      </w:tr>
      <w:tr>
        <w:tc>
          <w:tcPr/>
          <w:p>
            <w:pPr>
              <w:pStyle w:val="Compact"/>
            </w:pPr>
            <w:r>
              <w:rPr>
                <w:b/>
                <w:bCs/>
              </w:rPr>
              <w:t xml:space="preserve">6, this one</w:t>
            </w:r>
          </w:p>
        </w:tc>
        <w:tc>
          <w:tcPr/>
          <w:p>
            <w:pPr>
              <w:pStyle w:val="Compact"/>
              <w:jc w:val="right"/>
            </w:pPr>
            <w:r>
              <w:rPr>
                <w:b/>
                <w:bCs/>
              </w:rPr>
              <w:t xml:space="preserve">17,733</w:t>
            </w:r>
          </w:p>
        </w:tc>
        <w:tc>
          <w:tcPr/>
          <w:p>
            <w:pPr>
              <w:pStyle w:val="Compact"/>
              <w:jc w:val="right"/>
            </w:pPr>
            <w:r>
              <w:rPr>
                <w:b/>
                <w:bCs/>
              </w:rPr>
              <w:t xml:space="preserve">14,358.9235</w:t>
            </w:r>
          </w:p>
        </w:tc>
      </w:tr>
      <w:tr>
        <w:tc>
          <w:tcPr/>
          <w:p>
            <w:pPr>
              <w:pStyle w:val="Compact"/>
            </w:pPr>
            <w:r>
              <w:rPr>
                <w:b/>
                <w:bCs/>
              </w:rPr>
              <w:t xml:space="preserve">Total</w:t>
            </w:r>
          </w:p>
        </w:tc>
        <w:tc>
          <w:tcPr/>
          <w:p>
            <w:pPr>
              <w:pStyle w:val="Compact"/>
              <w:jc w:val="right"/>
            </w:pPr>
            <w:r>
              <w:rPr>
                <w:b/>
                <w:bCs/>
              </w:rPr>
              <w:t xml:space="preserve">5,153,794</w:t>
            </w:r>
          </w:p>
        </w:tc>
        <w:tc>
          <w:tcPr/>
          <w:p>
            <w:pPr>
              <w:pStyle w:val="Compact"/>
              <w:jc w:val="right"/>
            </w:pPr>
            <w:r>
              <w:rPr>
                <w:b/>
                <w:bCs/>
              </w:rPr>
              <w:t xml:space="preserve">3,032,364.4403</w:t>
            </w:r>
          </w:p>
        </w:tc>
      </w:tr>
    </w:tbl>
    <w:p>
      <w:r>
        <w:pict>
          <v:rect style="width:0;height:1.5pt" o:hralign="center" o:hrstd="t" o:hr="t"/>
        </w:pict>
      </w:r>
    </w:p>
    <w:bookmarkEnd w:id="9"/>
    <w:bookmarkStart w:id="10" w:name="X6b9014d666cd71203f633ea8fb2d2a84759fddd"/>
    <w:p>
      <w:pPr>
        <w:pStyle w:val="Heading2"/>
      </w:pPr>
      <w:r>
        <w:t xml:space="preserve">2. What was added, and what dates each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14,937</w:t>
            </w:r>
          </w:p>
        </w:tc>
      </w:tr>
      <w:tr>
        <w:tc>
          <w:tcPr/>
          <w:p>
            <w:pPr>
              <w:pStyle w:val="Compact"/>
            </w:pPr>
            <w:r>
              <w:t xml:space="preserve">the RDAP sweep over the candidate pool</w:t>
            </w:r>
          </w:p>
        </w:tc>
        <w:tc>
          <w:tcPr/>
          <w:p>
            <w:pPr>
              <w:pStyle w:val="Compact"/>
            </w:pPr>
            <w:r>
              <w:t xml:space="preserve">the registry's own creation date, which dates that year and no other</w:t>
            </w:r>
          </w:p>
        </w:tc>
        <w:tc>
          <w:tcPr/>
          <w:p>
            <w:pPr>
              <w:pStyle w:val="Compact"/>
              <w:jc w:val="right"/>
            </w:pPr>
            <w:r>
              <w:t xml:space="preserve">2,796</w:t>
            </w:r>
          </w:p>
        </w:tc>
      </w:tr>
    </w:tbl>
    <w:p>
      <w:pPr>
        <w:pStyle w:val="BodyText"/>
      </w:pPr>
      <w:r>
        <w:rPr>
          <w:rStyle w:val="VerbatimChar"/>
        </w:rPr>
        <w:t xml:space="preserve">sources.md</w:t>
      </w:r>
      <w:r>
        <w:t xml:space="preserve">, shipped beside this report, carries the full entry for each: acquisition command, date</w:t>
      </w:r>
      <w:r>
        <w:t xml:space="preserve"> </w:t>
      </w:r>
      <w:r>
        <w:t xml:space="preserve">semantics, measured yield, caveats.</w:t>
      </w:r>
    </w:p>
    <w:p>
      <w:pPr>
        <w:pStyle w:val="BodyText"/>
      </w:pPr>
      <w:r>
        <w:rPr>
          <w:b/>
          <w:bCs/>
        </w:rPr>
        <w:t xml:space="preserve">Both routes are self-dating and neither takes the corroboration split.</w:t>
      </w:r>
      <w:r>
        <w:t xml:space="preserve"> </w:t>
      </w:r>
      <w:r>
        <w:t xml:space="preserve">A Wayback capture</w:t>
      </w:r>
      <w:r>
        <w:t xml:space="preserve"> </w:t>
      </w:r>
      <w:r>
        <w:t xml:space="preserve">timestamp and a registry creation date are records of the thing itself rather than somebody's</w:t>
      </w:r>
      <w:r>
        <w:t xml:space="preserve"> </w:t>
      </w:r>
      <w:r>
        <w:t xml:space="preserve">description of it. The registry route is deliberately under-claimed: a creation date attests</w:t>
      </w:r>
      <w:r>
        <w:t xml:space="preserve"> </w:t>
      </w:r>
      <w:r>
        <w:t xml:space="preserve">registration for one year and nothing after it, so a domain created in 1997 and live until 2001 earns</w:t>
      </w:r>
      <w:r>
        <w:t xml:space="preserve"> </w:t>
      </w:r>
      <w:r>
        <w:t xml:space="preserve">1997 here and must earn the other four from a capture or a survey. The parser emits one evidence row</w:t>
      </w:r>
      <w:r>
        <w:t xml:space="preserve"> </w:t>
      </w:r>
      <w:r>
        <w:t xml:space="preserve">for one year, so a second cannot be written.</w:t>
      </w:r>
    </w:p>
    <w:p>
      <w:pPr>
        <w:pStyle w:val="BodyText"/>
      </w:pPr>
      <w:r>
        <w:rPr>
          <w:b/>
          <w:bCs/>
        </w:rPr>
        <w:t xml:space="preserve">The engines are request-rate bound at a single archive, and that is the whole constraint.</w:t>
      </w:r>
      <w:r>
        <w:t xml:space="preserve"> </w:t>
      </w:r>
      <w:r>
        <w:t xml:space="preserve">Two</w:t>
      </w:r>
      <w:r>
        <w:t xml:space="preserve"> </w:t>
      </w:r>
      <w:r>
        <w:t xml:space="preserve">disjoint populations run on two machines: bracketed gaps as an unattended completeness baseline, and</w:t>
      </w:r>
      <w:r>
        <w:t xml:space="preserve"> </w:t>
      </w:r>
      <w:r>
        <w:t xml:space="preserve">the candidate pool beside the discovery loop that feeds it. 2.28 million pool targets sit unqueried,</w:t>
      </w:r>
      <w:r>
        <w:t xml:space="preserve"> </w:t>
      </w:r>
      <w:r>
        <w:t xml:space="preserve">so the queue has never been the limit.</w:t>
      </w:r>
    </w:p>
    <w:p>
      <w:r>
        <w:pict>
          <v:rect style="width:0;height:1.5pt" o:hralign="center" o:hrstd="t" o:hr="t"/>
        </w:pict>
      </w:r>
    </w:p>
    <w:bookmarkEnd w:id="10"/>
    <w:bookmarkStart w:id="11" w:name="Xe43e5d609466207d1dd3dbe06d1d10756c2fd7b"/>
    <w:p>
      <w:pPr>
        <w:pStyle w:val="Heading2"/>
      </w:pPr>
      <w:r>
        <w:t xml:space="preserve">3. Source contribution statistics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What carries the date</w:t>
            </w:r>
          </w:p>
        </w:tc>
        <w:tc>
          <w:tcPr/>
          <w:p>
            <w:pPr>
              <w:pStyle w:val="Compact"/>
            </w:pPr>
            <w:r>
              <w:t xml:space="preserve">Evidence type</w:t>
            </w:r>
          </w:p>
        </w:tc>
        <w:tc>
          <w:tcPr/>
          <w:p>
            <w:pPr>
              <w:pStyle w:val="Compact"/>
            </w:pPr>
            <w:r>
              <w:t xml:space="preserve">Admissible</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rPr>
                <w:rStyle w:val="VerbatimChar"/>
              </w:rPr>
              <w:t xml:space="preserve">ia_cdx_bulk</w:t>
            </w:r>
          </w:p>
        </w:tc>
        <w:tc>
          <w:tcPr/>
          <w:p>
            <w:pPr>
              <w:pStyle w:val="Compact"/>
            </w:pPr>
            <w:r>
              <w:t xml:space="preserve">Wayback capture timestamp</w:t>
            </w:r>
          </w:p>
        </w:tc>
        <w:tc>
          <w:tcPr/>
          <w:p>
            <w:pPr>
              <w:pStyle w:val="Compact"/>
            </w:pPr>
            <w:r>
              <w:rPr>
                <w:rStyle w:val="VerbatimChar"/>
              </w:rPr>
              <w:t xml:space="preserve">cdx_timestamp</w:t>
            </w:r>
          </w:p>
        </w:tc>
        <w:tc>
          <w:tcPr/>
          <w:p>
            <w:pPr>
              <w:pStyle w:val="Compact"/>
            </w:pPr>
            <w:r>
              <w:t xml:space="preserve">master</w:t>
            </w:r>
          </w:p>
        </w:tc>
        <w:tc>
          <w:tcPr/>
          <w:p>
            <w:pPr>
              <w:pStyle w:val="Compact"/>
              <w:jc w:val="right"/>
            </w:pPr>
            <w:r>
              <w:t xml:space="preserve">14,937</w:t>
            </w:r>
          </w:p>
        </w:tc>
        <w:tc>
          <w:tcPr/>
          <w:p>
            <w:pPr>
              <w:pStyle w:val="Compact"/>
              <w:jc w:val="right"/>
            </w:pPr>
            <w:r>
              <w:t xml:space="preserve">11,684.7</w:t>
            </w:r>
          </w:p>
        </w:tc>
      </w:tr>
      <w:tr>
        <w:tc>
          <w:tcPr/>
          <w:p>
            <w:pPr>
              <w:pStyle w:val="Compact"/>
            </w:pPr>
            <w:r>
              <w:rPr>
                <w:rStyle w:val="VerbatimChar"/>
              </w:rPr>
              <w:t xml:space="preserve">rdap_snapshot</w:t>
            </w:r>
          </w:p>
        </w:tc>
        <w:tc>
          <w:tcPr/>
          <w:p>
            <w:pPr>
              <w:pStyle w:val="Compact"/>
            </w:pPr>
            <w:r>
              <w:t xml:space="preserve">the registry's own</w:t>
            </w:r>
            <w:r>
              <w:t xml:space="preserve"> </w:t>
            </w:r>
            <w:r>
              <w:rPr>
                <w:rStyle w:val="VerbatimChar"/>
              </w:rPr>
              <w:t xml:space="preserve">registration</w:t>
            </w:r>
            <w:r>
              <w:t xml:space="preserve"> </w:t>
            </w:r>
            <w:r>
              <w:t xml:space="preserve">event date</w:t>
            </w:r>
          </w:p>
        </w:tc>
        <w:tc>
          <w:tcPr/>
          <w:p>
            <w:pPr>
              <w:pStyle w:val="Compact"/>
            </w:pPr>
            <w:r>
              <w:rPr>
                <w:rStyle w:val="VerbatimChar"/>
              </w:rPr>
              <w:t xml:space="preserve">whois_creation</w:t>
            </w:r>
          </w:p>
        </w:tc>
        <w:tc>
          <w:tcPr/>
          <w:p>
            <w:pPr>
              <w:pStyle w:val="Compact"/>
            </w:pPr>
            <w:r>
              <w:t xml:space="preserve">master</w:t>
            </w:r>
          </w:p>
        </w:tc>
        <w:tc>
          <w:tcPr/>
          <w:p>
            <w:pPr>
              <w:pStyle w:val="Compact"/>
              <w:jc w:val="right"/>
            </w:pPr>
            <w:r>
              <w:t xml:space="preserve">2,796</w:t>
            </w:r>
          </w:p>
        </w:tc>
        <w:tc>
          <w:tcPr/>
          <w:p>
            <w:pPr>
              <w:pStyle w:val="Compact"/>
              <w:jc w:val="right"/>
            </w:pPr>
            <w:r>
              <w:t xml:space="preserve">2,674.2</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jc w:val="right"/>
            </w:pPr>
            <w:r>
              <w:rPr>
                <w:b/>
                <w:bCs/>
              </w:rPr>
              <w:t xml:space="preserve">17,733</w:t>
            </w:r>
          </w:p>
        </w:tc>
        <w:tc>
          <w:tcPr/>
          <w:p>
            <w:pPr>
              <w:pStyle w:val="Compact"/>
              <w:jc w:val="right"/>
            </w:pPr>
            <w:r>
              <w:rPr>
                <w:b/>
                <w:bCs/>
              </w:rPr>
              <w:t xml:space="preserve">14,358.9</w:t>
            </w:r>
          </w:p>
        </w:tc>
      </w:tr>
    </w:tbl>
    <w:p>
      <w:pPr>
        <w:pStyle w:val="BodyText"/>
      </w:pPr>
      <w:r>
        <w:t xml:space="preserve">Every row above is master, so eligible for the annual files. Separately,</w:t>
      </w:r>
      <w:r>
        <w:t xml:space="preserve"> </w:t>
      </w:r>
      <w:r>
        <w:rPr>
          <w:b/>
          <w:bCs/>
        </w:rPr>
        <w:t xml:space="preserve">2,352,924 domains have no</w:t>
      </w:r>
      <w:r>
        <w:rPr>
          <w:b/>
          <w:bCs/>
        </w:rPr>
        <w:t xml:space="preserve"> </w:t>
      </w:r>
      <w:r>
        <w:rPr>
          <w:b/>
          <w:bCs/>
        </w:rPr>
        <w:t xml:space="preserve">year-specific evidence</w:t>
      </w:r>
      <w:r>
        <w:t xml:space="preserve"> </w:t>
      </w:r>
      <w:r>
        <w:t xml:space="preserve">and ship as</w:t>
      </w:r>
      <w:r>
        <w:t xml:space="preserve"> </w:t>
      </w:r>
      <w:r>
        <w:rPr>
          <w:rStyle w:val="VerbatimChar"/>
        </w:rPr>
        <w:t xml:space="preserve">candidates.txt</w:t>
      </w:r>
      <w:r>
        <w:t xml:space="preserve">, kept out of the annual masters.</w:t>
      </w:r>
    </w:p>
    <w:p>
      <w:r>
        <w:pict>
          <v:rect style="width:0;height:1.5pt" o:hralign="center" o:hrstd="t" o:hr="t"/>
        </w:pict>
      </w:r>
    </w:p>
    <w:bookmarkEnd w:id="11"/>
    <w:bookmarkStart w:id="12" w:name="Xc45a411903c5ef4b6305215adc725499c74fbf5"/>
    <w:p>
      <w:pPr>
        <w:pStyle w:val="Heading2"/>
      </w:pPr>
      <w:r>
        <w:t xml:space="preserve">4. CDX execution notes</w:t>
      </w:r>
    </w:p>
    <w:p>
      <w:pPr>
        <w:pStyle w:val="FirstParagraph"/>
      </w:pPr>
      <w:r>
        <w:rPr>
          <w:rStyle w:val="VerbatimChar"/>
        </w:rPr>
        <w:t xml:space="preserve">ark cdx</w:t>
      </w:r>
      <w:r>
        <w:t xml:space="preserve">, this project's client for the public Wayback CDX API, over two disjoint populations on two</w:t>
      </w:r>
      <w:r>
        <w:t xml:space="preserve"> </w:t>
      </w:r>
      <w:r>
        <w:t xml:space="preserve">machines: the VPS works bracketed gaps as a completeness baseline, the local engine works the candidate</w:t>
      </w:r>
      <w:r>
        <w:t xml:space="preserve"> </w:t>
      </w:r>
      <w:r>
        <w:t xml:space="preserve">pool beside the discovery loop feeding it.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Collector prefix</w:t>
            </w:r>
          </w:p>
        </w:tc>
        <w:tc>
          <w:tcPr/>
          <w:p>
            <w:pPr>
              <w:pStyle w:val="Compact"/>
              <w:jc w:val="right"/>
            </w:pPr>
            <w:r>
              <w:t xml:space="preserve">Journals</w:t>
            </w:r>
          </w:p>
        </w:tc>
        <w:tc>
          <w:tcPr/>
          <w:p>
            <w:pPr>
              <w:pStyle w:val="Compact"/>
              <w:jc w:val="right"/>
            </w:pPr>
            <w:r>
              <w:t xml:space="preserve">Queries</w:t>
            </w:r>
          </w:p>
        </w:tc>
        <w:tc>
          <w:tcPr/>
          <w:p>
            <w:pPr>
              <w:pStyle w:val="Compact"/>
              <w:jc w:val="right"/>
            </w:pPr>
            <w:r>
              <w:t xml:space="preserve">Answered</w:t>
            </w:r>
          </w:p>
        </w:tc>
        <w:tc>
          <w:tcPr/>
          <w:p>
            <w:pPr>
              <w:pStyle w:val="Compact"/>
              <w:jc w:val="right"/>
            </w:pPr>
            <w:r>
              <w:t xml:space="preserve">Success</w:t>
            </w:r>
          </w:p>
        </w:tc>
        <w:tc>
          <w:tcPr/>
          <w:p>
            <w:pPr>
              <w:pStyle w:val="Compact"/>
              <w:jc w:val="right"/>
            </w:pPr>
            <w:r>
              <w:t xml:space="preserve">In-window hit rate</w:t>
            </w:r>
          </w:p>
        </w:tc>
        <w:tc>
          <w:tcPr/>
          <w:p>
            <w:pPr>
              <w:pStyle w:val="Compact"/>
              <w:jc w:val="right"/>
            </w:pPr>
            <w:r>
              <w:t xml:space="preserve">Distinct domains</w:t>
            </w:r>
          </w:p>
        </w:tc>
        <w:tc>
          <w:tcPr/>
          <w:p>
            <w:pPr>
              <w:pStyle w:val="Compact"/>
              <w:jc w:val="right"/>
            </w:pPr>
            <w:r>
              <w:t xml:space="preserve">In-window pairs</w:t>
            </w:r>
          </w:p>
        </w:tc>
      </w:tr>
      <w:tr>
        <w:tc>
          <w:tcPr/>
          <w:p>
            <w:pPr>
              <w:pStyle w:val="Compact"/>
            </w:pPr>
            <w:r>
              <w:rPr>
                <w:rStyle w:val="VerbatimChar"/>
              </w:rPr>
              <w:t xml:space="preserve">cdx_pool</w:t>
            </w:r>
          </w:p>
        </w:tc>
        <w:tc>
          <w:tcPr/>
          <w:p>
            <w:pPr>
              <w:pStyle w:val="Compact"/>
              <w:jc w:val="right"/>
            </w:pPr>
            <w:r>
              <w:t xml:space="preserve">197</w:t>
            </w:r>
          </w:p>
        </w:tc>
        <w:tc>
          <w:tcPr/>
          <w:p>
            <w:pPr>
              <w:pStyle w:val="Compact"/>
              <w:jc w:val="right"/>
            </w:pPr>
            <w:r>
              <w:t xml:space="preserve">125,355</w:t>
            </w:r>
          </w:p>
        </w:tc>
        <w:tc>
          <w:tcPr/>
          <w:p>
            <w:pPr>
              <w:pStyle w:val="Compact"/>
              <w:jc w:val="right"/>
            </w:pPr>
            <w:r>
              <w:t xml:space="preserve">108,765</w:t>
            </w:r>
          </w:p>
        </w:tc>
        <w:tc>
          <w:tcPr/>
          <w:p>
            <w:pPr>
              <w:pStyle w:val="Compact"/>
              <w:jc w:val="right"/>
            </w:pPr>
            <w:r>
              <w:t xml:space="preserve">86.8%</w:t>
            </w:r>
          </w:p>
        </w:tc>
        <w:tc>
          <w:tcPr/>
          <w:p>
            <w:pPr>
              <w:pStyle w:val="Compact"/>
              <w:jc w:val="right"/>
            </w:pPr>
            <w:r>
              <w:t xml:space="preserve">47.2%</w:t>
            </w:r>
          </w:p>
        </w:tc>
        <w:tc>
          <w:tcPr/>
          <w:p>
            <w:pPr>
              <w:pStyle w:val="Compact"/>
              <w:jc w:val="right"/>
            </w:pPr>
            <w:r>
              <w:t xml:space="preserve">109,116</w:t>
            </w:r>
          </w:p>
        </w:tc>
        <w:tc>
          <w:tcPr/>
          <w:p>
            <w:pPr>
              <w:pStyle w:val="Compact"/>
              <w:jc w:val="right"/>
            </w:pPr>
            <w:r>
              <w:t xml:space="preserve">70,805</w:t>
            </w:r>
          </w:p>
        </w:tc>
      </w:tr>
      <w:tr>
        <w:tc>
          <w:tcPr/>
          <w:p>
            <w:pPr>
              <w:pStyle w:val="Compact"/>
            </w:pPr>
            <w:r>
              <w:rPr>
                <w:rStyle w:val="VerbatimChar"/>
              </w:rPr>
              <w:t xml:space="preserve">cdx_q1</w:t>
            </w:r>
          </w:p>
        </w:tc>
        <w:tc>
          <w:tcPr/>
          <w:p>
            <w:pPr>
              <w:pStyle w:val="Compact"/>
              <w:jc w:val="right"/>
            </w:pPr>
            <w:r>
              <w:t xml:space="preserve">214</w:t>
            </w:r>
          </w:p>
        </w:tc>
        <w:tc>
          <w:tcPr/>
          <w:p>
            <w:pPr>
              <w:pStyle w:val="Compact"/>
              <w:jc w:val="right"/>
            </w:pPr>
            <w:r>
              <w:t xml:space="preserve">63,919</w:t>
            </w:r>
          </w:p>
        </w:tc>
        <w:tc>
          <w:tcPr/>
          <w:p>
            <w:pPr>
              <w:pStyle w:val="Compact"/>
              <w:jc w:val="right"/>
            </w:pPr>
            <w:r>
              <w:t xml:space="preserve">55,844</w:t>
            </w:r>
          </w:p>
        </w:tc>
        <w:tc>
          <w:tcPr/>
          <w:p>
            <w:pPr>
              <w:pStyle w:val="Compact"/>
              <w:jc w:val="right"/>
            </w:pPr>
            <w:r>
              <w:t xml:space="preserve">87.4%</w:t>
            </w:r>
          </w:p>
        </w:tc>
        <w:tc>
          <w:tcPr/>
          <w:p>
            <w:pPr>
              <w:pStyle w:val="Compact"/>
              <w:jc w:val="right"/>
            </w:pPr>
            <w:r>
              <w:t xml:space="preserve">71.9%</w:t>
            </w:r>
          </w:p>
        </w:tc>
        <w:tc>
          <w:tcPr/>
          <w:p>
            <w:pPr>
              <w:pStyle w:val="Compact"/>
              <w:jc w:val="right"/>
            </w:pPr>
            <w:r>
              <w:t xml:space="preserve">55,943</w:t>
            </w:r>
          </w:p>
        </w:tc>
        <w:tc>
          <w:tcPr/>
          <w:p>
            <w:pPr>
              <w:pStyle w:val="Compact"/>
              <w:jc w:val="right"/>
            </w:pPr>
            <w:r>
              <w:t xml:space="preserve">127,552</w:t>
            </w:r>
          </w:p>
        </w:tc>
      </w:tr>
      <w:tr>
        <w:tc>
          <w:tcPr/>
          <w:p>
            <w:pPr>
              <w:pStyle w:val="Compact"/>
            </w:pPr>
            <w:r>
              <w:rPr>
                <w:rStyle w:val="VerbatimChar"/>
              </w:rPr>
              <w:t xml:space="preserve">cdx_gap</w:t>
            </w:r>
          </w:p>
        </w:tc>
        <w:tc>
          <w:tcPr/>
          <w:p>
            <w:pPr>
              <w:pStyle w:val="Compact"/>
              <w:jc w:val="right"/>
            </w:pPr>
            <w:r>
              <w:t xml:space="preserve">104</w:t>
            </w:r>
          </w:p>
        </w:tc>
        <w:tc>
          <w:tcPr/>
          <w:p>
            <w:pPr>
              <w:pStyle w:val="Compact"/>
              <w:jc w:val="right"/>
            </w:pPr>
            <w:r>
              <w:t xml:space="preserve">41,816</w:t>
            </w:r>
          </w:p>
        </w:tc>
        <w:tc>
          <w:tcPr/>
          <w:p>
            <w:pPr>
              <w:pStyle w:val="Compact"/>
              <w:jc w:val="right"/>
            </w:pPr>
            <w:r>
              <w:t xml:space="preserve">35,964</w:t>
            </w:r>
          </w:p>
        </w:tc>
        <w:tc>
          <w:tcPr/>
          <w:p>
            <w:pPr>
              <w:pStyle w:val="Compact"/>
              <w:jc w:val="right"/>
            </w:pPr>
            <w:r>
              <w:t xml:space="preserve">86.0%</w:t>
            </w:r>
          </w:p>
        </w:tc>
        <w:tc>
          <w:tcPr/>
          <w:p>
            <w:pPr>
              <w:pStyle w:val="Compact"/>
              <w:jc w:val="right"/>
            </w:pPr>
            <w:r>
              <w:t xml:space="preserve">98.4%</w:t>
            </w:r>
          </w:p>
        </w:tc>
        <w:tc>
          <w:tcPr/>
          <w:p>
            <w:pPr>
              <w:pStyle w:val="Compact"/>
              <w:jc w:val="right"/>
            </w:pPr>
            <w:r>
              <w:t xml:space="preserve">36,355</w:t>
            </w:r>
          </w:p>
        </w:tc>
        <w:tc>
          <w:tcPr/>
          <w:p>
            <w:pPr>
              <w:pStyle w:val="Compact"/>
              <w:jc w:val="right"/>
            </w:pPr>
            <w:r>
              <w:t xml:space="preserve">134,864</w:t>
            </w:r>
          </w:p>
        </w:tc>
      </w:tr>
      <w:tr>
        <w:tc>
          <w:tcPr/>
          <w:p>
            <w:pPr>
              <w:pStyle w:val="Compact"/>
            </w:pPr>
            <w:r>
              <w:rPr>
                <w:rStyle w:val="VerbatimChar"/>
              </w:rPr>
              <w:t xml:space="preserve">cdx_q0</w:t>
            </w:r>
          </w:p>
        </w:tc>
        <w:tc>
          <w:tcPr/>
          <w:p>
            <w:pPr>
              <w:pStyle w:val="Compact"/>
              <w:jc w:val="right"/>
            </w:pPr>
            <w:r>
              <w:t xml:space="preserve">67</w:t>
            </w:r>
          </w:p>
        </w:tc>
        <w:tc>
          <w:tcPr/>
          <w:p>
            <w:pPr>
              <w:pStyle w:val="Compact"/>
              <w:jc w:val="right"/>
            </w:pPr>
            <w:r>
              <w:t xml:space="preserve">39,928</w:t>
            </w:r>
          </w:p>
        </w:tc>
        <w:tc>
          <w:tcPr/>
          <w:p>
            <w:pPr>
              <w:pStyle w:val="Compact"/>
              <w:jc w:val="right"/>
            </w:pPr>
            <w:r>
              <w:t xml:space="preserve">39,779</w:t>
            </w:r>
          </w:p>
        </w:tc>
        <w:tc>
          <w:tcPr/>
          <w:p>
            <w:pPr>
              <w:pStyle w:val="Compact"/>
              <w:jc w:val="right"/>
            </w:pPr>
            <w:r>
              <w:t xml:space="preserve">99.6%</w:t>
            </w:r>
          </w:p>
        </w:tc>
        <w:tc>
          <w:tcPr/>
          <w:p>
            <w:pPr>
              <w:pStyle w:val="Compact"/>
              <w:jc w:val="right"/>
            </w:pPr>
            <w:r>
              <w:t xml:space="preserve">71.3%</w:t>
            </w:r>
          </w:p>
        </w:tc>
        <w:tc>
          <w:tcPr/>
          <w:p>
            <w:pPr>
              <w:pStyle w:val="Compact"/>
              <w:jc w:val="right"/>
            </w:pPr>
            <w:r>
              <w:t xml:space="preserve">39,781</w:t>
            </w:r>
          </w:p>
        </w:tc>
        <w:tc>
          <w:tcPr/>
          <w:p>
            <w:pPr>
              <w:pStyle w:val="Compact"/>
              <w:jc w:val="right"/>
            </w:pPr>
            <w:r>
              <w:t xml:space="preserve">83,880</w:t>
            </w:r>
          </w:p>
        </w:tc>
      </w:tr>
      <w:tr>
        <w:tc>
          <w:tcPr/>
          <w:p>
            <w:pPr>
              <w:pStyle w:val="Compact"/>
            </w:pPr>
            <w:r>
              <w:rPr>
                <w:rStyle w:val="VerbatimChar"/>
              </w:rPr>
              <w:t xml:space="preserve">cdx</w:t>
            </w:r>
          </w:p>
        </w:tc>
        <w:tc>
          <w:tcPr/>
          <w:p>
            <w:pPr>
              <w:pStyle w:val="Compact"/>
              <w:jc w:val="right"/>
            </w:pPr>
            <w:r>
              <w:t xml:space="preserve">72</w:t>
            </w:r>
          </w:p>
        </w:tc>
        <w:tc>
          <w:tcPr/>
          <w:p>
            <w:pPr>
              <w:pStyle w:val="Compact"/>
              <w:jc w:val="right"/>
            </w:pPr>
            <w:r>
              <w:t xml:space="preserve">34,779</w:t>
            </w:r>
          </w:p>
        </w:tc>
        <w:tc>
          <w:tcPr/>
          <w:p>
            <w:pPr>
              <w:pStyle w:val="Compact"/>
              <w:jc w:val="right"/>
            </w:pPr>
            <w:r>
              <w:t xml:space="preserve">26,392</w:t>
            </w:r>
          </w:p>
        </w:tc>
        <w:tc>
          <w:tcPr/>
          <w:p>
            <w:pPr>
              <w:pStyle w:val="Compact"/>
              <w:jc w:val="right"/>
            </w:pPr>
            <w:r>
              <w:t xml:space="preserve">75.9%</w:t>
            </w:r>
          </w:p>
        </w:tc>
        <w:tc>
          <w:tcPr/>
          <w:p>
            <w:pPr>
              <w:pStyle w:val="Compact"/>
              <w:jc w:val="right"/>
            </w:pPr>
            <w:r>
              <w:t xml:space="preserve">95.5%</w:t>
            </w:r>
          </w:p>
        </w:tc>
        <w:tc>
          <w:tcPr/>
          <w:p>
            <w:pPr>
              <w:pStyle w:val="Compact"/>
              <w:jc w:val="right"/>
            </w:pPr>
            <w:r>
              <w:t xml:space="preserve">28,508</w:t>
            </w:r>
          </w:p>
        </w:tc>
        <w:tc>
          <w:tcPr/>
          <w:p>
            <w:pPr>
              <w:pStyle w:val="Compact"/>
              <w:jc w:val="right"/>
            </w:pPr>
            <w:r>
              <w:t xml:space="preserve">89,168</w:t>
            </w:r>
          </w:p>
        </w:tc>
      </w:tr>
      <w:tr>
        <w:tc>
          <w:tcPr/>
          <w:p>
            <w:pPr>
              <w:pStyle w:val="Compact"/>
            </w:pPr>
            <w:r>
              <w:rPr>
                <w:rStyle w:val="VerbatimChar"/>
              </w:rPr>
              <w:t xml:space="preserve">cdx_gap_vps</w:t>
            </w:r>
          </w:p>
        </w:tc>
        <w:tc>
          <w:tcPr/>
          <w:p>
            <w:pPr>
              <w:pStyle w:val="Compact"/>
              <w:jc w:val="right"/>
            </w:pPr>
            <w:r>
              <w:t xml:space="preserve">44</w:t>
            </w:r>
          </w:p>
        </w:tc>
        <w:tc>
          <w:tcPr/>
          <w:p>
            <w:pPr>
              <w:pStyle w:val="Compact"/>
              <w:jc w:val="right"/>
            </w:pPr>
            <w:r>
              <w:t xml:space="preserve">11,894</w:t>
            </w:r>
          </w:p>
        </w:tc>
        <w:tc>
          <w:tcPr/>
          <w:p>
            <w:pPr>
              <w:pStyle w:val="Compact"/>
              <w:jc w:val="right"/>
            </w:pPr>
            <w:r>
              <w:t xml:space="preserve">10,508</w:t>
            </w:r>
          </w:p>
        </w:tc>
        <w:tc>
          <w:tcPr/>
          <w:p>
            <w:pPr>
              <w:pStyle w:val="Compact"/>
              <w:jc w:val="right"/>
            </w:pPr>
            <w:r>
              <w:t xml:space="preserve">88.3%</w:t>
            </w:r>
          </w:p>
        </w:tc>
        <w:tc>
          <w:tcPr/>
          <w:p>
            <w:pPr>
              <w:pStyle w:val="Compact"/>
              <w:jc w:val="right"/>
            </w:pPr>
            <w:r>
              <w:t xml:space="preserve">98.8%</w:t>
            </w:r>
          </w:p>
        </w:tc>
        <w:tc>
          <w:tcPr/>
          <w:p>
            <w:pPr>
              <w:pStyle w:val="Compact"/>
              <w:jc w:val="right"/>
            </w:pPr>
            <w:r>
              <w:t xml:space="preserve">10,529</w:t>
            </w:r>
          </w:p>
        </w:tc>
        <w:tc>
          <w:tcPr/>
          <w:p>
            <w:pPr>
              <w:pStyle w:val="Compact"/>
              <w:jc w:val="right"/>
            </w:pPr>
            <w:r>
              <w:t xml:space="preserve">40,370</w:t>
            </w:r>
          </w:p>
        </w:tc>
      </w:tr>
      <w:tr>
        <w:tc>
          <w:tcPr/>
          <w:p>
            <w:pPr>
              <w:pStyle w:val="Compact"/>
            </w:pPr>
            <w:r>
              <w:rPr>
                <w:rStyle w:val="VerbatimChar"/>
              </w:rPr>
              <w:t xml:space="preserve">cdx_gap3</w:t>
            </w:r>
          </w:p>
        </w:tc>
        <w:tc>
          <w:tcPr/>
          <w:p>
            <w:pPr>
              <w:pStyle w:val="Compact"/>
              <w:jc w:val="right"/>
            </w:pPr>
            <w:r>
              <w:t xml:space="preserve">16</w:t>
            </w:r>
          </w:p>
        </w:tc>
        <w:tc>
          <w:tcPr/>
          <w:p>
            <w:pPr>
              <w:pStyle w:val="Compact"/>
              <w:jc w:val="right"/>
            </w:pPr>
            <w:r>
              <w:t xml:space="preserve">4,638</w:t>
            </w:r>
          </w:p>
        </w:tc>
        <w:tc>
          <w:tcPr/>
          <w:p>
            <w:pPr>
              <w:pStyle w:val="Compact"/>
              <w:jc w:val="right"/>
            </w:pPr>
            <w:r>
              <w:t xml:space="preserve">4,173</w:t>
            </w:r>
          </w:p>
        </w:tc>
        <w:tc>
          <w:tcPr/>
          <w:p>
            <w:pPr>
              <w:pStyle w:val="Compact"/>
              <w:jc w:val="right"/>
            </w:pPr>
            <w:r>
              <w:t xml:space="preserve">90.0%</w:t>
            </w:r>
          </w:p>
        </w:tc>
        <w:tc>
          <w:tcPr/>
          <w:p>
            <w:pPr>
              <w:pStyle w:val="Compact"/>
              <w:jc w:val="right"/>
            </w:pPr>
            <w:r>
              <w:t xml:space="preserve">67.1%</w:t>
            </w:r>
          </w:p>
        </w:tc>
        <w:tc>
          <w:tcPr/>
          <w:p>
            <w:pPr>
              <w:pStyle w:val="Compact"/>
              <w:jc w:val="right"/>
            </w:pPr>
            <w:r>
              <w:t xml:space="preserve">4,206</w:t>
            </w:r>
          </w:p>
        </w:tc>
        <w:tc>
          <w:tcPr/>
          <w:p>
            <w:pPr>
              <w:pStyle w:val="Compact"/>
              <w:jc w:val="right"/>
            </w:pPr>
            <w:r>
              <w:t xml:space="preserve">4,919</w:t>
            </w:r>
          </w:p>
        </w:tc>
      </w:tr>
      <w:tr>
        <w:tc>
          <w:tcPr/>
          <w:p>
            <w:pPr>
              <w:pStyle w:val="Compact"/>
            </w:pPr>
            <w:r>
              <w:rPr>
                <w:rStyle w:val="VerbatimChar"/>
              </w:rPr>
              <w:t xml:space="preserve">cdx_gap2</w:t>
            </w:r>
          </w:p>
        </w:tc>
        <w:tc>
          <w:tcPr/>
          <w:p>
            <w:pPr>
              <w:pStyle w:val="Compact"/>
              <w:jc w:val="right"/>
            </w:pPr>
            <w:r>
              <w:t xml:space="preserve">13</w:t>
            </w:r>
          </w:p>
        </w:tc>
        <w:tc>
          <w:tcPr/>
          <w:p>
            <w:pPr>
              <w:pStyle w:val="Compact"/>
              <w:jc w:val="right"/>
            </w:pPr>
            <w:r>
              <w:t xml:space="preserve">3,718</w:t>
            </w:r>
          </w:p>
        </w:tc>
        <w:tc>
          <w:tcPr/>
          <w:p>
            <w:pPr>
              <w:pStyle w:val="Compact"/>
              <w:jc w:val="right"/>
            </w:pPr>
            <w:r>
              <w:t xml:space="preserve">3,309</w:t>
            </w:r>
          </w:p>
        </w:tc>
        <w:tc>
          <w:tcPr/>
          <w:p>
            <w:pPr>
              <w:pStyle w:val="Compact"/>
              <w:jc w:val="right"/>
            </w:pPr>
            <w:r>
              <w:t xml:space="preserve">89.0%</w:t>
            </w:r>
          </w:p>
        </w:tc>
        <w:tc>
          <w:tcPr/>
          <w:p>
            <w:pPr>
              <w:pStyle w:val="Compact"/>
              <w:jc w:val="right"/>
            </w:pPr>
            <w:r>
              <w:t xml:space="preserve">94.5%</w:t>
            </w:r>
          </w:p>
        </w:tc>
        <w:tc>
          <w:tcPr/>
          <w:p>
            <w:pPr>
              <w:pStyle w:val="Compact"/>
              <w:jc w:val="right"/>
            </w:pPr>
            <w:r>
              <w:t xml:space="preserve">3,323</w:t>
            </w:r>
          </w:p>
        </w:tc>
        <w:tc>
          <w:tcPr/>
          <w:p>
            <w:pPr>
              <w:pStyle w:val="Compact"/>
              <w:jc w:val="right"/>
            </w:pPr>
            <w:r>
              <w:t xml:space="preserve">10,420</w:t>
            </w:r>
          </w:p>
        </w:tc>
      </w:tr>
      <w:tr>
        <w:tc>
          <w:tcPr/>
          <w:p>
            <w:pPr>
              <w:pStyle w:val="Compact"/>
            </w:pPr>
            <w:r>
              <w:rPr>
                <w:rStyle w:val="VerbatimChar"/>
              </w:rPr>
              <w:t xml:space="preserve">cdx_disc</w:t>
            </w:r>
          </w:p>
        </w:tc>
        <w:tc>
          <w:tcPr/>
          <w:p>
            <w:pPr>
              <w:pStyle w:val="Compact"/>
              <w:jc w:val="right"/>
            </w:pPr>
            <w:r>
              <w:t xml:space="preserve">6</w:t>
            </w:r>
          </w:p>
        </w:tc>
        <w:tc>
          <w:tcPr/>
          <w:p>
            <w:pPr>
              <w:pStyle w:val="Compact"/>
              <w:jc w:val="right"/>
            </w:pPr>
            <w:r>
              <w:t xml:space="preserve">3,222</w:t>
            </w:r>
          </w:p>
        </w:tc>
        <w:tc>
          <w:tcPr/>
          <w:p>
            <w:pPr>
              <w:pStyle w:val="Compact"/>
              <w:jc w:val="right"/>
            </w:pPr>
            <w:r>
              <w:t xml:space="preserve">3,192</w:t>
            </w:r>
          </w:p>
        </w:tc>
        <w:tc>
          <w:tcPr/>
          <w:p>
            <w:pPr>
              <w:pStyle w:val="Compact"/>
              <w:jc w:val="right"/>
            </w:pPr>
            <w:r>
              <w:t xml:space="preserve">99.1%</w:t>
            </w:r>
          </w:p>
        </w:tc>
        <w:tc>
          <w:tcPr/>
          <w:p>
            <w:pPr>
              <w:pStyle w:val="Compact"/>
              <w:jc w:val="right"/>
            </w:pPr>
            <w:r>
              <w:t xml:space="preserve">44.6%</w:t>
            </w:r>
          </w:p>
        </w:tc>
        <w:tc>
          <w:tcPr/>
          <w:p>
            <w:pPr>
              <w:pStyle w:val="Compact"/>
              <w:jc w:val="right"/>
            </w:pPr>
            <w:r>
              <w:t xml:space="preserve">3,193</w:t>
            </w:r>
          </w:p>
        </w:tc>
        <w:tc>
          <w:tcPr/>
          <w:p>
            <w:pPr>
              <w:pStyle w:val="Compact"/>
              <w:jc w:val="right"/>
            </w:pPr>
            <w:r>
              <w:t xml:space="preserve">2,032</w:t>
            </w:r>
          </w:p>
        </w:tc>
      </w:tr>
      <w:tr>
        <w:tc>
          <w:tcPr/>
          <w:p>
            <w:pPr>
              <w:pStyle w:val="Compact"/>
            </w:pPr>
            <w:r>
              <w:rPr>
                <w:rStyle w:val="VerbatimChar"/>
              </w:rPr>
              <w:t xml:space="preserve">cdx_discovered</w:t>
            </w:r>
          </w:p>
        </w:tc>
        <w:tc>
          <w:tcPr/>
          <w:p>
            <w:pPr>
              <w:pStyle w:val="Compact"/>
              <w:jc w:val="right"/>
            </w:pPr>
            <w:r>
              <w:t xml:space="preserve">1</w:t>
            </w:r>
          </w:p>
        </w:tc>
        <w:tc>
          <w:tcPr/>
          <w:p>
            <w:pPr>
              <w:pStyle w:val="Compact"/>
              <w:jc w:val="right"/>
            </w:pPr>
            <w:r>
              <w:t xml:space="preserve">298</w:t>
            </w:r>
          </w:p>
        </w:tc>
        <w:tc>
          <w:tcPr/>
          <w:p>
            <w:pPr>
              <w:pStyle w:val="Compact"/>
              <w:jc w:val="right"/>
            </w:pPr>
            <w:r>
              <w:t xml:space="preserve">233</w:t>
            </w:r>
          </w:p>
        </w:tc>
        <w:tc>
          <w:tcPr/>
          <w:p>
            <w:pPr>
              <w:pStyle w:val="Compact"/>
              <w:jc w:val="right"/>
            </w:pPr>
            <w:r>
              <w:t xml:space="preserve">78.2%</w:t>
            </w:r>
          </w:p>
        </w:tc>
        <w:tc>
          <w:tcPr/>
          <w:p>
            <w:pPr>
              <w:pStyle w:val="Compact"/>
              <w:jc w:val="right"/>
            </w:pPr>
            <w:r>
              <w:t xml:space="preserve">85.0%</w:t>
            </w:r>
          </w:p>
        </w:tc>
        <w:tc>
          <w:tcPr/>
          <w:p>
            <w:pPr>
              <w:pStyle w:val="Compact"/>
              <w:jc w:val="right"/>
            </w:pPr>
            <w:r>
              <w:t xml:space="preserve">298</w:t>
            </w:r>
          </w:p>
        </w:tc>
        <w:tc>
          <w:tcPr/>
          <w:p>
            <w:pPr>
              <w:pStyle w:val="Compact"/>
              <w:jc w:val="right"/>
            </w:pPr>
            <w:r>
              <w:t xml:space="preserve">278</w:t>
            </w:r>
          </w:p>
        </w:tc>
      </w:tr>
      <w:tr>
        <w:tc>
          <w:tcPr/>
          <w:p>
            <w:pPr>
              <w:pStyle w:val="Compact"/>
            </w:pPr>
            <w:r>
              <w:rPr>
                <w:rStyle w:val="VerbatimChar"/>
              </w:rPr>
              <w:t xml:space="preserve">cdx_edgepilot_b</w:t>
            </w:r>
          </w:p>
        </w:tc>
        <w:tc>
          <w:tcPr/>
          <w:p>
            <w:pPr>
              <w:pStyle w:val="Compact"/>
              <w:jc w:val="right"/>
            </w:pPr>
            <w:r>
              <w:t xml:space="preserve">1</w:t>
            </w:r>
          </w:p>
        </w:tc>
        <w:tc>
          <w:tcPr/>
          <w:p>
            <w:pPr>
              <w:pStyle w:val="Compact"/>
              <w:jc w:val="right"/>
            </w:pPr>
            <w:r>
              <w:t xml:space="preserve">155</w:t>
            </w:r>
          </w:p>
        </w:tc>
        <w:tc>
          <w:tcPr/>
          <w:p>
            <w:pPr>
              <w:pStyle w:val="Compact"/>
              <w:jc w:val="right"/>
            </w:pPr>
            <w:r>
              <w:t xml:space="preserve">141</w:t>
            </w:r>
          </w:p>
        </w:tc>
        <w:tc>
          <w:tcPr/>
          <w:p>
            <w:pPr>
              <w:pStyle w:val="Compact"/>
              <w:jc w:val="right"/>
            </w:pPr>
            <w:r>
              <w:t xml:space="preserve">91.0%</w:t>
            </w:r>
          </w:p>
        </w:tc>
        <w:tc>
          <w:tcPr/>
          <w:p>
            <w:pPr>
              <w:pStyle w:val="Compact"/>
              <w:jc w:val="right"/>
            </w:pPr>
            <w:r>
              <w:t xml:space="preserve">80.9%</w:t>
            </w:r>
          </w:p>
        </w:tc>
        <w:tc>
          <w:tcPr/>
          <w:p>
            <w:pPr>
              <w:pStyle w:val="Compact"/>
              <w:jc w:val="right"/>
            </w:pPr>
            <w:r>
              <w:t xml:space="preserve">155</w:t>
            </w:r>
          </w:p>
        </w:tc>
        <w:tc>
          <w:tcPr/>
          <w:p>
            <w:pPr>
              <w:pStyle w:val="Compact"/>
              <w:jc w:val="right"/>
            </w:pPr>
            <w:r>
              <w:t xml:space="preserve">325</w:t>
            </w:r>
          </w:p>
        </w:tc>
      </w:tr>
      <w:tr>
        <w:tc>
          <w:tcPr/>
          <w:p>
            <w:pPr>
              <w:pStyle w:val="Compact"/>
            </w:pPr>
            <w:r>
              <w:rPr>
                <w:b/>
                <w:bCs/>
              </w:rPr>
              <w:t xml:space="preserve">All</w:t>
            </w:r>
          </w:p>
        </w:tc>
        <w:tc>
          <w:tcPr/>
          <w:p>
            <w:pPr>
              <w:pStyle w:val="Compact"/>
              <w:jc w:val="right"/>
            </w:pPr>
            <w:r>
              <w:rPr>
                <w:b/>
                <w:bCs/>
              </w:rPr>
              <w:t xml:space="preserve">735</w:t>
            </w:r>
          </w:p>
        </w:tc>
        <w:tc>
          <w:tcPr/>
          <w:p>
            <w:pPr>
              <w:pStyle w:val="Compact"/>
              <w:jc w:val="right"/>
            </w:pPr>
            <w:r>
              <w:rPr>
                <w:b/>
                <w:bCs/>
              </w:rPr>
              <w:t xml:space="preserve">329,722</w:t>
            </w:r>
          </w:p>
        </w:tc>
        <w:tc>
          <w:tcPr/>
          <w:p>
            <w:pPr>
              <w:pStyle w:val="Compact"/>
              <w:jc w:val="right"/>
            </w:pPr>
            <w:r>
              <w:rPr>
                <w:b/>
                <w:bCs/>
              </w:rPr>
              <w:t xml:space="preserve">288,300</w:t>
            </w:r>
          </w:p>
        </w:tc>
        <w:tc>
          <w:tcPr/>
          <w:p>
            <w:pPr>
              <w:pStyle w:val="Compact"/>
              <w:jc w:val="right"/>
            </w:pPr>
            <w:r>
              <w:rPr>
                <w:b/>
                <w:bCs/>
              </w:rPr>
              <w:t xml:space="preserve">87.4%</w:t>
            </w:r>
          </w:p>
        </w:tc>
        <w:tc>
          <w:tcPr/>
          <w:p>
            <w:pPr>
              <w:pStyle w:val="Compact"/>
              <w:jc w:val="right"/>
            </w:pPr>
            <w:r>
              <w:rPr>
                <w:b/>
                <w:bCs/>
              </w:rPr>
              <w:t xml:space="preserve">68.8%</w:t>
            </w:r>
          </w:p>
        </w:tc>
        <w:tc>
          <w:tcPr/>
          <w:p>
            <w:pPr>
              <w:pStyle w:val="Compact"/>
              <w:jc w:val="right"/>
            </w:pPr>
            <w:r>
              <w:rPr>
                <w:b/>
                <w:bCs/>
              </w:rPr>
              <w:t xml:space="preserve">289,519</w:t>
            </w:r>
          </w:p>
        </w:tc>
        <w:tc>
          <w:tcPr/>
          <w:p>
            <w:pPr>
              <w:pStyle w:val="Compact"/>
              <w:jc w:val="right"/>
            </w:pPr>
            <w:r>
              <w:rPr>
                <w:b/>
                <w:bCs/>
              </w:rPr>
              <w:t xml:space="preserve">564,613</w:t>
            </w:r>
          </w:p>
        </w:tc>
      </w:tr>
    </w:tbl>
    <w:p>
      <w:pPr>
        <w:pStyle w:val="BodyText"/>
      </w:pPr>
      <w:r>
        <w:t xml:space="preserve">Of 329,722 queries, 288,300 were answered (87.4%). The 41,422 that were not divide into two kinds, and the smaller kind is the one usually discussed.</w:t>
      </w:r>
      <w:r>
        <w:t xml:space="preserve"> </w:t>
      </w:r>
      <w:r>
        <w:rPr>
          <w:b/>
          <w:bCs/>
        </w:rPr>
        <w:t xml:space="preserve">HTTP-level errors are 3,081 (0.93%)</w:t>
      </w:r>
      <w:r>
        <w:t xml:space="preserve">: 0 rate limits (429), 2,153 server errors (500, 502, 503, 504) and 928 refusals (403).</w:t>
      </w:r>
      <w:r>
        <w:t xml:space="preserve"> </w:t>
      </w:r>
      <w:r>
        <w:rPr>
          <w:b/>
          <w:bCs/>
        </w:rPr>
        <w:t xml:space="preserve">Transport-level failures are 38,341 (11.63%)</w:t>
      </w:r>
      <w:r>
        <w:t xml:space="preserve">: 27,897 connections refused or reset and 10,444 timed out. So the binding constraint is not a status code we could read and obey, it is the connection being dropped before a status exists. Rate limits and server errors are retried with exponential backoff honouring</w:t>
      </w:r>
      <w:r>
        <w:t xml:space="preserve"> </w:t>
      </w:r>
      <w:r>
        <w:rPr>
          <w:rStyle w:val="VerbatimChar"/>
        </w:rPr>
        <w:t xml:space="preserve">Retry-After</w:t>
      </w:r>
      <w:r>
        <w:t xml:space="preserve">; refusals and timeouts are retried with a widening delay and then requeued, so no domain is lost by one failure; a 403 is treated as a permanent answer for that host and is not retried.</w:t>
      </w:r>
    </w:p>
    <w:p>
      <w:pPr>
        <w:pStyle w:val="BodyText"/>
      </w:pPr>
      <w:r>
        <w:rPr>
          <w:b/>
          <w:bCs/>
        </w:rPr>
        <w:t xml:space="preserve">Still worth expanding, and still not the binding constraint.</w:t>
      </w:r>
      <w:r>
        <w:t xml:space="preserve"> </w:t>
      </w:r>
      <w:r>
        <w:t xml:space="preserve">The measurement that says so:</w:t>
      </w:r>
      <w:r>
        <w:t xml:space="preserve"> </w:t>
      </w:r>
      <w:r>
        <w:t xml:space="preserve">2,284,110 candidate names sit unqueried against engines clearing a few hundred requests an hour, so</w:t>
      </w:r>
      <w:r>
        <w:t xml:space="preserve"> </w:t>
      </w:r>
      <w:r>
        <w:t xml:space="preserve">the limit is the request rate at one archive rather than anything about the population. Section VII of</w:t>
      </w:r>
      <w:r>
        <w:t xml:space="preserve"> </w:t>
      </w:r>
      <w:r>
        <w:t xml:space="preserve">the brief forbids calling a CDX route exhausted on anything but demonstrated yield, and this route is</w:t>
      </w:r>
      <w:r>
        <w:t xml:space="preserve"> </w:t>
      </w:r>
      <w:r>
        <w:t xml:space="preserve">not exhausted; it is metered.</w:t>
      </w:r>
    </w:p>
    <w:p>
      <w:pPr>
        <w:pStyle w:val="BodyText"/>
      </w:pPr>
      <w:r>
        <w:rPr>
          <w:b/>
          <w:bCs/>
        </w:rPr>
        <w:t xml:space="preserve">One finding this round changed how the queue is ranked, and it was worth more than a week of</w:t>
      </w:r>
      <w:r>
        <w:rPr>
          <w:b/>
          <w:bCs/>
        </w:rPr>
        <w:t xml:space="preserve"> </w:t>
      </w:r>
      <w:r>
        <w:rPr>
          <w:b/>
          <w:bCs/>
        </w:rPr>
        <w:t xml:space="preserve">querying.</w:t>
      </w:r>
      <w:r>
        <w:t xml:space="preserve"> </w:t>
      </w:r>
      <w:r>
        <w:t xml:space="preserve">The pool engine fell from 91.2% in-window to 6.1% overnight without failing any health</w:t>
      </w:r>
      <w:r>
        <w:t xml:space="preserve"> </w:t>
      </w:r>
      <w:r>
        <w:t xml:space="preserve">check: alive, writing, and answering. The cause was that per-TLD hit rates were measured as lifetime</w:t>
      </w:r>
      <w:r>
        <w:t xml:space="preserve"> </w:t>
      </w:r>
      <w:r>
        <w:t xml:space="preserve">averages, and the productive names in a namespace get queried first, so a worked-out namespace keeps</w:t>
      </w:r>
      <w:r>
        <w:t xml:space="preserve"> </w:t>
      </w:r>
      <w:r>
        <w:t xml:space="preserve">a flattering average. Measured over all 188 pool journals,</w:t>
      </w:r>
      <w:r>
        <w:t xml:space="preserve"> </w:t>
      </w:r>
      <w:r>
        <w:rPr>
          <w:rStyle w:val="VerbatimChar"/>
        </w:rPr>
        <w:t xml:space="preserve">.org</w:t>
      </w:r>
      <w:r>
        <w:t xml:space="preserve"> </w:t>
      </w:r>
      <w:r>
        <w:t xml:space="preserve">read 0.461 lifetime and 0.068 over</w:t>
      </w:r>
      <w:r>
        <w:t xml:space="preserve"> </w:t>
      </w:r>
      <w:r>
        <w:t xml:space="preserve">its most recent 500 answers, a 6.8x overstatement, and its 0.7101 English weight held it at the head</w:t>
      </w:r>
      <w:r>
        <w:t xml:space="preserve"> </w:t>
      </w:r>
      <w:r>
        <w:t xml:space="preserve">of the queue for 0.048 expected equivalent-English per query against 0.783 for</w:t>
      </w:r>
      <w:r>
        <w:t xml:space="preserve"> </w:t>
      </w:r>
      <w:r>
        <w:rPr>
          <w:rStyle w:val="VerbatimChar"/>
        </w:rPr>
        <w:t xml:space="preserve">.uk</w:t>
      </w:r>
      <w:r>
        <w:t xml:space="preserve">. Rates are now</w:t>
      </w:r>
      <w:r>
        <w:t xml:space="preserve"> </w:t>
      </w:r>
      <w:r>
        <w:t xml:space="preserve">measured over a trailing window of 2,000 answers, which corrects in both directions:</w:t>
      </w:r>
      <w:r>
        <w:t xml:space="preserve"> </w:t>
      </w:r>
      <w:r>
        <w:rPr>
          <w:rStyle w:val="VerbatimChar"/>
        </w:rPr>
        <w:t xml:space="preserve">.uk</w:t>
      </w:r>
      <w:r>
        <w:t xml:space="preserve"> </w:t>
      </w:r>
      <w:r>
        <w:t xml:space="preserve">and</w:t>
      </w:r>
      <w:r>
        <w:t xml:space="preserve"> </w:t>
      </w:r>
      <w:r>
        <w:rPr>
          <w:rStyle w:val="VerbatimChar"/>
        </w:rPr>
        <w:t xml:space="preserve">.com</w:t>
      </w:r>
      <w:r>
        <w:t xml:space="preserve"> </w:t>
      </w:r>
      <w:r>
        <w:t xml:space="preserve">were understated by lifetime for the mirror reason. After re-ranking, the same engine returned 33.8%.</w:t>
      </w:r>
    </w:p>
    <w:p>
      <w:r>
        <w:pict>
          <v:rect style="width:0;height:1.5pt" o:hralign="center" o:hrstd="t" o:hr="t"/>
        </w:pict>
      </w:r>
    </w:p>
    <w:bookmarkEnd w:id="12"/>
    <w:bookmarkStart w:id="13" w:name="X60b51f3a1134c38b8a095644aa58fd5be871fcb"/>
    <w:p>
      <w:pPr>
        <w:pStyle w:val="Heading2"/>
      </w:pPr>
      <w:r>
        <w:t xml:space="preserve">5. How this contributes to an autonomous discovery system</w:t>
      </w:r>
    </w:p>
    <w:p>
      <w:pPr>
        <w:pStyle w:val="FirstParagraph"/>
      </w:pPr>
      <w:r>
        <w:rPr>
          <w:b/>
          <w:bCs/>
        </w:rPr>
        <w:t xml:space="preserve">The useful results this round are four negative ones about our own system, each found by a</w:t>
      </w:r>
      <w:r>
        <w:rPr>
          <w:b/>
          <w:bCs/>
        </w:rPr>
        <w:t xml:space="preserve"> </w:t>
      </w:r>
      <w:r>
        <w:rPr>
          <w:b/>
          <w:bCs/>
        </w:rPr>
        <w:t xml:space="preserve">mechanism rather than by noticing.</w:t>
      </w:r>
      <w:r>
        <w:t xml:space="preserve"> </w:t>
      </w:r>
      <w:r>
        <w:t xml:space="preserve">That is the capability worth reporting: not that the pipeline</w:t>
      </w:r>
      <w:r>
        <w:t xml:space="preserve"> </w:t>
      </w:r>
      <w:r>
        <w:t xml:space="preserve">collected, but that it caught itself.</w:t>
      </w:r>
    </w:p>
    <w:p>
      <w:pPr>
        <w:pStyle w:val="BodyText"/>
      </w:pPr>
      <w:r>
        <w:rPr>
          <w:b/>
          <w:bCs/>
        </w:rPr>
        <w:t xml:space="preserve">A rate is not a property of a namespace, it is a property of a namespace at a point in its</w:t>
      </w:r>
      <w:r>
        <w:rPr>
          <w:b/>
          <w:bCs/>
        </w:rPr>
        <w:t xml:space="preserve"> </w:t>
      </w:r>
      <w:r>
        <w:rPr>
          <w:b/>
          <w:bCs/>
        </w:rPr>
        <w:t xml:space="preserve">exhaustion.</w:t>
      </w:r>
      <w:r>
        <w:t xml:space="preserve"> </w:t>
      </w:r>
      <w:r>
        <w:t xml:space="preserve">Section 4 has the measurement. The general lesson is that a ranking model fed its own</w:t>
      </w:r>
      <w:r>
        <w:t xml:space="preserve"> </w:t>
      </w:r>
      <w:r>
        <w:t xml:space="preserve">lifetime history will keep recommending whatever it has already spent, and the fix is to measure the</w:t>
      </w:r>
      <w:r>
        <w:t xml:space="preserve"> </w:t>
      </w:r>
      <w:r>
        <w:t xml:space="preserve">margin. Two corrections were needed inside that fix, both caught by reading the queue builder's own</w:t>
      </w:r>
      <w:r>
        <w:t xml:space="preserve"> </w:t>
      </w:r>
      <w:r>
        <w:t xml:space="preserve">output rather than trusting the change: journals were being ordered by filename, which groups by</w:t>
      </w:r>
      <w:r>
        <w:t xml:space="preserve"> </w:t>
      </w:r>
      <w:r>
        <w:t xml:space="preserve">collector before time, so "the most recent 2,000 answers" meant "the last answers of whichever</w:t>
      </w:r>
      <w:r>
        <w:t xml:space="preserve"> </w:t>
      </w:r>
      <w:r>
        <w:t xml:space="preserve">collector prefix sorts last"; and windowing the pool-wide prior made every unmeasured namespace score</w:t>
      </w:r>
      <w:r>
        <w:t xml:space="preserve"> </w:t>
      </w:r>
      <w:r>
        <w:t xml:space="preserve">zero, so nothing new could ever earn a first measurement. The prior is deliberately not windowed.</w:t>
      </w:r>
    </w:p>
    <w:p>
      <w:pPr>
        <w:pStyle w:val="BodyText"/>
      </w:pPr>
      <w:r>
        <w:rPr>
          <w:b/>
          <w:bCs/>
        </w:rPr>
        <w:t xml:space="preserve">An audit of the delivery against the four artifacts requested on 2026-08-17 found that the archive</w:t>
      </w:r>
      <w:r>
        <w:rPr>
          <w:b/>
          <w:bCs/>
        </w:rPr>
        <w:t xml:space="preserve"> </w:t>
      </w:r>
      <w:r>
        <w:rPr>
          <w:b/>
          <w:bCs/>
        </w:rPr>
        <w:t xml:space="preserve">overstated its own reproducibility by four orders of magnitude.</w:t>
      </w:r>
      <w:r>
        <w:t xml:space="preserve"> </w:t>
      </w:r>
      <w:r>
        <w:t xml:space="preserve">The reproduction instructions said</w:t>
      </w:r>
      <w:r>
        <w:t xml:space="preserve"> </w:t>
      </w:r>
      <w:r>
        <w:t xml:space="preserve">the tier-3 gap was 840 domains. Measured: 2,387,824 assignments, 44.9% of everything carrying this</w:t>
      </w:r>
      <w:r>
        <w:t xml:space="preserve"> </w:t>
      </w:r>
      <w:r>
        <w:t xml:space="preserve">project's own evidence, from two sources whose inputs cannot ship, one because the depositing item</w:t>
      </w:r>
      <w:r>
        <w:t xml:space="preserve"> </w:t>
      </w:r>
      <w:r>
        <w:t xml:space="preserve">stopped serving the day after it was downloaded. Both documents now state the measured figure where a</w:t>
      </w:r>
      <w:r>
        <w:t xml:space="preserve"> </w:t>
      </w:r>
      <w:r>
        <w:t xml:space="preserve">reader meets it. Tier 2 reproduces all of it, which is why the evidence for every assignment ships as</w:t>
      </w:r>
      <w:r>
        <w:t xml:space="preserve"> </w:t>
      </w:r>
      <w:r>
        <w:t xml:space="preserve">Parquet and</w:t>
      </w:r>
      <w:r>
        <w:t xml:space="preserve"> </w:t>
      </w:r>
      <w:r>
        <w:rPr>
          <w:rStyle w:val="VerbatimChar"/>
        </w:rPr>
        <w:t xml:space="preserve">verify.sh</w:t>
      </w:r>
      <w:r>
        <w:t xml:space="preserve"> </w:t>
      </w:r>
      <w:r>
        <w:t xml:space="preserve">check 4 tests that every one resolves inside the archive.</w:t>
      </w:r>
    </w:p>
    <w:p>
      <w:pPr>
        <w:pStyle w:val="BodyText"/>
      </w:pPr>
      <w:r>
        <w:rPr>
          <w:b/>
          <w:bCs/>
        </w:rPr>
        <w:t xml:space="preserve">A requirement that lives only in prose gets shipped unmet, so the four requested artifacts are</w:t>
      </w:r>
      <w:r>
        <w:rPr>
          <w:b/>
          <w:bCs/>
        </w:rPr>
        <w:t xml:space="preserve"> </w:t>
      </w:r>
      <w:r>
        <w:rPr>
          <w:b/>
          <w:bCs/>
        </w:rPr>
        <w:t xml:space="preserve">checks.</w:t>
      </w:r>
      <w:r>
        <w:t xml:space="preserve"> </w:t>
      </w:r>
      <w:r>
        <w:rPr>
          <w:rStyle w:val="VerbatimChar"/>
        </w:rPr>
        <w:t xml:space="preserve">verify.sh</w:t>
      </w:r>
      <w:r>
        <w:t xml:space="preserve"> </w:t>
      </w:r>
      <w:r>
        <w:t xml:space="preserve">grew checks 5 to 8: that the code snapshot carries its dependency manifest and</w:t>
      </w:r>
      <w:r>
        <w:t xml:space="preserve"> </w:t>
      </w:r>
      <w:r>
        <w:t xml:space="preserve">lockfile, that the experience summary covers every topic asked for, that every reconciliation identity</w:t>
      </w:r>
      <w:r>
        <w:t xml:space="preserve"> </w:t>
      </w:r>
      <w:r>
        <w:t xml:space="preserve">in the merge audit holds and that the audit agrees with the shipped files, and that the reviewer's own</w:t>
      </w:r>
      <w:r>
        <w:t xml:space="preserve"> </w:t>
      </w:r>
      <w:r>
        <w:t xml:space="preserve">calculator, run from inside the archive, reproduces the audit's baseline figure.</w:t>
      </w:r>
      <w:r>
        <w:t xml:space="preserve"> </w:t>
      </w:r>
      <w:r>
        <w:rPr>
          <w:rStyle w:val="VerbatimChar"/>
        </w:rPr>
        <w:t xml:space="preserve">merge_against_baseline.py</w:t>
      </w:r>
      <w:r>
        <w:t xml:space="preserve"> </w:t>
      </w:r>
      <w:r>
        <w:t xml:space="preserve">uses his column names unchanged so his audit and ours can be diffed rather than compared by eye.</w:t>
      </w:r>
    </w:p>
    <w:p>
      <w:pPr>
        <w:pStyle w:val="BodyText"/>
      </w:pPr>
      <w:r>
        <w:rPr>
          <w:b/>
          <w:bCs/>
        </w:rPr>
        <w:t xml:space="preserve">Two guards earned their keep by refusing to build.</w:t>
      </w:r>
      <w:r>
        <w:t xml:space="preserve"> </w:t>
      </w:r>
      <w:r>
        <w:t xml:space="preserve">The dirty-tree guard caught an archive whose</w:t>
      </w:r>
      <w:r>
        <w:t xml:space="preserve"> </w:t>
      </w:r>
      <w:r>
        <w:t xml:space="preserve">shipped code would not have contained the very script its own check looks for. The stale-export guard</w:t>
      </w:r>
      <w:r>
        <w:t xml:space="preserve"> </w:t>
      </w:r>
      <w:r>
        <w:t xml:space="preserve">caught it twice more, because the collectors bank continuously and an export is a snapshot. And the</w:t>
      </w:r>
      <w:r>
        <w:t xml:space="preserve"> </w:t>
      </w:r>
      <w:r>
        <w:t xml:space="preserve">document you are reading exists in this form because the fill refuses to write a report with an</w:t>
      </w:r>
      <w:r>
        <w:t xml:space="preserve"> </w:t>
      </w:r>
      <w:r>
        <w:t xml:space="preserve">unwritten section, which it did not do until this round.</w:t>
      </w:r>
    </w:p>
    <w:p>
      <w:pPr>
        <w:pStyle w:val="BodyText"/>
      </w:pPr>
      <w:r>
        <w:rPr>
          <w:b/>
          <w:bCs/>
        </w:rPr>
        <w:t xml:space="preserve">Negative results are first-class.</w:t>
      </w:r>
      <w:r>
        <w:t xml:space="preserve"> </w:t>
      </w:r>
      <w:r>
        <w:rPr>
          <w:b/>
          <w:bCs/>
        </w:rPr>
        <w:t xml:space="preserve">140 source families have been searched and recorded</w:t>
      </w:r>
      <w:r>
        <w:t xml:space="preserve">, 27 developed far enough to earn their own section and 113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p>
      <w:r>
        <w:pict>
          <v:rect style="width:0;height:1.5pt" o:hralign="center" o:hrstd="t" o:hr="t"/>
        </w:pict>
      </w:r>
    </w:p>
    <w:bookmarkEnd w:id="13"/>
    <w:bookmarkStart w:id="14" w:name="Xf38af7bc15f1506bba8f86bbeac370183c61fdf"/>
    <w:p>
      <w:pPr>
        <w:pStyle w:val="Heading2"/>
      </w:pPr>
      <w:r>
        <w:t xml:space="preserve">6. Limitations, and what is worth expanding</w:t>
      </w:r>
    </w:p>
    <w:p>
      <w:pPr>
        <w:pStyle w:val="FirstParagraph"/>
      </w:pPr>
      <w:r>
        <w:rPr>
          <w:b/>
          <w:bCs/>
        </w:rPr>
        <w:t xml:space="preserve">Limits of this round's two routes, with the direction of each error.</w:t>
      </w:r>
      <w:r>
        <w:t xml:space="preserve"> </w:t>
      </w:r>
      <w:r>
        <w:t xml:space="preserve">A capture timestamp proves</w:t>
      </w:r>
      <w:r>
        <w:t xml:space="preserve"> </w:t>
      </w:r>
      <w:r>
        <w:t xml:space="preserve">presence and never absence, so a year with no capture is unevidenced rather than empty. A registry</w:t>
      </w:r>
      <w:r>
        <w:t xml:space="preserve"> </w:t>
      </w:r>
      <w:r>
        <w:t xml:space="preserve">creation date attests registration rather than activity, and only for the year it falls in. Both err</w:t>
      </w:r>
      <w:r>
        <w:t xml:space="preserve"> </w:t>
      </w:r>
      <w:r>
        <w:t xml:space="preserve">toward under-claiming: neither can invent a year, and the shape of the mistake they can make is</w:t>
      </w:r>
      <w:r>
        <w:t xml:space="preserve"> </w:t>
      </w:r>
      <w:r>
        <w:t xml:space="preserve">omission.</w:t>
      </w:r>
    </w:p>
    <w:p>
      <w:pPr>
        <w:pStyle w:val="BodyText"/>
      </w:pPr>
      <w:r>
        <w:rPr>
          <w:b/>
          <w:bCs/>
        </w:rPr>
        <w:t xml:space="preserve">Two limits of the archive as a whole, which no amount of querying fixes.</w:t>
      </w:r>
      <w:r>
        <w:t xml:space="preserve"> </w:t>
      </w:r>
      <w:r>
        <w:t xml:space="preserve">12.34% of requests fail</w:t>
      </w:r>
      <w:r>
        <w:t xml:space="preserve"> </w:t>
      </w:r>
      <w:r>
        <w:t xml:space="preserve">at transport level rather than with a status code, which is the same throttling seen from the other</w:t>
      </w:r>
      <w:r>
        <w:t xml:space="preserve"> </w:t>
      </w:r>
      <w:r>
        <w:t xml:space="preserve">side of the socket. And the corroboration split, which gates anything a human typed, asks only whether</w:t>
      </w:r>
      <w:r>
        <w:t xml:space="preserve"> </w:t>
      </w:r>
      <w:r>
        <w:t xml:space="preserve">a domain is dated in some annual file and never whether the mention was genuine, so technical prose</w:t>
      </w:r>
      <w:r>
        <w:t xml:space="preserve"> </w:t>
      </w:r>
      <w:r>
        <w:t xml:space="preserve">that invents plausible examples is the one shape it does not stop. That is why this round's routes are</w:t>
      </w:r>
      <w:r>
        <w:t xml:space="preserve"> </w:t>
      </w:r>
      <w:r>
        <w:t xml:space="preserve">both self-dating.</w:t>
      </w:r>
    </w:p>
    <w:p>
      <w:pPr>
        <w:pStyle w:val="BodyText"/>
      </w:pPr>
      <w:r>
        <w:rPr>
          <w:b/>
          <w:bCs/>
        </w:rPr>
        <w:t xml:space="preserve">Worth expanding, in order, each with what ranks it.</w:t>
      </w:r>
      <w:r>
        <w:t xml:space="preserve"> </w:t>
      </w:r>
      <w:r>
        <w:t xml:space="preserve">Bulk dated corpora first, measured at 997</w:t>
      </w:r>
      <w:r>
        <w:t xml:space="preserve"> </w:t>
      </w:r>
      <w:r>
        <w:t xml:space="preserve">net-new pairs per megabyte against 15.5 for a prose corpus. National web archive link graphs second,</w:t>
      </w:r>
      <w:r>
        <w:t xml:space="preserve"> </w:t>
      </w:r>
      <w:r>
        <w:t xml:space="preserve">where the year association is explicit and the weight is high, with the caveat that most national</w:t>
      </w:r>
      <w:r>
        <w:t xml:space="preserve"> </w:t>
      </w:r>
      <w:r>
        <w:t xml:space="preserve">archives' in-window holdings turn out to be Internet Archive donations and are therefore already held.</w:t>
      </w:r>
      <w:r>
        <w:t xml:space="preserve"> </w:t>
      </w:r>
      <w:r>
        <w:t xml:space="preserve">Registry datasets publishing creation dates as open data third, because that is the route that reaches</w:t>
      </w:r>
      <w:r>
        <w:t xml:space="preserve"> </w:t>
      </w:r>
      <w:r>
        <w:t xml:space="preserve">2001 where the archives are thin. Re-auditing material already on disk fourth, which has twice been</w:t>
      </w:r>
      <w:r>
        <w:t xml:space="preserve"> </w:t>
      </w:r>
      <w:r>
        <w:t xml:space="preserve">the cheapest source available.</w:t>
      </w:r>
    </w:p>
    <w:p>
      <w:pPr>
        <w:pStyle w:val="BodyText"/>
      </w:pPr>
      <w:r>
        <w:rPr>
          <w:b/>
          <w:bCs/>
        </w:rPr>
        <w:t xml:space="preserve">Not worth expanding</w:t>
      </w:r>
      <w:r>
        <w:t xml:space="preserve">: the 112 closed families in</w:t>
      </w:r>
      <w:r>
        <w:t xml:space="preserve"> </w:t>
      </w:r>
      <w:r>
        <w:rPr>
          <w:rStyle w:val="VerbatimChar"/>
        </w:rPr>
        <w:t xml:space="preserve">sources.md</w:t>
      </w:r>
      <w:r>
        <w:t xml:space="preserve">, each with the measurement that closed</w:t>
      </w:r>
      <w:r>
        <w:t xml:space="preserve"> </w:t>
      </w:r>
      <w:r>
        <w:t xml:space="preserve">it. Two of those closures were narrowed this round rather than reversed, and both corrections are</w:t>
      </w:r>
      <w:r>
        <w:t xml:space="preserve"> </w:t>
      </w:r>
      <w:r>
        <w:t xml:space="preserve">recorded where the original claim was made rather than only in the newest file.</w:t>
      </w:r>
    </w:p>
    <w:p>
      <w:r>
        <w:pict>
          <v:rect style="width:0;height:1.5pt" o:hralign="center" o:hrstd="t" o:hr="t"/>
        </w:pict>
      </w:r>
    </w:p>
    <w:bookmarkEnd w:id="14"/>
    <w:bookmarkStart w:id="15" w:name="X4e0795022e97346d6868dd848ac3308a42e47ec"/>
    <w:p>
      <w:pPr>
        <w:pStyle w:val="Heading2"/>
      </w:pPr>
      <w:r>
        <w:t xml:space="preserve">7. Reproduction</w:t>
      </w:r>
    </w:p>
    <w:p>
      <w:pPr>
        <w:pStyle w:val="FirstParagraph"/>
      </w:pPr>
      <w:r>
        <w:rPr>
          <w:rStyle w:val="VerbatimChar"/>
        </w:rPr>
        <w:t xml:space="preserve">README.md</w:t>
      </w:r>
      <w:r>
        <w:t xml:space="preserve"> </w:t>
      </w:r>
      <w:r>
        <w:t xml:space="preserve">in the archive gives the full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w:t>
      </w:r>
      <w:r>
        <w:t xml:space="preserve"> </w:t>
      </w:r>
      <w:r>
        <w:t xml:space="preserve">lists and this round's net-new records,</w:t>
      </w:r>
      <w:r>
        <w:t xml:space="preserve"> </w:t>
      </w:r>
      <w:r>
        <w:rPr>
          <w:rStyle w:val="VerbatimChar"/>
        </w:rPr>
        <w:t xml:space="preserve">candidates.txt</w:t>
      </w:r>
      <w:r>
        <w:t xml:space="preserve"> </w:t>
      </w:r>
      <w:r>
        <w:t xml:space="preserve">the names with no year evidence,</w:t>
      </w:r>
      <w:r>
        <w:t xml:space="preserve"> </w:t>
      </w:r>
      <w:r>
        <w:rPr>
          <w:rStyle w:val="VerbatimChar"/>
        </w:rPr>
        <w:t xml:space="preserve">provenance/*.parquet</w:t>
      </w:r>
      <w:r>
        <w:t xml:space="preserve"> </w:t>
      </w:r>
      <w:r>
        <w:t xml:space="preserve">every (domain, year) joined to the evidence row justifying it,</w:t>
      </w:r>
      <w:r>
        <w:t xml:space="preserve"> </w:t>
      </w:r>
      <w:r>
        <w:rPr>
          <w:rStyle w:val="VerbatimChar"/>
        </w:rPr>
        <w:t xml:space="preserve">journals/</w:t>
      </w:r>
      <w:r>
        <w:t xml:space="preserve"> </w:t>
      </w:r>
      <w:r>
        <w:t xml:space="preserve">the</w:t>
      </w:r>
      <w:r>
        <w:t xml:space="preserve"> </w:t>
      </w:r>
      <w:r>
        <w:t xml:space="preserve">raw per-source records, and</w:t>
      </w:r>
      <w:r>
        <w:t xml:space="preserve"> </w:t>
      </w:r>
      <w:r>
        <w:rPr>
          <w:rStyle w:val="VerbatimChar"/>
        </w:rPr>
        <w:t xml:space="preserve">source/source.tar.gz</w:t>
      </w:r>
      <w:r>
        <w:t xml:space="preserve"> </w:t>
      </w:r>
      <w:r>
        <w:t xml:space="preserve">the repository at the commit that built the delivery.</w:t>
      </w:r>
    </w:p>
    <w:p>
      <w:pPr>
        <w:pStyle w:val="BodyText"/>
      </w:pPr>
      <w:r>
        <w:t xml:space="preserve">A fresh copy of this archive was extracted and put through the route above before sending. Checksums</w:t>
      </w:r>
      <w:r>
        <w:t xml:space="preserve"> </w:t>
      </w:r>
      <w:r>
        <w:t xml:space="preserve">and all four checks in</w:t>
      </w:r>
      <w:r>
        <w:t xml:space="preserve"> </w:t>
      </w:r>
      <w:r>
        <w:rPr>
          <w:rStyle w:val="VerbatimChar"/>
        </w:rPr>
        <w:t xml:space="preserve">verify.sh</w:t>
      </w:r>
      <w:r>
        <w:t xml:space="preserve"> </w:t>
      </w:r>
      <w:r>
        <w:t xml:space="preserve">pass,</w:t>
      </w:r>
      <w:r>
        <w:t xml:space="preserve"> </w:t>
      </w:r>
      <w:r>
        <w:rPr>
          <w:rStyle w:val="VerbatimChar"/>
        </w:rPr>
        <w:t xml:space="preserve">trace.py</w:t>
      </w:r>
      <w:r>
        <w:t xml:space="preserve"> </w:t>
      </w:r>
      <w:r>
        <w:t xml:space="preserve">resolves, the rebuild from</w:t>
      </w:r>
      <w:r>
        <w:t xml:space="preserve"> </w:t>
      </w:r>
      <w:r>
        <w:rPr>
          <w:rStyle w:val="VerbatimChar"/>
        </w:rPr>
        <w:t xml:space="preserve">provenance/</w:t>
      </w:r>
      <w:r>
        <w:t xml:space="preserve"> </w:t>
      </w:r>
      <w:r>
        <w:t xml:space="preserve">returns</w:t>
      </w:r>
      <w:r>
        <w:t xml:space="preserve"> </w:t>
      </w:r>
      <w:r>
        <w:t xml:space="preserve">every per-year count exactly with all eleven invariants passing, and all fourteen result files come back</w:t>
      </w:r>
      <w:r>
        <w:t xml:space="preserve"> </w:t>
      </w:r>
      <w:r>
        <w:t xml:space="preserve">byte-identical. Tier 3 was not run: it is a roughly 50 GB download and two of this project's own</w:t>
      </w:r>
      <w:r>
        <w:t xml:space="preserve"> </w:t>
      </w:r>
      <w:r>
        <w:t xml:space="preserve">collectors were querying the Internet Archive at the time.</w:t>
      </w:r>
    </w:p>
    <w:p>
      <w:r>
        <w:pict>
          <v:rect style="width:0;height:1.5pt" o:hralign="center" o:hrstd="t" o:hr="t"/>
        </w:pict>
      </w:r>
    </w:p>
    <w:bookmarkEnd w:id="15"/>
    <w:bookmarkStart w:id="16" w:name="Xa860f5fc05f32f1e17fd7da08cb6b7683f62b81"/>
    <w:p>
      <w:pPr>
        <w:pStyle w:val="Heading2"/>
      </w:pPr>
      <w:r>
        <w:t xml:space="preserve">8. The merge, the overlap and the reconciliation</w:t>
      </w:r>
    </w:p>
    <w:p>
      <w:pPr>
        <w:pStyle w:val="FirstParagraph"/>
      </w:pPr>
      <w:r>
        <w:rPr>
          <w:b/>
          <w:bCs/>
        </w:rPr>
        <w:t xml:space="preserve">The merge, deduplication and overlap, computed here rather than described.</w:t>
      </w:r>
      <w:r>
        <w:t xml:space="preserve"> </w:t>
      </w:r>
      <w:r>
        <w:rPr>
          <w:rStyle w:val="VerbatimChar"/>
        </w:rPr>
        <w:t xml:space="preserve">merge_against_baseline.py</w:t>
      </w:r>
      <w:r>
        <w:t xml:space="preserve"> </w:t>
      </w:r>
      <w:r>
        <w:t xml:space="preserve">unions these additions into the current baseline,</w:t>
      </w:r>
      <w:r>
        <w:t xml:space="preserve"> </w:t>
      </w:r>
      <w:r>
        <w:t xml:space="preserve">deduplicated on the lowercased line within each year, which is the reviewer's own</w:t>
      </w:r>
      <w:r>
        <w:t xml:space="preserve"> </w:t>
      </w:r>
      <w:r>
        <w:t xml:space="preserve">counting unit, and scores every file with his own calculator. The per-year form is</w:t>
      </w:r>
      <w:r>
        <w:t xml:space="preserve"> </w:t>
      </w:r>
      <w:r>
        <w:rPr>
          <w:rStyle w:val="VerbatimChar"/>
        </w:rPr>
        <w:t xml:space="preserve">audit/merge_stats_ark_*.csv</w:t>
      </w:r>
      <w:r>
        <w:t xml:space="preserve">, in his column names so his audit and this one can be</w:t>
      </w:r>
      <w:r>
        <w:t xml:space="preserve"> </w:t>
      </w:r>
      <w:r>
        <w:t xml:space="preserve">diffed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merged260817-2</w:t>
            </w:r>
          </w:p>
        </w:tc>
        <w:tc>
          <w:tcPr/>
          <w:p>
            <w:pPr>
              <w:pStyle w:val="Compact"/>
              <w:jc w:val="right"/>
            </w:pPr>
            <w:r>
              <w:t xml:space="preserve">22,491,418</w:t>
            </w:r>
          </w:p>
        </w:tc>
        <w:tc>
          <w:tcPr/>
          <w:p>
            <w:pPr>
              <w:pStyle w:val="Compact"/>
              <w:jc w:val="right"/>
            </w:pPr>
            <w:r>
              <w:t xml:space="preserve">12,077,095.5404</w:t>
            </w:r>
          </w:p>
        </w:tc>
      </w:tr>
      <w:tr>
        <w:tc>
          <w:tcPr/>
          <w:p>
            <w:pPr>
              <w:pStyle w:val="Compact"/>
            </w:pPr>
            <w:r>
              <w:t xml:space="preserve">submitted</w:t>
            </w:r>
          </w:p>
        </w:tc>
        <w:tc>
          <w:tcPr/>
          <w:p>
            <w:pPr>
              <w:pStyle w:val="Compact"/>
              <w:jc w:val="right"/>
            </w:pPr>
            <w:r>
              <w:t xml:space="preserve">15,522</w:t>
            </w:r>
          </w:p>
        </w:tc>
        <w:tc>
          <w:tcPr/>
          <w:p>
            <w:pPr>
              <w:pStyle w:val="Compact"/>
            </w:pPr>
          </w:p>
        </w:tc>
      </w:tr>
      <w:tr>
        <w:tc>
          <w:tcPr/>
          <w:p>
            <w:pPr>
              <w:pStyle w:val="Compact"/>
            </w:pPr>
            <w:r>
              <w:t xml:space="preserve">already in the baseline</w:t>
            </w:r>
          </w:p>
        </w:tc>
        <w:tc>
          <w:tcPr/>
          <w:p>
            <w:pPr>
              <w:pStyle w:val="Compact"/>
              <w:jc w:val="right"/>
            </w:pPr>
            <w:r>
              <w:t xml:space="preserve">0</w:t>
            </w:r>
          </w:p>
        </w:tc>
        <w:tc>
          <w:tcPr/>
          <w:p>
            <w:pPr>
              <w:pStyle w:val="Compact"/>
            </w:pPr>
          </w:p>
        </w:tc>
      </w:tr>
      <w:tr>
        <w:tc>
          <w:tcPr/>
          <w:p>
            <w:pPr>
              <w:pStyle w:val="Compact"/>
            </w:pPr>
            <w:r>
              <w:rPr>
                <w:b/>
                <w:bCs/>
              </w:rPr>
              <w:t xml:space="preserve">accepted increment</w:t>
            </w:r>
          </w:p>
        </w:tc>
        <w:tc>
          <w:tcPr/>
          <w:p>
            <w:pPr>
              <w:pStyle w:val="Compact"/>
              <w:jc w:val="right"/>
            </w:pPr>
            <w:r>
              <w:rPr>
                <w:b/>
                <w:bCs/>
              </w:rPr>
              <w:t xml:space="preserve">15,522</w:t>
            </w:r>
          </w:p>
        </w:tc>
        <w:tc>
          <w:tcPr/>
          <w:p>
            <w:pPr>
              <w:pStyle w:val="Compact"/>
              <w:jc w:val="right"/>
            </w:pPr>
            <w:r>
              <w:rPr>
                <w:b/>
                <w:bCs/>
              </w:rPr>
              <w:t xml:space="preserve">12,340.7537</w:t>
            </w:r>
          </w:p>
        </w:tc>
      </w:tr>
      <w:tr>
        <w:tc>
          <w:tcPr/>
          <w:p>
            <w:pPr>
              <w:pStyle w:val="Compact"/>
            </w:pPr>
            <w:r>
              <w:t xml:space="preserve">post-merge total</w:t>
            </w:r>
          </w:p>
        </w:tc>
        <w:tc>
          <w:tcPr/>
          <w:p>
            <w:pPr>
              <w:pStyle w:val="Compact"/>
              <w:jc w:val="right"/>
            </w:pPr>
            <w:r>
              <w:t xml:space="preserve">22,506,940</w:t>
            </w:r>
          </w:p>
        </w:tc>
        <w:tc>
          <w:tcPr/>
          <w:p>
            <w:pPr>
              <w:pStyle w:val="Compact"/>
              <w:jc w:val="right"/>
            </w:pPr>
            <w:r>
              <w:t xml:space="preserve">12,089,436.2941</w:t>
            </w:r>
          </w:p>
        </w:tc>
      </w:tr>
    </w:tbl>
    <w:p>
      <w:pPr>
        <w:pStyle w:val="BodyText"/>
      </w:pPr>
      <w:r>
        <w:rPr>
          <w:b/>
          <w:bCs/>
        </w:rPr>
        <w:t xml:space="preserve">22 of 22 reconciliation checks pass.</w:t>
      </w:r>
      <w:r>
        <w:t xml:space="preserve"> </w:t>
      </w:r>
      <w:r>
        <w:t xml:space="preserve">They are arithmetic</w:t>
      </w:r>
      <w:r>
        <w:t xml:space="preserve"> </w:t>
      </w:r>
      <w:r>
        <w:t xml:space="preserve">identities, so a failure is a defect rather than a finding: per year that</w:t>
      </w:r>
      <w:r>
        <w:t xml:space="preserve"> </w:t>
      </w:r>
      <w:r>
        <w:rPr>
          <w:rStyle w:val="VerbatimChar"/>
        </w:rPr>
        <w:t xml:space="preserve">baseline_unique + accepted_new == merged_unique</w:t>
      </w:r>
      <w:r>
        <w:t xml:space="preserve"> </w:t>
      </w:r>
      <w:r>
        <w:t xml:space="preserve">and that</w:t>
      </w:r>
      <w:r>
        <w:t xml:space="preserve"> </w:t>
      </w:r>
      <w:r>
        <w:rPr>
          <w:rStyle w:val="VerbatimChar"/>
        </w:rPr>
        <w:t xml:space="preserve">already_in_baseline + accepted_new == submitted_unique</w:t>
      </w:r>
      <w:r>
        <w:t xml:space="preserve">, that the per-year</w:t>
      </w:r>
      <w:r>
        <w:t xml:space="preserve"> </w:t>
      </w:r>
      <w:r>
        <w:t xml:space="preserve">equivalent-English increments sum to the headline figure, that the baseline plus</w:t>
      </w:r>
      <w:r>
        <w:t xml:space="preserve"> </w:t>
      </w:r>
      <w:r>
        <w:t xml:space="preserve">the increment equals the post-merge total, and that a freshly measured baseline</w:t>
      </w:r>
      <w:r>
        <w:t xml:space="preserve"> </w:t>
      </w:r>
      <w:r>
        <w:t xml:space="preserve">reproduces the record count and equivalent-English total this round was measured</w:t>
      </w:r>
      <w:r>
        <w:t xml:space="preserve"> </w:t>
      </w:r>
      <w:r>
        <w:t xml:space="preserve">against. Every one is listed with its verdict in</w:t>
      </w:r>
      <w:r>
        <w:t xml:space="preserve"> </w:t>
      </w:r>
      <w:r>
        <w:rPr>
          <w:rStyle w:val="VerbatimChar"/>
        </w:rPr>
        <w:t xml:space="preserve">audit/merge_audit_ark_*.json</w:t>
      </w:r>
      <w:r>
        <w:t xml:space="preserve">.</w:t>
      </w:r>
    </w:p>
    <w:p>
      <w:r>
        <w:pict>
          <v:rect style="width:0;height:1.5pt" o:hralign="center" o:hrstd="t" o:hr="t"/>
        </w:pict>
      </w:r>
    </w:p>
    <w:bookmarkEnd w:id="16"/>
    <w:bookmarkStart w:id="17" w:name="Xd31d8cb599d62e9f4d9d7ecfa00b29d7c223899"/>
    <w:p>
      <w:pPr>
        <w:pStyle w:val="Heading2"/>
      </w:pPr>
      <w:r>
        <w:t xml:space="preserve">9. The four artifacts requested on 2026-08-17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 in the archive</w:t>
            </w:r>
          </w:p>
        </w:tc>
      </w:tr>
      <w:tr>
        <w:tc>
          <w:tcPr/>
          <w:p>
            <w:pPr>
              <w:pStyle w:val="Compact"/>
            </w:pPr>
            <w:r>
              <w:rPr>
                <w:b/>
                <w:bCs/>
              </w:rPr>
              <w:t xml:space="preserve">D1</w:t>
            </w:r>
          </w:p>
        </w:tc>
        <w:tc>
          <w:tcPr/>
          <w:p>
            <w:pPr>
              <w:pStyle w:val="Compact"/>
            </w:pPr>
            <w:r>
              <w:t xml:space="preserve">complete runnable code, scripts, configurations, dependencies, execution instructions</w:t>
            </w:r>
          </w:p>
        </w:tc>
        <w:tc>
          <w:tcPr/>
          <w:p>
            <w:pPr>
              <w:pStyle w:val="Compact"/>
            </w:pPr>
            <w:r>
              <w:rPr>
                <w:rStyle w:val="VerbatimChar"/>
              </w:rPr>
              <w:t xml:space="preserve">source/source.tar.gz</w:t>
            </w:r>
            <w:r>
              <w:t xml:space="preserve">, the repository at the commit in</w:t>
            </w:r>
            <w:r>
              <w:t xml:space="preserve"> </w:t>
            </w:r>
            <w:r>
              <w:rPr>
                <w:rStyle w:val="VerbatimChar"/>
              </w:rPr>
              <w:t xml:space="preserve">MANIFEST.txt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is the operating guide and names what every command should print</w:t>
            </w:r>
          </w:p>
        </w:tc>
      </w:tr>
      <w:tr>
        <w:tc>
          <w:tcPr/>
          <w:p>
            <w:pPr>
              <w:pStyle w:val="Compact"/>
            </w:pPr>
            <w:r>
              <w:rPr>
                <w:b/>
                <w:bCs/>
              </w:rPr>
              <w:t xml:space="preserve">D2</w:t>
            </w:r>
          </w:p>
        </w:tc>
        <w:tc>
          <w:tcPr/>
          <w:p>
            <w:pPr>
              <w:pStyle w:val="Compact"/>
            </w:pPr>
            <w:r>
              <w:t xml:space="preserve">a concise experience summary</w:t>
            </w:r>
          </w:p>
        </w:tc>
        <w:tc>
          <w:tcPr/>
          <w:p>
            <w:pPr>
              <w:pStyle w:val="Compact"/>
            </w:pPr>
            <w:r>
              <w:rPr>
                <w:rStyle w:val="VerbatimChar"/>
              </w:rPr>
              <w:t xml:space="preserve">experience-summary.md</w:t>
            </w:r>
            <w:r>
              <w:t xml:space="preserve">.</w:t>
            </w:r>
            <w:r>
              <w:t xml:space="preserve"> </w:t>
            </w:r>
            <w:r>
              <w:rPr>
                <w:rStyle w:val="VerbatimChar"/>
              </w:rPr>
              <w:t xml:space="preserve">sources.md</w:t>
            </w:r>
            <w:r>
              <w:t xml:space="preserve"> </w:t>
            </w:r>
            <w:r>
              <w:t xml:space="preserve">is the full register it distils, family by family, each rejection with the measurement that closed it</w:t>
            </w:r>
          </w:p>
        </w:tc>
      </w:tr>
      <w:tr>
        <w:tc>
          <w:tcPr/>
          <w:p>
            <w:pPr>
              <w:pStyle w:val="Compact"/>
            </w:pPr>
            <w:r>
              <w:rPr>
                <w:b/>
                <w:bCs/>
              </w:rPr>
              <w:t xml:space="preserve">D3</w:t>
            </w:r>
          </w:p>
        </w:tc>
        <w:tc>
          <w:tcPr/>
          <w:p>
            <w:pPr>
              <w:pStyle w:val="Compact"/>
            </w:pPr>
            <w:r>
              <w:t xml:space="preserve">the merge and deduplication code, overlap counts, accepted increment, reconciliation checks</w:t>
            </w:r>
          </w:p>
        </w:tc>
        <w:tc>
          <w:tcPr/>
          <w:p>
            <w:pPr>
              <w:pStyle w:val="Compact"/>
            </w:pPr>
            <w:r>
              <w:t xml:space="preserve">section 8 above.</w:t>
            </w:r>
            <w:r>
              <w:t xml:space="preserve"> </w:t>
            </w:r>
            <w:r>
              <w:rPr>
                <w:rStyle w:val="VerbatimChar"/>
              </w:rPr>
              <w:t xml:space="preserve">source/scripts/merge_against_baseline.py</w:t>
            </w:r>
            <w:r>
              <w:t xml:space="preserve">, output in</w:t>
            </w:r>
            <w:r>
              <w:t xml:space="preserve"> </w:t>
            </w:r>
            <w:r>
              <w:rPr>
                <w:rStyle w:val="VerbatimChar"/>
              </w:rPr>
              <w:t xml:space="preserve">audit/merge_stats_ark_*.csv</w:t>
            </w:r>
            <w:r>
              <w:t xml:space="preserve"> </w:t>
            </w:r>
            <w:r>
              <w:t xml:space="preserve">and</w:t>
            </w:r>
            <w:r>
              <w:t xml:space="preserve"> </w:t>
            </w:r>
            <w:r>
              <w:rPr>
                <w:rStyle w:val="VerbatimChar"/>
              </w:rPr>
              <w:t xml:space="preserve">audit/merge_audit_ark_*.json</w:t>
            </w:r>
          </w:p>
        </w:tc>
      </w:tr>
      <w:tr>
        <w:tc>
          <w:tcPr/>
          <w:p>
            <w:pPr>
              <w:pStyle w:val="Compact"/>
            </w:pPr>
            <w:r>
              <w:rPr>
                <w:b/>
                <w:bCs/>
              </w:rPr>
              <w:t xml:space="preserve">D4</w:t>
            </w:r>
          </w:p>
        </w:tc>
        <w:tc>
          <w:tcPr/>
          <w:p>
            <w:pPr>
              <w:pStyle w:val="Compact"/>
            </w:pPr>
            <w:r>
              <w:t xml:space="preserve">the runnable metric code and its explanation</w:t>
            </w:r>
          </w:p>
        </w:tc>
        <w:tc>
          <w:tcPr/>
          <w:p>
            <w:pPr>
              <w:pStyle w:val="Compact"/>
            </w:pPr>
            <w:r>
              <w:rPr>
                <w:rStyle w:val="VerbatimChar"/>
              </w:rPr>
              <w:t xml:space="preserve">equivalent_english_domain_calculator/</w:t>
            </w:r>
            <w:r>
              <w:t xml:space="preserve">, his own program vendored unmodified, explained clause by clause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as checks 5 to 8, so none of them can ship</w:t>
      </w:r>
      <w:r>
        <w:t xml:space="preserve"> </w:t>
      </w:r>
      <w:r>
        <w:t xml:space="preserve">unmet. That is deliberate rather than tidy: the one requirement in this project that was ever</w:t>
      </w:r>
      <w:r>
        <w:t xml:space="preserve"> </w:t>
      </w:r>
      <w:r>
        <w:t xml:space="preserve">satisfied by prose alone, the evidence wall, is also the one that broke in a shipped archive.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2026-08-18T16:02:11Z</dcterms:created>
  <dcterms:modified xsi:type="dcterms:W3CDTF">2026-08-18T16:02:11Z</dcterms:modified>
</cp:coreProperties>
</file>

<file path=docProps/custom.xml><?xml version="1.0" encoding="utf-8"?>
<Properties xmlns="http://schemas.openxmlformats.org/officeDocument/2006/custom-properties" xmlns:vt="http://schemas.openxmlformats.org/officeDocument/2006/docPropsVTypes"/>
</file>