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 This is the summary; the</w:t>
      </w:r>
      <w:r>
        <w:t xml:space="preserve"> </w:t>
      </w:r>
      <w:r>
        <w:t xml:space="preserve">receipts sit in the archive, one document per purpose, named here where relevant.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76.9268%</w:t>
            </w:r>
          </w:p>
        </w:tc>
      </w:tr>
    </w:tbl>
    <w:p>
      <w:pPr>
        <w:pStyle w:val="BodyText"/>
      </w:pPr>
      <w:r>
        <w:t xml:space="preserve">Two disjoint units, neither present in the baseline and none rejected by your validator:</w:t>
      </w:r>
      <w:r>
        <w:t xml:space="preserve"> </w:t>
      </w:r>
      <w:r>
        <w:t xml:space="preserve">625,385 records (329,397.2492 EE) are registrable domains in</w:t>
      </w:r>
      <w:r>
        <w:t xml:space="preserve"> </w:t>
      </w:r>
      <w:r>
        <w:rPr>
          <w:rStyle w:val="VerbatimChar"/>
        </w:rPr>
        <w:t xml:space="preserve">additions/NNNN.txt</w:t>
      </w:r>
      <w:r>
        <w:t xml:space="preserve">, the unit you asked</w:t>
      </w:r>
      <w:r>
        <w:t xml:space="preserve"> </w:t>
      </w:r>
      <w:r>
        <w:t xml:space="preserve">me to prioritize, and 25,598,889 (13,340,945.5808 EE) are valid hostnames beneath them in</w:t>
      </w:r>
      <w:r>
        <w:t xml:space="preserve"> </w:t>
      </w:r>
      <w:r>
        <w:rPr>
          <w:rStyle w:val="VerbatimChar"/>
        </w:rPr>
        <w:t xml:space="preserve">hostnames/NNNN_hostnames.txt</w:t>
      </w:r>
      <w:r>
        <w:t xml:space="preserve">, so the second set can be merged or discarded as a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7,742,554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8,731,417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4,156,305.3362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10,781,639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12,960,986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5,263,433.0010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999,412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4,142,334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574,071.3613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7,850,737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828,029.6155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1,661,393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12,394,125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937,279.6350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2,955,872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13,993,601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1,911,223.8810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25,598,889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60,073,200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time-weighted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(on records)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(this round)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769.27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cumulative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125.7295%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919.90</w:t>
            </w:r>
          </w:p>
        </w:tc>
      </w:tr>
    </w:tbl>
    <w:p>
      <w:pPr>
        <w:pStyle w:val="BodyText"/>
      </w:pPr>
      <w:r>
        <w:t xml:space="preserve">Cumulative verified percentage</w:t>
      </w:r>
      <w:r>
        <w:t xml:space="preserve"> </w:t>
      </w:r>
      <w:r>
        <w:rPr>
          <w:b/>
          <w:bCs/>
        </w:rPr>
        <w:t xml:space="preserve">125.7295%</w:t>
      </w:r>
      <w:r>
        <w:t xml:space="preserve"> </w:t>
      </w:r>
      <w:r>
        <w:t xml:space="preserve">and time-weighted score</w:t>
      </w:r>
      <w:r>
        <w:t xml:space="preserve"> </w:t>
      </w:r>
      <w:r>
        <w:rPr>
          <w:b/>
          <w:bCs/>
        </w:rPr>
        <w:t xml:space="preserve">919.90</w:t>
      </w:r>
      <w:r>
        <w:t xml:space="preserve">, by the two rules in your brief update, this round included at its own unverified 76.9268%. Round 1 is in the percentage sum although it was awarded on records. The days are reconstructed from your own release and receipt timestamps and reproduce the S = 6.88 you quoted for round 6, but the whole set is subject to your confirmation.</w:t>
      </w:r>
    </w:p>
    <w:bookmarkEnd w:id="9"/>
    <w:bookmarkStart w:id="10" w:name="what-counts-as-one-record"/>
    <w:p>
      <w:pPr>
        <w:pStyle w:val="Heading2"/>
      </w:pPr>
      <w:r>
        <w:t xml:space="preserve">2. What counts as one record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</w:t>
      </w:r>
      <w:r>
        <w:t xml:space="preserve">: extracted with a vendored Public Suffix List snapshot, so</w:t>
      </w:r>
      <w:r>
        <w:t xml:space="preserve"> </w:t>
      </w:r>
      <w:r>
        <w:rPr>
          <w:rStyle w:val="VerbatimChar"/>
        </w:rPr>
        <w:t xml:space="preserve">bbc.co.uk</w:t>
      </w:r>
      <w:r>
        <w:t xml:space="preserve"> </w:t>
      </w:r>
      <w:r>
        <w:t xml:space="preserve">is</w:t>
      </w:r>
      <w:r>
        <w:t xml:space="preserve"> </w:t>
      </w:r>
      <w:r>
        <w:t xml:space="preserve">registrable and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is not, identically on any machine. Lowercased, IDN punycoded, ports and</w:t>
      </w:r>
      <w:r>
        <w:t xml:space="preserve"> </w:t>
      </w:r>
      <w:r>
        <w:t xml:space="preserve">trailing dots dropped.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Hostnames</w:t>
      </w:r>
      <w:r>
        <w:t xml:space="preserve">: RFC 1123 valid (letters, digits, hyphens; no leading or trailing hyphen in a label;</w:t>
      </w:r>
      <w:r>
        <w:t xml:space="preserve"> </w:t>
      </w:r>
      <w:r>
        <w:t xml:space="preserve">at least two labels), sitting strictly beneath</w:t>
      </w:r>
      <w:r>
        <w:t xml:space="preserve"> </w:t>
      </w:r>
      <w:r>
        <w:rPr>
          <w:b/>
          <w:bCs/>
        </w:rPr>
        <w:t xml:space="preserve">a registrable this project holds for that same</w:t>
      </w:r>
      <w:r>
        <w:rPr>
          <w:b/>
          <w:bCs/>
        </w:rPr>
        <w:t xml:space="preserve"> </w:t>
      </w:r>
      <w:r>
        <w:rPr>
          <w:b/>
          <w:bCs/>
        </w:rPr>
        <w:t xml:space="preserve">year</w:t>
      </w:r>
      <w:r>
        <w:t xml:space="preserve">, which is enforced as a foreign key and not as a naming convention, and carrying their own</w:t>
      </w:r>
      <w:r>
        <w:t xml:space="preserve"> </w:t>
      </w:r>
      <w:r>
        <w:t xml:space="preserve">machine-written observation in that year. A bare registrable is never a hostname record and no</w:t>
      </w:r>
      <w:r>
        <w:t xml:space="preserve"> </w:t>
      </w:r>
      <w:r>
        <w:t xml:space="preserve">name is counted in both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Dropped, not salvaged</w:t>
      </w:r>
      <w:r>
        <w:t xml:space="preserve">: underscore names (era NT servers), IP literals, names whose TLD did not</w:t>
      </w:r>
      <w:r>
        <w:t xml:space="preserve"> </w:t>
      </w:r>
      <w:r>
        <w:t xml:space="preserve">exist that year,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 </w:t>
      </w:r>
      <w:r>
        <w:t xml:space="preserve">forms. Refused at ingest and counted in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2,419,436 domains carry no in-window year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and appear in no</w:t>
      </w:r>
      <w:r>
        <w:t xml:space="preserve"> </w:t>
      </w:r>
      <w:r>
        <w:t xml:space="preserve">annual file; 588,081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0"/>
    <w:bookmarkStart w:id="11" w:name="what-is-new-and-why-it-is-admissible"/>
    <w:p>
      <w:pPr>
        <w:pStyle w:val="Heading2"/>
      </w:pPr>
      <w:r>
        <w:t xml:space="preserve">3. What is new, and why it is admissible</w:t>
      </w:r>
    </w:p>
    <w:p>
      <w:pPr>
        <w:pStyle w:val="FirstParagraph"/>
      </w:pPr>
      <w:r>
        <w:t xml:space="preserve">One idea applied six times:</w:t>
      </w:r>
      <w:r>
        <w:t xml:space="preserve"> </w:t>
      </w:r>
      <w:r>
        <w:rPr>
          <w:b/>
          <w:bCs/>
        </w:rPr>
        <w:t xml:space="preserve">when the counting unit changed, the payload was a column of an</w:t>
      </w:r>
      <w:r>
        <w:rPr>
          <w:b/>
          <w:bCs/>
        </w:rPr>
        <w:t xml:space="preserve"> </w:t>
      </w:r>
      <w:r>
        <w:rPr>
          <w:b/>
          <w:bCs/>
        </w:rPr>
        <w:t xml:space="preserve">artifact already on disk that the old unit had discarded.</w:t>
      </w:r>
      <w:r>
        <w:t xml:space="preserve"> </w:t>
      </w:r>
      <w:r>
        <w:t xml:space="preserve">Four of the six needed no new request.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6"/>
        <w:gridCol w:w="902"/>
        <w:gridCol w:w="802"/>
        <w:gridCol w:w="3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ISC Internet Domain Survey per-TLD host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18,117,395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9,167,369</w:t>
            </w:r>
          </w:p>
        </w:tc>
        <w:tc>
          <w:tcPr/>
          <w:p>
            <w:pPr>
              <w:pStyle w:val="Compact"/>
            </w:pPr>
            <w:r>
              <w:t xml:space="preserve">the survey's own</w:t>
            </w:r>
            <w:r>
              <w:t xml:space="preserve"> </w:t>
            </w:r>
            <w:r>
              <w:rPr>
                <w:rStyle w:val="VerbatimChar"/>
              </w:rPr>
              <w:t xml:space="preserve">YYMM</w:t>
            </w:r>
            <w:r>
              <w:t xml:space="preserve"> </w:t>
            </w:r>
            <w:r>
              <w:t xml:space="preserve">edition code in the artifact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NYPW TimeMaps at hostname grain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domain-wide CDX sweeps over subdomain platforms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1,378,051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Early Web index at hostname grain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USFEDGOV merged CDX indexes,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39,340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RIPE</w:t>
            </w:r>
            <w:r>
              <w:t xml:space="preserve"> </w:t>
            </w:r>
            <w:r>
              <w:rPr>
                <w:rStyle w:val="VerbatimChar"/>
              </w:rPr>
              <w:t xml:space="preserve">domain:</w:t>
            </w:r>
            <w:r>
              <w:t xml:space="preserve"> </w:t>
            </w:r>
            <w:r>
              <w:t xml:space="preserve">objects, their</w:t>
            </w:r>
            <w:r>
              <w:t xml:space="preserve"> </w:t>
            </w:r>
            <w:r>
              <w:rPr>
                <w:rStyle w:val="VerbatimChar"/>
              </w:rPr>
              <w:t xml:space="preserve">nserver:</w:t>
            </w:r>
            <w:r>
              <w:t xml:space="preserve"> </w:t>
            </w:r>
            <w:r>
              <w:t xml:space="preserve">hosts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11,780</w:t>
            </w:r>
          </w:p>
        </w:tc>
        <w:tc>
          <w:tcPr/>
          <w:p>
            <w:pPr>
              <w:pStyle w:val="Compact"/>
            </w:pPr>
            <w:r>
              <w:t xml:space="preserve">the dump's generation stamp and each object's</w:t>
            </w:r>
            <w:r>
              <w:t xml:space="preserve"> </w:t>
            </w:r>
            <w:r>
              <w:rPr>
                <w:rStyle w:val="VerbatimChar"/>
              </w:rPr>
              <w:t xml:space="preserve">changed:</w:t>
            </w:r>
            <w:r>
              <w:t xml:space="preserve"> </w:t>
            </w:r>
            <w:r>
              <w:t xml:space="preserve">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all lanes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329,397.2492</w:t>
            </w:r>
          </w:p>
        </w:tc>
        <w:tc>
          <w:tcPr/>
          <w:p>
            <w:pPr>
              <w:pStyle w:val="Compac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additions/evidence_manifest.csv</w:t>
            </w:r>
            <w:r>
              <w:t xml:space="preserve"> </w:t>
            </w:r>
            <w:r>
              <w:t xml:space="preserve">states per record</w:t>
            </w:r>
          </w:p>
        </w:tc>
      </w:tr>
    </w:tbl>
    <w:p>
      <w:pPr>
        <w:pStyle w:val="BodyText"/>
      </w:pPr>
      <w:r>
        <w:t xml:space="preserve">Every row rests on the same three grounds: the stamp that dates an item is machine-written and sits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artifact, so no human judgement dates a year; the class was already master-eligible</w:t>
      </w:r>
      <w:r>
        <w:t xml:space="preserve"> </w:t>
      </w:r>
      <w:r>
        <w:t xml:space="preserve">for those exact bytes; the terms were read in full before the first request. On the survey you ruled</w:t>
      </w:r>
      <w:r>
        <w:t xml:space="preserve"> </w:t>
      </w:r>
      <w:r>
        <w:t xml:space="preserve">in writing on 2026-07-24 that a dated DNS survey may enter the annual files directly. Route,</w:t>
      </w:r>
      <w:r>
        <w:t xml:space="preserve"> </w:t>
      </w:r>
      <w:r>
        <w:t xml:space="preserve">licence, per-year and per-TLD yield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disclosures decide what the hostname half is worth</w:t>
      </w:r>
      <w:r>
        <w:t xml:space="preserve">, each a single filter on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: 65% of the largest source's records</w:t>
      </w:r>
      <w:r>
        <w:t xml:space="preserve"> </w:t>
      </w:r>
      <w:r>
        <w:t xml:space="preserve">are dialup or numbered workstation names (</w:t>
      </w:r>
      <w:r>
        <w:rPr>
          <w:rStyle w:val="VerbatimChar"/>
        </w:rPr>
        <w:t xml:space="preserve">pc50.btbcs.bt.co.uk</w:t>
      </w:r>
      <w:r>
        <w:t xml:space="preserve">), which answered its reverse-DNS</w:t>
      </w:r>
      <w:r>
        <w:t xml:space="preserve"> </w:t>
      </w:r>
      <w:r>
        <w:t xml:space="preserve">walk in the month it stamps and pass your validity rule but are not sites; and 26.1% of all</w:t>
      </w:r>
      <w:r>
        <w:t xml:space="preserve"> </w:t>
      </w:r>
      <w:r>
        <w:t xml:space="preserve">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registrables you already hold, worth full weight under the rule as</w:t>
      </w:r>
      <w:r>
        <w:t xml:space="preserve"> </w:t>
      </w:r>
      <w:r>
        <w:t xml:space="preserve">written and nothing if your calculator normalises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away.</w:t>
      </w:r>
    </w:p>
    <w:bookmarkEnd w:id="11"/>
    <w:bookmarkStart w:id="12" w:name="evidentiary-standard"/>
    <w:p>
      <w:pPr>
        <w:pStyle w:val="Heading2"/>
      </w:pPr>
      <w:r>
        <w:t xml:space="preserve">4. Evidentiary standard</w:t>
      </w:r>
    </w:p>
    <w:p>
      <w:pPr>
        <w:pStyle w:val="FirstParagraph"/>
      </w:pPr>
      <w:r>
        <w:t xml:space="preserve">Unchanged. One record is one machine-written observation of that name in that year, quoted with its</w:t>
      </w:r>
      <w:r>
        <w:t xml:space="preserve"> </w:t>
      </w:r>
      <w:r>
        <w:t xml:space="preserve">replay URL or artifact identifier in the evidence manifests so any line can be opened;</w:t>
      </w:r>
      <w:r>
        <w:t xml:space="preserve"> </w:t>
      </w:r>
      <w:r>
        <w:rPr>
          <w:rStyle w:val="VerbatimChar"/>
        </w:rPr>
        <w:t xml:space="preserve">evidence_id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 on both units and fifteen invariants enforce it before every commit and</w:t>
      </w:r>
      <w:r>
        <w:t xml:space="preserve"> </w:t>
      </w:r>
      <w:r>
        <w:t xml:space="preserve">again inside the archive. 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year,</w:t>
      </w:r>
      <w:r>
        <w:t xml:space="preserve"> </w:t>
      </w:r>
      <w:r>
        <w:t xml:space="preserve">anything a human typed needs a second source to date that domain first, and a creation date attests</w:t>
      </w:r>
      <w:r>
        <w:t xml:space="preserve"> </w:t>
      </w:r>
      <w:r>
        <w:t xml:space="preserve">its own year only.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 </w:t>
      </w:r>
      <w:r>
        <w:t xml:space="preserve">states the counting unit and the weights.</w:t>
      </w:r>
    </w:p>
    <w:bookmarkEnd w:id="12"/>
    <w:bookmarkStart w:id="13" w:name="what-was-built-since-round-6"/>
    <w:p>
      <w:pPr>
        <w:pStyle w:val="Heading2"/>
      </w:pPr>
      <w:r>
        <w:t xml:space="preserve">5. What was built since round 6</w:t>
      </w:r>
    </w:p>
    <w:p>
      <w:pPr>
        <w:pStyle w:val="FirstParagraph"/>
      </w:pPr>
      <w:r>
        <w:t xml:space="preserve">Round 6 proposed sources and a person judged each one. This round the loop closes.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scheduled workflows on a self-hosted runner</w:t>
      </w:r>
      <w:r>
        <w:t xml:space="preserve">: a generator writes hypotheses, each with a</w:t>
      </w:r>
      <w:r>
        <w:t xml:space="preserve"> </w:t>
      </w:r>
      <w:r>
        <w:t xml:space="preserve">yield floor and a kill screen; researcher waves test them in parallel against a read-only copy of</w:t>
      </w:r>
      <w:r>
        <w:t xml:space="preserve"> </w:t>
      </w:r>
      <w:r>
        <w:t xml:space="preserve">the store; a re-opener re-reads closed verdicts when a screen changes; an improver changes one</w:t>
      </w:r>
      <w:r>
        <w:t xml:space="preserve"> </w:t>
      </w:r>
      <w:r>
        <w:t xml:space="preserve">prompt or model knob per pull request so effects stay attributable.</w:t>
      </w:r>
      <w:r>
        <w:t xml:space="preserve"> </w:t>
      </w:r>
      <w:r>
        <w:rPr>
          <w:b/>
          <w:bCs/>
        </w:rPr>
        <w:t xml:space="preserve">494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66 developed, 428 evaluated and closed with the measurement that closed them, so the same ground is not broken twice.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Admission without a human, under a rule fixed in advance</w:t>
      </w:r>
      <w:r>
        <w:t xml:space="preserve">: a source banks only if its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 and the invariants pass. Six banked that way; two parked for a written decision, one on</w:t>
      </w:r>
      <w:r>
        <w:t xml:space="preserve"> </w:t>
      </w:r>
      <w:r>
        <w:t xml:space="preserve">terms and one on a class question. No agent can write the store: an admitter re-derives every</w:t>
      </w:r>
      <w:r>
        <w:t xml:space="preserve"> </w:t>
      </w:r>
      <w:r>
        <w:t xml:space="preserve">figure locally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re-opener paid for itself</w:t>
      </w:r>
      <w:r>
        <w:t xml:space="preserve">: it recovered the NYPW TimeMaps from a 14 EE closure by measuring</w:t>
      </w:r>
      <w:r>
        <w:t xml:space="preserve"> </w:t>
      </w:r>
      <w:r>
        <w:t xml:space="preserve">the ingest ledger per folder (year rows per million: 2000 ~24,000, 1999 ~10,000, 2001 exactly 4),</w:t>
      </w:r>
      <w:r>
        <w:t xml:space="preserve"> </w:t>
      </w:r>
      <w:r>
        <w:t xml:space="preserve">worth ~88,000 EE that a human closure had written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CDX execution</w:t>
      </w:r>
      <w:r>
        <w:t xml:space="preserve">, per your standing request: two clients at most, honest User-Agent, two seconds</w:t>
      </w:r>
      <w:r>
        <w:t xml:space="preserve"> </w:t>
      </w:r>
      <w:r>
        <w:t xml:space="preserve">between requests,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honoured, backoff on 429/503/504, absolute deadlines that outlive</w:t>
      </w:r>
      <w:r>
        <w:t xml:space="preserve"> </w:t>
      </w:r>
      <w:r>
        <w:t xml:space="preserve">a session.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which is why the same bytes could be</w:t>
      </w:r>
      <w:r>
        <w:t xml:space="preserve"> </w:t>
      </w:r>
      <w:r>
        <w:t xml:space="preserve">re-read under the new unit. A page costs about the same at 200 index blocks as at 10,000, so the</w:t>
      </w:r>
      <w:r>
        <w:t xml:space="preserve"> </w:t>
      </w:r>
      <w:r>
        <w:t xml:space="preserve">sweep now walks 10,000-block pages; one outage refused thirteen parents and they were requeued,</w:t>
      </w:r>
      <w:r>
        <w:t xml:space="preserve"> </w:t>
      </w:r>
      <w:r>
        <w:t xml:space="preserve">not skipped. Per-domain gap queries contributed 92,479 registrable pairs.</w:t>
      </w:r>
    </w:p>
    <w:p>
      <w:pPr>
        <w:pStyle w:val="FirstParagraph"/>
      </w:pPr>
      <w:r>
        <w:t xml:space="preserve">Code, prompts, policy and the hypothesis register with every verdict ship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</w:p>
    <w:bookmarkEnd w:id="13"/>
    <w:bookmarkStart w:id="14" w:name="limitations-and-where-the-room-is"/>
    <w:p>
      <w:pPr>
        <w:pStyle w:val="Heading2"/>
      </w:pPr>
      <w:r>
        <w:t xml:space="preserve">6. Limitations, and where the room is</w:t>
      </w:r>
    </w:p>
    <w:p>
      <w:pPr>
        <w:pStyle w:val="FirstParagraph"/>
      </w:pPr>
      <w:r>
        <w:rPr>
          <w:b/>
          <w:bCs/>
        </w:rPr>
        <w:t xml:space="preserve">A hostname is not a site</w:t>
      </w:r>
      <w:r>
        <w:t xml:space="preserve">: a reverse-DNS walk resolves dialup ports as readily as web servers,</w:t>
      </w:r>
      <w:r>
        <w:t xml:space="preserve"> </w:t>
      </w:r>
      <w:r>
        <w:t xml:space="preserve">and that is where most of this round's records come from, quoted per source so it can be cut.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capture proves presence, never absence</w:t>
      </w:r>
      <w:r>
        <w:t xml:space="preserve">: a year without one is unevidenced, not empty.</w:t>
      </w:r>
      <w:r>
        <w:t xml:space="preserve"> </w:t>
      </w:r>
      <w:r>
        <w:rPr>
          <w:b/>
          <w:bCs/>
        </w:rPr>
        <w:t xml:space="preserve">The units</w:t>
      </w:r>
      <w:r>
        <w:rPr>
          <w:b/>
          <w:bCs/>
        </w:rPr>
        <w:t xml:space="preserve"> </w:t>
      </w:r>
      <w:r>
        <w:rPr>
          <w:b/>
          <w:bCs/>
        </w:rPr>
        <w:t xml:space="preserve">are disjoint</w:t>
      </w:r>
      <w:r>
        <w:t xml:space="preserve">, so discarding the hostname files leaves the registrable round intact at 329,397.2492 EE.</w:t>
      </w:r>
    </w:p>
    <w:p>
      <w:pPr>
        <w:pStyle w:val="BodyText"/>
      </w:pPr>
      <w:r>
        <w:t xml:space="preserve">Worth expanding, in order: the same one-level-down reading of every other banked artifact that names</w:t>
      </w:r>
      <w:r>
        <w:t xml:space="preserve"> </w:t>
      </w:r>
      <w:r>
        <w:t xml:space="preserve">hosts, since DNS, mail and mirror rosters hold hosts a web crawler never fetched; the second-level</w:t>
      </w:r>
      <w:r>
        <w:t xml:space="preserve"> </w:t>
      </w:r>
      <w:r>
        <w:t xml:space="preserve">suffix namespaces at hostname grain, 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walked; the</w:t>
      </w:r>
      <w:r>
        <w:t xml:space="preserve"> </w:t>
      </w:r>
      <w:r>
        <w:t xml:space="preserve">ranked subdomain platforms still queued, resumable from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.</w:t>
      </w:r>
      <w:r>
        <w:t xml:space="preserve"> </w:t>
      </w:r>
      <w:r>
        <w:t xml:space="preserve">Measured and closed: prose corpora, academic repositories, CD-ROM media, FTP mirrors, trade</w:t>
      </w:r>
      <w:r>
        <w:t xml:space="preserve"> </w:t>
      </w:r>
      <w:r>
        <w:t xml:space="preserve">directories, with the figures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60,073,200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31,440,931.7326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26,224,274 submitted count once; the two unit files are disjoint in every year.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3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Reproduction,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map; this is the result of running it.</w:t>
      </w:r>
      <w:r>
        <w:t xml:space="preserve"> </w:t>
      </w:r>
      <w:r>
        <w:t xml:space="preserve">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five journal sets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the loop of section 5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2026-09-02T06:50:09Z</dcterms:created>
  <dcterms:modified xsi:type="dcterms:W3CDTF">2026-09-02T06:50:09Z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