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internet-digital-ark-round-5"/>
    <w:p>
      <w:pPr>
        <w:pStyle w:val="Heading1"/>
      </w:pPr>
      <w:r>
        <w:t xml:space="preserve">Internet Digital Ark: round 5</w:t>
      </w:r>
    </w:p>
    <w:bookmarkStart w:id="9" w:name="X3951f5b7db192c6c9ee78e24fa352f9e8523776"/>
    <w:p>
      <w:pPr>
        <w:pStyle w:val="Heading2"/>
      </w:pPr>
      <w:r>
        <w:t xml:space="preserve">1.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1. Total original domain-year records 1996-2001</w:t>
            </w:r>
          </w:p>
        </w:tc>
        <w:tc>
          <w:tcPr/>
          <w:p>
            <w:pPr>
              <w:pStyle w:val="Compact"/>
              <w:jc w:val="right"/>
            </w:pPr>
            <w:r>
              <w:t xml:space="preserve">15,428,507</w:t>
            </w:r>
          </w:p>
        </w:tc>
      </w:tr>
      <w:tr>
        <w:tc>
          <w:tcPr/>
          <w:p>
            <w:pPr>
              <w:pStyle w:val="Compact"/>
            </w:pPr>
            <w:r>
              <w:t xml:space="preserve">2. Equivalent-English total</w:t>
            </w:r>
          </w:p>
        </w:tc>
        <w:tc>
          <w:tcPr/>
          <w:p>
            <w:pPr>
              <w:pStyle w:val="Compact"/>
              <w:jc w:val="right"/>
            </w:pPr>
            <w:r>
              <w:t xml:space="preserve">8,346,839.3737</w:t>
            </w:r>
          </w:p>
        </w:tc>
      </w:tr>
      <w:tr>
        <w:tc>
          <w:tcPr/>
          <w:p>
            <w:pPr>
              <w:pStyle w:val="Compact"/>
            </w:pPr>
            <w:r>
              <w:t xml:space="preserve">3. Increment</w:t>
            </w:r>
          </w:p>
        </w:tc>
        <w:tc>
          <w:tcPr/>
          <w:p>
            <w:pPr>
              <w:pStyle w:val="Compact"/>
              <w:jc w:val="right"/>
            </w:pPr>
            <w:r>
              <w:rPr>
                <w:b/>
                <w:bCs/>
              </w:rPr>
              <w:t xml:space="preserve">2,835,893</w:t>
            </w:r>
            <w:r>
              <w:t xml:space="preserve"> </w:t>
            </w:r>
            <w:r>
              <w:t xml:space="preserve">records</w:t>
            </w:r>
          </w:p>
        </w:tc>
      </w:tr>
      <w:tr>
        <w:tc>
          <w:tcPr/>
          <w:p>
            <w:pPr>
              <w:pStyle w:val="Compact"/>
            </w:pPr>
            <w:r>
              <w:t xml:space="preserve">4. Equivalent-English increment</w:t>
            </w:r>
          </w:p>
        </w:tc>
        <w:tc>
          <w:tcPr/>
          <w:p>
            <w:pPr>
              <w:pStyle w:val="Compact"/>
              <w:jc w:val="right"/>
            </w:pPr>
            <w:r>
              <w:rPr>
                <w:b/>
                <w:bCs/>
              </w:rPr>
              <w:t xml:space="preserve">1,694,957.8712</w:t>
            </w:r>
          </w:p>
        </w:tc>
      </w:tr>
      <w:tr>
        <w:tc>
          <w:tcPr/>
          <w:p>
            <w:pPr>
              <w:pStyle w:val="Compact"/>
            </w:pPr>
            <w:r>
              <w:t xml:space="preserve">5. Equivalent-English growth rate</w:t>
            </w:r>
          </w:p>
        </w:tc>
        <w:tc>
          <w:tcPr/>
          <w:p>
            <w:pPr>
              <w:pStyle w:val="Compact"/>
              <w:jc w:val="right"/>
            </w:pPr>
            <w:r>
              <w:rPr>
                <w:b/>
                <w:bCs/>
              </w:rPr>
              <w:t xml:space="preserve">20.3066%</w:t>
            </w:r>
          </w:p>
        </w:tc>
      </w:tr>
    </w:tbl>
    <w:p>
      <w:pPr>
        <w:pStyle w:val="BodyText"/>
      </w:pPr>
      <w:r>
        <w:t xml:space="preserve">Lines 1 and 2 are the</w:t>
      </w:r>
      <w:r>
        <w:t xml:space="preserve"> </w:t>
      </w:r>
      <w:r>
        <w:rPr>
          <w:rStyle w:val="VerbatimChar"/>
        </w:rPr>
        <w:t xml:space="preserve">merged260815</w:t>
      </w:r>
      <w:r>
        <w:t xml:space="preserve"> </w:t>
      </w:r>
      <w:r>
        <w:t xml:space="preserve">totals, unchanged, since this increment is not yet merged. The</w:t>
      </w:r>
      <w:r>
        <w:t xml:space="preserve"> </w:t>
      </w:r>
      <w:r>
        <w:t xml:space="preserve">threshold for submission is 5% of the current baseline, which is 417,341.97 equivalent-English.</w:t>
      </w:r>
    </w:p>
    <w:p>
      <w:pPr>
        <w:pStyle w:val="BodyText"/>
      </w:pPr>
      <w:r>
        <w:t xml:space="preserve">Of the 2,835,893 net-new records, 2,664,363 are distinct domains and</w:t>
      </w:r>
      <w:r>
        <w:t xml:space="preserve"> </w:t>
      </w:r>
      <w:r>
        <w:rPr>
          <w:b/>
          <w:bCs/>
        </w:rPr>
        <w:t xml:space="preserve">1,788,557 appear in none of the</w:t>
      </w:r>
      <w:r>
        <w:rPr>
          <w:b/>
          <w:bCs/>
        </w:rPr>
        <w:t xml:space="preserve"> </w:t>
      </w:r>
      <w:r>
        <w:rPr>
          <w:b/>
          <w:bCs/>
        </w:rPr>
        <w:t xml:space="preserve">six baseline annual files in any year</w:t>
      </w:r>
      <w:r>
        <w:t xml:space="preserve">, so the majority of the increment is genuinely new names rather</w:t>
      </w:r>
      <w:r>
        <w:t xml:space="preserve"> </w:t>
      </w:r>
      <w:r>
        <w:t xml:space="preserve">than new years on names already held. Mean equivalent-English weight per record is 0.5977.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jc w:val="right"/>
            </w:pPr>
            <w:r>
              <w:t xml:space="preserve">merged260815, this counting unit</w:t>
            </w:r>
          </w:p>
        </w:tc>
        <w:tc>
          <w:tcPr/>
          <w:p>
            <w:pPr>
              <w:pStyle w:val="Compact"/>
              <w:jc w:val="right"/>
            </w:pPr>
            <w:r>
              <w:t xml:space="preserve">Additions</w:t>
            </w:r>
          </w:p>
        </w:tc>
        <w:tc>
          <w:tcPr/>
          <w:p>
            <w:pPr>
              <w:pStyle w:val="Compact"/>
              <w:jc w:val="right"/>
            </w:pPr>
            <w:r>
              <w:t xml:space="preserve">Capture-backed</w:t>
            </w:r>
          </w:p>
        </w:tc>
      </w:tr>
      <w:tr>
        <w:tc>
          <w:tcPr/>
          <w:p>
            <w:pPr>
              <w:pStyle w:val="Compact"/>
            </w:pPr>
            <w:r>
              <w:t xml:space="preserve">1996</w:t>
            </w:r>
          </w:p>
        </w:tc>
        <w:tc>
          <w:tcPr/>
          <w:p>
            <w:pPr>
              <w:pStyle w:val="Compact"/>
              <w:jc w:val="right"/>
            </w:pPr>
            <w:r>
              <w:t xml:space="preserve">649,765</w:t>
            </w:r>
          </w:p>
        </w:tc>
        <w:tc>
          <w:tcPr/>
          <w:p>
            <w:pPr>
              <w:pStyle w:val="Compact"/>
              <w:jc w:val="right"/>
            </w:pPr>
            <w:r>
              <w:t xml:space="preserve">63,162</w:t>
            </w:r>
          </w:p>
        </w:tc>
        <w:tc>
          <w:tcPr/>
          <w:p>
            <w:pPr>
              <w:pStyle w:val="Compact"/>
              <w:jc w:val="right"/>
            </w:pPr>
            <w:r>
              <w:t xml:space="preserve">39 (0.1%)</w:t>
            </w:r>
          </w:p>
        </w:tc>
      </w:tr>
      <w:tr>
        <w:tc>
          <w:tcPr/>
          <w:p>
            <w:pPr>
              <w:pStyle w:val="Compact"/>
            </w:pPr>
            <w:r>
              <w:t xml:space="preserve">1997</w:t>
            </w:r>
          </w:p>
        </w:tc>
        <w:tc>
          <w:tcPr/>
          <w:p>
            <w:pPr>
              <w:pStyle w:val="Compact"/>
              <w:jc w:val="right"/>
            </w:pPr>
            <w:r>
              <w:t xml:space="preserve">1,358,646</w:t>
            </w:r>
          </w:p>
        </w:tc>
        <w:tc>
          <w:tcPr/>
          <w:p>
            <w:pPr>
              <w:pStyle w:val="Compact"/>
              <w:jc w:val="right"/>
            </w:pPr>
            <w:r>
              <w:t xml:space="preserve">230,156</w:t>
            </w:r>
          </w:p>
        </w:tc>
        <w:tc>
          <w:tcPr/>
          <w:p>
            <w:pPr>
              <w:pStyle w:val="Compact"/>
              <w:jc w:val="right"/>
            </w:pPr>
            <w:r>
              <w:t xml:space="preserve">289 (0.1%)</w:t>
            </w:r>
          </w:p>
        </w:tc>
      </w:tr>
      <w:tr>
        <w:tc>
          <w:tcPr/>
          <w:p>
            <w:pPr>
              <w:pStyle w:val="Compact"/>
            </w:pPr>
            <w:r>
              <w:t xml:space="preserve">1998</w:t>
            </w:r>
          </w:p>
        </w:tc>
        <w:tc>
          <w:tcPr/>
          <w:p>
            <w:pPr>
              <w:pStyle w:val="Compact"/>
              <w:jc w:val="right"/>
            </w:pPr>
            <w:r>
              <w:t xml:space="preserve">1,363,435</w:t>
            </w:r>
          </w:p>
        </w:tc>
        <w:tc>
          <w:tcPr/>
          <w:p>
            <w:pPr>
              <w:pStyle w:val="Compact"/>
              <w:jc w:val="right"/>
            </w:pPr>
            <w:r>
              <w:t xml:space="preserve">283,031</w:t>
            </w:r>
          </w:p>
        </w:tc>
        <w:tc>
          <w:tcPr/>
          <w:p>
            <w:pPr>
              <w:pStyle w:val="Compact"/>
              <w:jc w:val="right"/>
            </w:pPr>
            <w:r>
              <w:t xml:space="preserve">4,824 (1.7%)</w:t>
            </w:r>
          </w:p>
        </w:tc>
      </w:tr>
      <w:tr>
        <w:tc>
          <w:tcPr/>
          <w:p>
            <w:pPr>
              <w:pStyle w:val="Compact"/>
            </w:pPr>
            <w:r>
              <w:t xml:space="preserve">1999</w:t>
            </w:r>
          </w:p>
        </w:tc>
        <w:tc>
          <w:tcPr/>
          <w:p>
            <w:pPr>
              <w:pStyle w:val="Compact"/>
              <w:jc w:val="right"/>
            </w:pPr>
            <w:r>
              <w:t xml:space="preserve">2,745,535</w:t>
            </w:r>
          </w:p>
        </w:tc>
        <w:tc>
          <w:tcPr/>
          <w:p>
            <w:pPr>
              <w:pStyle w:val="Compact"/>
              <w:jc w:val="right"/>
            </w:pPr>
            <w:r>
              <w:t xml:space="preserve">513,452</w:t>
            </w:r>
          </w:p>
        </w:tc>
        <w:tc>
          <w:tcPr/>
          <w:p>
            <w:pPr>
              <w:pStyle w:val="Compact"/>
              <w:jc w:val="right"/>
            </w:pPr>
            <w:r>
              <w:t xml:space="preserve">16,547 (3.2%)</w:t>
            </w:r>
          </w:p>
        </w:tc>
      </w:tr>
      <w:tr>
        <w:tc>
          <w:tcPr/>
          <w:p>
            <w:pPr>
              <w:pStyle w:val="Compact"/>
            </w:pPr>
            <w:r>
              <w:t xml:space="preserve">2000</w:t>
            </w:r>
          </w:p>
        </w:tc>
        <w:tc>
          <w:tcPr/>
          <w:p>
            <w:pPr>
              <w:pStyle w:val="Compact"/>
              <w:jc w:val="right"/>
            </w:pPr>
            <w:r>
              <w:t xml:space="preserve">4,675,256</w:t>
            </w:r>
          </w:p>
        </w:tc>
        <w:tc>
          <w:tcPr/>
          <w:p>
            <w:pPr>
              <w:pStyle w:val="Compact"/>
              <w:jc w:val="right"/>
            </w:pPr>
            <w:r>
              <w:t xml:space="preserve">764,865</w:t>
            </w:r>
          </w:p>
        </w:tc>
        <w:tc>
          <w:tcPr/>
          <w:p>
            <w:pPr>
              <w:pStyle w:val="Compact"/>
              <w:jc w:val="right"/>
            </w:pPr>
            <w:r>
              <w:t xml:space="preserve">26,867 (3.5%)</w:t>
            </w:r>
          </w:p>
        </w:tc>
      </w:tr>
      <w:tr>
        <w:tc>
          <w:tcPr/>
          <w:p>
            <w:pPr>
              <w:pStyle w:val="Compact"/>
            </w:pPr>
            <w:r>
              <w:t xml:space="preserve">2001</w:t>
            </w:r>
          </w:p>
        </w:tc>
        <w:tc>
          <w:tcPr/>
          <w:p>
            <w:pPr>
              <w:pStyle w:val="Compact"/>
              <w:jc w:val="right"/>
            </w:pPr>
            <w:r>
              <w:t xml:space="preserve">2,991,302</w:t>
            </w:r>
          </w:p>
        </w:tc>
        <w:tc>
          <w:tcPr/>
          <w:p>
            <w:pPr>
              <w:pStyle w:val="Compact"/>
              <w:jc w:val="right"/>
            </w:pPr>
            <w:r>
              <w:t xml:space="preserve">981,227</w:t>
            </w:r>
          </w:p>
        </w:tc>
        <w:tc>
          <w:tcPr/>
          <w:p>
            <w:pPr>
              <w:pStyle w:val="Compact"/>
              <w:jc w:val="right"/>
            </w:pPr>
            <w:r>
              <w:t xml:space="preserve">224,018 (22.8%)</w:t>
            </w:r>
          </w:p>
        </w:tc>
      </w:tr>
      <w:tr>
        <w:tc>
          <w:tcPr/>
          <w:p>
            <w:pPr>
              <w:pStyle w:val="Compact"/>
            </w:pPr>
            <w:r>
              <w:rPr>
                <w:b/>
                <w:bCs/>
              </w:rPr>
              <w:t xml:space="preserve">Total</w:t>
            </w:r>
          </w:p>
        </w:tc>
        <w:tc>
          <w:tcPr/>
          <w:p>
            <w:pPr>
              <w:pStyle w:val="Compact"/>
              <w:jc w:val="right"/>
            </w:pPr>
            <w:r>
              <w:rPr>
                <w:b/>
                <w:bCs/>
              </w:rPr>
              <w:t xml:space="preserve">13,783,939</w:t>
            </w:r>
          </w:p>
        </w:tc>
        <w:tc>
          <w:tcPr/>
          <w:p>
            <w:pPr>
              <w:pStyle w:val="Compact"/>
              <w:jc w:val="right"/>
            </w:pPr>
            <w:r>
              <w:rPr>
                <w:b/>
                <w:bCs/>
              </w:rPr>
              <w:t xml:space="preserve">2,835,893</w:t>
            </w:r>
          </w:p>
        </w:tc>
        <w:tc>
          <w:tcPr/>
          <w:p>
            <w:pPr>
              <w:pStyle w:val="Compact"/>
              <w:jc w:val="right"/>
            </w:pPr>
            <w:r>
              <w:rPr>
                <w:b/>
                <w:bCs/>
              </w:rPr>
              <w:t xml:space="preserve">272,584 (9.6%)</w:t>
            </w:r>
          </w:p>
        </w:tc>
      </w:tr>
    </w:tbl>
    <w:p>
      <w:pPr>
        <w:pStyle w:val="BodyText"/>
      </w:pPr>
      <w:r>
        <w:t xml:space="preserve">The baseline column above counts registered domains, which is the output unit section X asks for, so</w:t>
      </w:r>
      <w:r>
        <w:t xml:space="preserve"> </w:t>
      </w:r>
      <w:r>
        <w:t xml:space="preserve">it reads lower than the 15,428,507 raw lines of line 1. Both describe the same six files. Growth</w:t>
      </w:r>
      <w:r>
        <w:t xml:space="preserve"> </w:t>
      </w:r>
      <w:r>
        <w:t xml:space="preserve">is quoted against line 2, the reviewer's own equivalent-English total for those files.</w:t>
      </w:r>
    </w:p>
    <w:p>
      <w:pPr>
        <w:pStyle w:val="BodyText"/>
      </w:pPr>
      <w:r>
        <w:rPr>
          <w:b/>
          <w:bCs/>
        </w:rPr>
        <w:t xml:space="preserve">Cumulative across every round.</w:t>
      </w:r>
      <w:r>
        <w:t xml:space="preserve"> </w:t>
      </w:r>
      <w:r>
        <w:t xml:space="preserve">Growth rates from different rounds are not additive, because the baseline was reissued five times and each rate has its own denominator. So every figure below is restated against one fixed denominator: the 4,553,314.7637 equivalent-English of</w:t>
      </w:r>
      <w:r>
        <w:t xml:space="preserve"> </w:t>
      </w:r>
      <w:r>
        <w:rPr>
          <w:rStyle w:val="VerbatimChar"/>
        </w:rPr>
        <w:t xml:space="preserve">merged260715-2</w:t>
      </w:r>
      <w:r>
        <w:t xml:space="preserve">, the corpus as it stood before this project's first submission. Two rounds are listed without a figure because they are interim reports contained in the round that follows, and adding them would double-count. Round 1 predates the equivalent-English metric, so its records are the reviewer's own confirmed count and the weight beside it is measured now, over the same two releases, with the unchanged model. The last column is therefore comparable down the table, and is not the rate each round was accepted against at the time; this round's accepted rate is the 20.3066% in section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Round</w:t>
            </w:r>
          </w:p>
        </w:tc>
        <w:tc>
          <w:tcPr/>
          <w:p>
            <w:pPr>
              <w:pStyle w:val="Compact"/>
            </w:pPr>
            <w:r>
              <w:t xml:space="preserve">Date</w:t>
            </w:r>
          </w:p>
        </w:tc>
        <w:tc>
          <w:tcPr/>
          <w:p>
            <w:pPr>
              <w:pStyle w:val="Compact"/>
              <w:jc w:val="right"/>
            </w:pPr>
            <w:r>
              <w:t xml:space="preserve">Records</w:t>
            </w:r>
          </w:p>
        </w:tc>
        <w:tc>
          <w:tcPr/>
          <w:p>
            <w:pPr>
              <w:pStyle w:val="Compact"/>
              <w:jc w:val="right"/>
            </w:pPr>
            <w:r>
              <w:t xml:space="preserve">Equivalent-English</w:t>
            </w:r>
          </w:p>
        </w:tc>
        <w:tc>
          <w:tcPr/>
          <w:p>
            <w:pPr>
              <w:pStyle w:val="Compact"/>
              <w:jc w:val="right"/>
            </w:pPr>
            <w:r>
              <w:t xml:space="preserve">Against</w:t>
            </w:r>
            <w:r>
              <w:t xml:space="preserve"> </w:t>
            </w:r>
            <w:r>
              <w:rPr>
                <w:rStyle w:val="VerbatimChar"/>
              </w:rPr>
              <w:t xml:space="preserve">merged260715-2</w:t>
            </w:r>
          </w:p>
        </w:tc>
      </w:tr>
      <w:tr>
        <w:tc>
          <w:tcPr/>
          <w:p>
            <w:pPr>
              <w:pStyle w:val="Compact"/>
            </w:pPr>
            <w:r>
              <w:t xml:space="preserve">1</w:t>
            </w:r>
          </w:p>
        </w:tc>
        <w:tc>
          <w:tcPr/>
          <w:p>
            <w:pPr>
              <w:pStyle w:val="Compact"/>
            </w:pPr>
            <w:r>
              <w:t xml:space="preserve">2026-07-26</w:t>
            </w:r>
          </w:p>
        </w:tc>
        <w:tc>
          <w:tcPr/>
          <w:p>
            <w:pPr>
              <w:pStyle w:val="Compact"/>
              <w:jc w:val="right"/>
            </w:pPr>
            <w:r>
              <w:t xml:space="preserve">1,429,524</w:t>
            </w:r>
          </w:p>
        </w:tc>
        <w:tc>
          <w:tcPr/>
          <w:p>
            <w:pPr>
              <w:pStyle w:val="Compact"/>
              <w:jc w:val="right"/>
            </w:pPr>
            <w:r>
              <w:t xml:space="preserve">756,559.2864</w:t>
            </w:r>
          </w:p>
        </w:tc>
        <w:tc>
          <w:tcPr/>
          <w:p>
            <w:pPr>
              <w:pStyle w:val="Compact"/>
              <w:jc w:val="right"/>
            </w:pPr>
            <w:r>
              <w:t xml:space="preserve">16.6156%</w:t>
            </w:r>
          </w:p>
        </w:tc>
      </w:tr>
      <w:tr>
        <w:tc>
          <w:tcPr/>
          <w:p>
            <w:pPr>
              <w:pStyle w:val="Compact"/>
            </w:pPr>
            <w:r>
              <w:t xml:space="preserve">2</w:t>
            </w:r>
          </w:p>
        </w:tc>
        <w:tc>
          <w:tcPr/>
          <w:p>
            <w:pPr>
              <w:pStyle w:val="Compact"/>
            </w:pPr>
            <w:r>
              <w:t xml:space="preserve">2026-08-03</w:t>
            </w:r>
          </w:p>
        </w:tc>
        <w:tc>
          <w:tcPr/>
          <w:p>
            <w:pPr>
              <w:pStyle w:val="Compact"/>
              <w:jc w:val="right"/>
            </w:pPr>
            <w:r>
              <w:t xml:space="preserve">151,949</w:t>
            </w:r>
          </w:p>
        </w:tc>
        <w:tc>
          <w:tcPr/>
          <w:p>
            <w:pPr>
              <w:pStyle w:val="Compact"/>
              <w:jc w:val="right"/>
            </w:pPr>
            <w:r>
              <w:t xml:space="preserve">91,814.6880</w:t>
            </w:r>
          </w:p>
        </w:tc>
        <w:tc>
          <w:tcPr/>
          <w:p>
            <w:pPr>
              <w:pStyle w:val="Compact"/>
              <w:jc w:val="right"/>
            </w:pPr>
            <w:r>
              <w:t xml:space="preserve">2.0164%</w:t>
            </w:r>
          </w:p>
        </w:tc>
      </w:tr>
      <w:tr>
        <w:tc>
          <w:tcPr/>
          <w:p>
            <w:pPr>
              <w:pStyle w:val="Compact"/>
            </w:pPr>
            <w:r>
              <w:t xml:space="preserve">3</w:t>
            </w:r>
          </w:p>
        </w:tc>
        <w:tc>
          <w:tcPr/>
          <w:p>
            <w:pPr>
              <w:pStyle w:val="Compact"/>
            </w:pPr>
            <w:r>
              <w:t xml:space="preserve">2026-08-06</w:t>
            </w:r>
          </w:p>
        </w:tc>
        <w:tc>
          <w:tcPr/>
          <w:p>
            <w:pPr>
              <w:pStyle w:val="Compact"/>
              <w:jc w:val="right"/>
            </w:pPr>
            <w:r>
              <w:t xml:space="preserve">152,773</w:t>
            </w:r>
          </w:p>
        </w:tc>
        <w:tc>
          <w:tcPr/>
          <w:p>
            <w:pPr>
              <w:pStyle w:val="Compact"/>
              <w:jc w:val="right"/>
            </w:pPr>
            <w:r>
              <w:t xml:space="preserve">105,676.0387</w:t>
            </w:r>
          </w:p>
        </w:tc>
        <w:tc>
          <w:tcPr/>
          <w:p>
            <w:pPr>
              <w:pStyle w:val="Compact"/>
              <w:jc w:val="right"/>
            </w:pPr>
            <w:r>
              <w:rPr>
                <w:i/>
                <w:iCs/>
              </w:rPr>
              <w:t xml:space="preserve">counted within round 4</w:t>
            </w:r>
          </w:p>
        </w:tc>
      </w:tr>
      <w:tr>
        <w:tc>
          <w:tcPr/>
          <w:p>
            <w:pPr>
              <w:pStyle w:val="Compact"/>
            </w:pPr>
            <w:r>
              <w:t xml:space="preserve">4</w:t>
            </w:r>
          </w:p>
        </w:tc>
        <w:tc>
          <w:tcPr/>
          <w:p>
            <w:pPr>
              <w:pStyle w:val="Compact"/>
            </w:pPr>
            <w:r>
              <w:t xml:space="preserve">2026-08-09</w:t>
            </w:r>
          </w:p>
        </w:tc>
        <w:tc>
          <w:tcPr/>
          <w:p>
            <w:pPr>
              <w:pStyle w:val="Compact"/>
              <w:jc w:val="right"/>
            </w:pPr>
            <w:r>
              <w:t xml:space="preserve">946,266</w:t>
            </w:r>
          </w:p>
        </w:tc>
        <w:tc>
          <w:tcPr/>
          <w:p>
            <w:pPr>
              <w:pStyle w:val="Compact"/>
              <w:jc w:val="right"/>
            </w:pPr>
            <w:r>
              <w:t xml:space="preserve">603,401.7811</w:t>
            </w:r>
          </w:p>
        </w:tc>
        <w:tc>
          <w:tcPr/>
          <w:p>
            <w:pPr>
              <w:pStyle w:val="Compact"/>
              <w:jc w:val="right"/>
            </w:pPr>
            <w:r>
              <w:t xml:space="preserve">13.2519%</w:t>
            </w:r>
          </w:p>
        </w:tc>
      </w:tr>
      <w:tr>
        <w:tc>
          <w:tcPr/>
          <w:p>
            <w:pPr>
              <w:pStyle w:val="Compact"/>
            </w:pPr>
            <w:r>
              <w:t xml:space="preserve">5</w:t>
            </w:r>
          </w:p>
        </w:tc>
        <w:tc>
          <w:tcPr/>
          <w:p>
            <w:pPr>
              <w:pStyle w:val="Compact"/>
            </w:pPr>
            <w:r>
              <w:t xml:space="preserve">2026-08-12</w:t>
            </w:r>
          </w:p>
        </w:tc>
        <w:tc>
          <w:tcPr/>
          <w:p>
            <w:pPr>
              <w:pStyle w:val="Compact"/>
              <w:jc w:val="right"/>
            </w:pPr>
            <w:r>
              <w:t xml:space="preserve">159,787</w:t>
            </w:r>
          </w:p>
        </w:tc>
        <w:tc>
          <w:tcPr/>
          <w:p>
            <w:pPr>
              <w:pStyle w:val="Compact"/>
              <w:jc w:val="right"/>
            </w:pPr>
            <w:r>
              <w:t xml:space="preserve">91,908.4230</w:t>
            </w:r>
          </w:p>
        </w:tc>
        <w:tc>
          <w:tcPr/>
          <w:p>
            <w:pPr>
              <w:pStyle w:val="Compact"/>
              <w:jc w:val="right"/>
            </w:pPr>
            <w:r>
              <w:rPr>
                <w:i/>
                <w:iCs/>
              </w:rPr>
              <w:t xml:space="preserve">counted within round 6</w:t>
            </w:r>
          </w:p>
        </w:tc>
      </w:tr>
      <w:tr>
        <w:tc>
          <w:tcPr/>
          <w:p>
            <w:pPr>
              <w:pStyle w:val="Compact"/>
            </w:pPr>
            <w:r>
              <w:rPr>
                <w:b/>
                <w:bCs/>
              </w:rPr>
              <w:t xml:space="preserve">6 (this one)</w:t>
            </w:r>
          </w:p>
        </w:tc>
        <w:tc>
          <w:tcPr/>
          <w:p>
            <w:pPr>
              <w:pStyle w:val="Compact"/>
            </w:pPr>
            <w:r>
              <w:t xml:space="preserve">2026-08-17</w:t>
            </w:r>
          </w:p>
        </w:tc>
        <w:tc>
          <w:tcPr/>
          <w:p>
            <w:pPr>
              <w:pStyle w:val="Compact"/>
              <w:jc w:val="right"/>
            </w:pPr>
            <w:r>
              <w:rPr>
                <w:b/>
                <w:bCs/>
              </w:rPr>
              <w:t xml:space="preserve">2,835,893</w:t>
            </w:r>
          </w:p>
        </w:tc>
        <w:tc>
          <w:tcPr/>
          <w:p>
            <w:pPr>
              <w:pStyle w:val="Compact"/>
              <w:jc w:val="right"/>
            </w:pPr>
            <w:r>
              <w:rPr>
                <w:b/>
                <w:bCs/>
              </w:rPr>
              <w:t xml:space="preserve">1,694,957.8712</w:t>
            </w:r>
          </w:p>
        </w:tc>
        <w:tc>
          <w:tcPr/>
          <w:p>
            <w:pPr>
              <w:pStyle w:val="Compact"/>
              <w:jc w:val="right"/>
            </w:pPr>
            <w:r>
              <w:rPr>
                <w:b/>
                <w:bCs/>
              </w:rPr>
              <w:t xml:space="preserve">37.2247%</w:t>
            </w:r>
          </w:p>
        </w:tc>
      </w:tr>
      <w:tr>
        <w:tc>
          <w:tcPr/>
          <w:p>
            <w:pPr>
              <w:pStyle w:val="Compact"/>
            </w:pPr>
            <w:r>
              <w:rPr>
                <w:b/>
                <w:bCs/>
              </w:rPr>
              <w:t xml:space="preserve">Cumulative</w:t>
            </w:r>
          </w:p>
        </w:tc>
        <w:tc>
          <w:tcPr/>
          <w:p>
            <w:pPr>
              <w:pStyle w:val="Compact"/>
            </w:pPr>
          </w:p>
        </w:tc>
        <w:tc>
          <w:tcPr/>
          <w:p>
            <w:pPr>
              <w:pStyle w:val="Compact"/>
              <w:jc w:val="right"/>
            </w:pPr>
            <w:r>
              <w:rPr>
                <w:b/>
                <w:bCs/>
              </w:rPr>
              <w:t xml:space="preserve">5,363,632</w:t>
            </w:r>
          </w:p>
        </w:tc>
        <w:tc>
          <w:tcPr/>
          <w:p>
            <w:pPr>
              <w:pStyle w:val="Compact"/>
              <w:jc w:val="right"/>
            </w:pPr>
            <w:r>
              <w:rPr>
                <w:b/>
                <w:bCs/>
              </w:rPr>
              <w:t xml:space="preserve">3,146,733.6267</w:t>
            </w:r>
          </w:p>
        </w:tc>
        <w:tc>
          <w:tcPr/>
          <w:p>
            <w:pPr>
              <w:pStyle w:val="Compact"/>
              <w:jc w:val="right"/>
            </w:pPr>
            <w:r>
              <w:rPr>
                <w:b/>
                <w:bCs/>
              </w:rPr>
              <w:t xml:space="preserve">69.1086%</w:t>
            </w:r>
          </w:p>
        </w:tc>
      </w:tr>
    </w:tbl>
    <w:p>
      <w:r>
        <w:pict>
          <v:rect style="width:0;height:1.5pt" o:hralign="center" o:hrstd="t" o:hr="t"/>
        </w:pict>
      </w:r>
    </w:p>
    <w:bookmarkEnd w:id="9"/>
    <w:bookmarkStart w:id="10" w:name="Xc36f9d396a8bc698fe7557aaa02b78e9989dc7a"/>
    <w:p>
      <w:pPr>
        <w:pStyle w:val="Heading2"/>
      </w:pPr>
      <w:r>
        <w:t xml:space="preserve">2. What was added, and the year evidence behind each addition</w:t>
      </w:r>
    </w:p>
    <w:p>
      <w:pPr>
        <w:pStyle w:val="FirstParagraph"/>
      </w:pPr>
      <w:r>
        <w:t xml:space="preserve">Four routes account for nearly all of this round. Each is described with the field that dates a year,</w:t>
      </w:r>
      <w:r>
        <w:t xml:space="preserve"> </w:t>
      </w:r>
      <w:r>
        <w:t xml:space="preserve">because under section IV of the brief a record may enter an annual file only on evidence for that year.</w:t>
      </w:r>
    </w:p>
    <w:p>
      <w:pPr>
        <w:pStyle w:val="BodyText"/>
      </w:pPr>
      <w:r>
        <w:rPr>
          <w:b/>
          <w:bCs/>
        </w:rPr>
        <w:t xml:space="preserve">1. The Internet Archive's own capture census (</w:t>
      </w:r>
      <w:r>
        <w:rPr>
          <w:rStyle w:val="VerbatimChar"/>
          <w:b/>
          <w:bCs/>
        </w:rPr>
        <w:t xml:space="preserve">dartmouth_nber_captures</w:t>
      </w:r>
      <w:r>
        <w:rPr>
          <w:b/>
          <w:bCs/>
        </w:rPr>
        <w:t xml:space="preserve">).</w:t>
      </w:r>
      <w:r>
        <w:t xml:space="preserve"> </w:t>
      </w:r>
      <w:r>
        <w:t xml:space="preserve">A 2017 research release</w:t>
      </w:r>
      <w:r>
        <w:t xml:space="preserve"> </w:t>
      </w:r>
      <w:r>
        <w:t xml:space="preserve">deposited at archive.org under the Dartmouth/NBER web-history collection publishes, for every host the</w:t>
      </w:r>
      <w:r>
        <w:t xml:space="preserve"> </w:t>
      </w:r>
      <w:r>
        <w:t xml:space="preserve">Wayback Machine held at that time, a count of captures per calendar year. One row is</w:t>
      </w:r>
      <w:r>
        <w:t xml:space="preserve"> </w:t>
      </w:r>
      <w:r>
        <w:rPr>
          <w:rStyle w:val="VerbatimChar"/>
        </w:rPr>
        <w:t xml:space="preserve">host</w:t>
      </w:r>
      <w:r>
        <w:t xml:space="preserve">,</w:t>
      </w:r>
      <w:r>
        <w:t xml:space="preserve"> </w:t>
      </w:r>
      <w:r>
        <w:rPr>
          <w:rStyle w:val="VerbatimChar"/>
        </w:rPr>
        <w:t xml:space="preserve">year</w:t>
      </w:r>
      <w:r>
        <w:t xml:space="preserve">,</w:t>
      </w:r>
      <w:r>
        <w:t xml:space="preserve"> </w:t>
      </w:r>
      <w:r>
        <w:rPr>
          <w:rStyle w:val="VerbatimChar"/>
        </w:rPr>
        <w:t xml:space="preserve">count</w:t>
      </w:r>
      <w:r>
        <w:t xml:space="preserve">. A row is therefore a statement by the archive that it holds N captures of that host inside that</w:t>
      </w:r>
      <w:r>
        <w:t xml:space="preserve"> </w:t>
      </w:r>
      <w:r>
        <w:t xml:space="preserve">calendar year, which is the same fact a CDX query returns, published in bulk instead of retrieved one</w:t>
      </w:r>
      <w:r>
        <w:t xml:space="preserve"> </w:t>
      </w:r>
      <w:r>
        <w:t xml:space="preserve">host at a time. It is filed as</w:t>
      </w:r>
      <w:r>
        <w:t xml:space="preserve"> </w:t>
      </w:r>
      <w:r>
        <w:rPr>
          <w:rStyle w:val="VerbatimChar"/>
        </w:rPr>
        <w:t xml:space="preserve">cdx_timestamp</w:t>
      </w:r>
      <w:r>
        <w:t xml:space="preserve"> </w:t>
      </w:r>
      <w:r>
        <w:t xml:space="preserve">for that reason.</w:t>
      </w:r>
      <w:r>
        <w:t xml:space="preserve"> </w:t>
      </w:r>
      <w:r>
        <w:rPr>
          <w:b/>
          <w:bCs/>
        </w:rPr>
        <w:t xml:space="preserve">Independent check:</w:t>
      </w:r>
      <w:r>
        <w:t xml:space="preserve"> </w:t>
      </w:r>
      <w:r>
        <w:t xml:space="preserve">for domains where</w:t>
      </w:r>
      <w:r>
        <w:t xml:space="preserve"> </w:t>
      </w:r>
      <w:r>
        <w:t xml:space="preserve">our own CDX engine had separately queried the live archive, the two agree on 138,979 (domain, year) pairs,</w:t>
      </w:r>
      <w:r>
        <w:t xml:space="preserve"> </w:t>
      </w:r>
      <w:r>
        <w:t xml:space="preserve">including exact same-day agreement on single-capture years such as</w:t>
      </w:r>
      <w:r>
        <w:t xml:space="preserve"> </w:t>
      </w:r>
      <w:r>
        <w:rPr>
          <w:rStyle w:val="VerbatimChar"/>
        </w:rPr>
        <w:t xml:space="preserve">milwhite.com</w:t>
      </w:r>
      <w:r>
        <w:t xml:space="preserve"> </w:t>
      </w:r>
      <w:r>
        <w:t xml:space="preserve">1996 (our engine</w:t>
      </w:r>
      <w:r>
        <w:t xml:space="preserve"> </w:t>
      </w:r>
      <w:r>
        <w:t xml:space="preserve">recorded</w:t>
      </w:r>
      <w:r>
        <w:t xml:space="preserve"> </w:t>
      </w:r>
      <w:r>
        <w:rPr>
          <w:rStyle w:val="VerbatimChar"/>
        </w:rPr>
        <w:t xml:space="preserve">19961231231928</w:t>
      </w:r>
      <w:r>
        <w:t xml:space="preserve"> </w:t>
      </w:r>
      <w:r>
        <w:t xml:space="preserve">against the census row</w:t>
      </w:r>
      <w:r>
        <w:t xml:space="preserve"> </w:t>
      </w:r>
      <w:r>
        <w:rPr>
          <w:rStyle w:val="VerbatimChar"/>
        </w:rPr>
        <w:t xml:space="preserve">ia_captures:1996:1</w:t>
      </w:r>
      <w:r>
        <w:t xml:space="preserve">). The census evidences only the</w:t>
      </w:r>
      <w:r>
        <w:t xml:space="preserve"> </w:t>
      </w:r>
      <w:r>
        <w:t xml:space="preserve">years it names; no year is inferred from any other.</w:t>
      </w:r>
    </w:p>
    <w:p>
      <w:pPr>
        <w:pStyle w:val="BodyText"/>
      </w:pPr>
      <w:r>
        <w:rPr>
          <w:b/>
          <w:bCs/>
        </w:rPr>
        <w:t xml:space="preserve">2. Registry creation dates in bulk (</w:t>
      </w:r>
      <w:r>
        <w:rPr>
          <w:rStyle w:val="VerbatimChar"/>
          <w:b/>
          <w:bCs/>
        </w:rPr>
        <w:t xml:space="preserve">domain_creation_bulk</w:t>
      </w:r>
      <w:r>
        <w:rPr>
          <w:b/>
          <w:bCs/>
        </w:rPr>
        <w:t xml:space="preserve">).</w:t>
      </w:r>
      <w:r>
        <w:t xml:space="preserve"> </w:t>
      </w:r>
      <w:r>
        <w:t xml:space="preserve">A published WHOIS/DNS compilation of</w:t>
      </w:r>
      <w:r>
        <w:t xml:space="preserve"> </w:t>
      </w:r>
      <w:r>
        <w:t xml:space="preserve">171 million domains carries the registry's own creation date per domain, parsed from port-43 answers.</w:t>
      </w:r>
      <w:r>
        <w:t xml:space="preserve"> </w:t>
      </w:r>
      <w:r>
        <w:t xml:space="preserve">Section IV states that a WHOIS Creation Date is valid evidence that a domain existed no later than that</w:t>
      </w:r>
      <w:r>
        <w:t xml:space="preserve"> </w:t>
      </w:r>
      <w:r>
        <w:t xml:space="preserve">date and may support inclusion in the annual file for the year the creation date falls in. That is</w:t>
      </w:r>
      <w:r>
        <w:t xml:space="preserve"> </w:t>
      </w:r>
      <w:r>
        <w:t xml:space="preserve">exactly and only how it is used here:</w:t>
      </w:r>
      <w:r>
        <w:t xml:space="preserve"> </w:t>
      </w:r>
      <w:r>
        <w:rPr>
          <w:b/>
          <w:bCs/>
        </w:rPr>
        <w:t xml:space="preserve">a creation date in 1998 writes 1998 and no other year.</w:t>
      </w:r>
      <w:r>
        <w:t xml:space="preserve"> </w:t>
      </w:r>
      <w:r>
        <w:t xml:space="preserve">The</w:t>
      </w:r>
      <w:r>
        <w:t xml:space="preserve"> </w:t>
      </w:r>
      <w:r>
        <w:t xml:space="preserve">brief's warning about later years is enforced structurally rather than by care, because the parser emits</w:t>
      </w:r>
      <w:r>
        <w:t xml:space="preserve"> </w:t>
      </w:r>
      <w:r>
        <w:t xml:space="preserve">one evidence row for one year and</w:t>
      </w:r>
      <w:r>
        <w:t xml:space="preserve"> </w:t>
      </w:r>
      <w:r>
        <w:rPr>
          <w:rStyle w:val="VerbatimChar"/>
        </w:rPr>
        <w:t xml:space="preserve">assign_year</w:t>
      </w:r>
      <w:r>
        <w:t xml:space="preserve"> </w:t>
      </w:r>
      <w:r>
        <w:t xml:space="preserve">cannot write a second.</w:t>
      </w:r>
    </w:p>
    <w:p>
      <w:pPr>
        <w:pStyle w:val="BodyText"/>
      </w:pPr>
      <w:r>
        <w:rPr>
          <w:i/>
          <w:iCs/>
        </w:rPr>
        <w:t xml:space="preserve">Falsification run before admitting it.</w:t>
      </w:r>
      <w:r>
        <w:t xml:space="preserve"> </w:t>
      </w:r>
      <w:r>
        <w:t xml:space="preserve">A TLD cannot predate its own delegation. Across the six TLDs</w:t>
      </w:r>
      <w:r>
        <w:t xml:space="preserve"> </w:t>
      </w:r>
      <w:r>
        <w:t xml:space="preserve">delegated in 2001, the file contains 21,698 in-window rows and</w:t>
      </w:r>
      <w:r>
        <w:t xml:space="preserve"> </w:t>
      </w:r>
      <w:r>
        <w:rPr>
          <w:b/>
          <w:bCs/>
        </w:rPr>
        <w:t xml:space="preserve">zero</w:t>
      </w:r>
      <w:r>
        <w:t xml:space="preserve"> </w:t>
      </w:r>
      <w:r>
        <w:t xml:space="preserve">dated before 2001:</w:t>
      </w:r>
      <w:r>
        <w:t xml:space="preserve"> </w:t>
      </w:r>
      <w:r>
        <w:rPr>
          <w:rStyle w:val="VerbatimChar"/>
        </w:rPr>
        <w:t xml:space="preserve">.info</w:t>
      </w:r>
      <w:r>
        <w:t xml:space="preserve"> </w:t>
      </w:r>
      <w:r>
        <w:t xml:space="preserve">20,731</w:t>
      </w:r>
      <w:r>
        <w:t xml:space="preserve"> </w:t>
      </w:r>
      <w:r>
        <w:t xml:space="preserve">rows,</w:t>
      </w:r>
      <w:r>
        <w:t xml:space="preserve"> </w:t>
      </w:r>
      <w:r>
        <w:rPr>
          <w:rStyle w:val="VerbatimChar"/>
        </w:rPr>
        <w:t xml:space="preserve">.biz</w:t>
      </w:r>
      <w:r>
        <w:t xml:space="preserve"> </w:t>
      </w:r>
      <w:r>
        <w:t xml:space="preserve">635,</w:t>
      </w:r>
      <w:r>
        <w:t xml:space="preserve"> </w:t>
      </w:r>
      <w:r>
        <w:rPr>
          <w:rStyle w:val="VerbatimChar"/>
        </w:rPr>
        <w:t xml:space="preserve">.coop</w:t>
      </w:r>
      <w:r>
        <w:t xml:space="preserve"> </w:t>
      </w:r>
      <w:r>
        <w:t xml:space="preserve">315,</w:t>
      </w:r>
      <w:r>
        <w:t xml:space="preserve"> </w:t>
      </w:r>
      <w:r>
        <w:rPr>
          <w:rStyle w:val="VerbatimChar"/>
        </w:rPr>
        <w:t xml:space="preserve">.museum</w:t>
      </w:r>
      <w:r>
        <w:t xml:space="preserve"> </w:t>
      </w:r>
      <w:r>
        <w:t xml:space="preserve">17. Had the dates been synthesised or shifted, this is where it</w:t>
      </w:r>
      <w:r>
        <w:t xml:space="preserve"> </w:t>
      </w:r>
      <w:r>
        <w:t xml:space="preserve">would show.</w:t>
      </w:r>
    </w:p>
    <w:p>
      <w:pPr>
        <w:pStyle w:val="BodyText"/>
      </w:pPr>
      <w:r>
        <w:rPr>
          <w:b/>
          <w:bCs/>
        </w:rPr>
        <w:t xml:space="preserve">3. A file we already held, read completely (</w:t>
      </w:r>
      <w:r>
        <w:rPr>
          <w:rStyle w:val="VerbatimChar"/>
          <w:b/>
          <w:bCs/>
        </w:rPr>
        <w:t xml:space="preserve">ukwa_link_source</w:t>
      </w:r>
      <w:r>
        <w:rPr>
          <w:b/>
          <w:bCs/>
        </w:rPr>
        <w:t xml:space="preserve">).</w:t>
      </w:r>
      <w:r>
        <w:t xml:space="preserve"> </w:t>
      </w:r>
      <w:r>
        <w:t xml:space="preserve">The UK Web Archive host link graph</w:t>
      </w:r>
      <w:r>
        <w:t xml:space="preserve"> </w:t>
      </w:r>
      <w:r>
        <w:t xml:space="preserve">had been parsed since July. The parser stopped at the first record whose year exceeded the window, on the</w:t>
      </w:r>
      <w:r>
        <w:t xml:space="preserve"> </w:t>
      </w:r>
      <w:r>
        <w:t xml:space="preserve">assumption the file was sorted by year. It is not: it is fifteen concatenated shards, and the check that</w:t>
      </w:r>
      <w:r>
        <w:t xml:space="preserve"> </w:t>
      </w:r>
      <w:r>
        <w:t xml:space="preserve">had verified the assumption stopped 2.4 times short of the first shard boundary at line 11,908,464. The</w:t>
      </w:r>
      <w:r>
        <w:t xml:space="preserve"> </w:t>
      </w:r>
      <w:r>
        <w:t xml:space="preserve">parser had been reading</w:t>
      </w:r>
      <w:r>
        <w:t xml:space="preserve"> </w:t>
      </w:r>
      <w:r>
        <w:rPr>
          <w:b/>
          <w:bCs/>
        </w:rPr>
        <w:t xml:space="preserve">6.76%</w:t>
      </w:r>
      <w:r>
        <w:t xml:space="preserve"> </w:t>
      </w:r>
      <w:r>
        <w:t xml:space="preserve">of the file. Removing four lines recovered 92,646 net-new pairs from</w:t>
      </w:r>
      <w:r>
        <w:t xml:space="preserve"> </w:t>
      </w:r>
      <w:r>
        <w:t xml:space="preserve">material already on disk.</w:t>
      </w:r>
    </w:p>
    <w:p>
      <w:pPr>
        <w:pStyle w:val="BodyText"/>
      </w:pPr>
      <w:r>
        <w:rPr>
          <w:b/>
          <w:bCs/>
        </w:rPr>
        <w:t xml:space="preserve">4. The January 1997 Internet Domain Survey (</w:t>
      </w:r>
      <w:r>
        <w:rPr>
          <w:rStyle w:val="VerbatimChar"/>
          <w:b/>
          <w:bCs/>
        </w:rPr>
        <w:t xml:space="preserve">isc_survey</w:t>
      </w:r>
      <w:r>
        <w:rPr>
          <w:b/>
          <w:bCs/>
        </w:rPr>
        <w:t xml:space="preserve">).</w:t>
      </w:r>
      <w:r>
        <w:t xml:space="preserve"> </w:t>
      </w:r>
      <w:r>
        <w:t xml:space="preserve">The survey's own host is long dead and the</w:t>
      </w:r>
      <w:r>
        <w:t xml:space="preserve"> </w:t>
      </w:r>
      <w:r>
        <w:t xml:space="preserve">file had been recorded as unrecoverable. A sweep of every dead host in the register asked a different</w:t>
      </w:r>
      <w:r>
        <w:t xml:space="preserve"> </w:t>
      </w:r>
      <w:r>
        <w:t xml:space="preserve">question, not "does this host answer" but "did the archive keep its files", and found</w:t>
      </w:r>
      <w:r>
        <w:t xml:space="preserve"> </w:t>
      </w:r>
      <w:r>
        <w:rPr>
          <w:rStyle w:val="VerbatimChar"/>
        </w:rPr>
        <w:t xml:space="preserve">zone/9701.domains.gz</w:t>
      </w:r>
      <w:r>
        <w:t xml:space="preserve"> </w:t>
      </w:r>
      <w:r>
        <w:t xml:space="preserve">intact in the Wayback Machine under a successor hostname. A documented presence in a dated DNS survey is</w:t>
      </w:r>
      <w:r>
        <w:t xml:space="preserve"> </w:t>
      </w:r>
      <w:r>
        <w:t xml:space="preserve">direct annual evidence under section V.</w:t>
      </w:r>
    </w:p>
    <w:p>
      <w:pPr>
        <w:pStyle w:val="BodyText"/>
      </w:pPr>
      <w:r>
        <w:t xml:space="preserve">Alongside these, mentions already held were re-admitted by the corroboration rule described in section 5,</w:t>
      </w:r>
      <w:r>
        <w:t xml:space="preserve"> </w:t>
      </w:r>
      <w:r>
        <w:t xml:space="preserve">and the CDX engines continued to date candidates from the archive itself.</w:t>
      </w:r>
    </w:p>
    <w:p>
      <w:r>
        <w:pict>
          <v:rect style="width:0;height:1.5pt" o:hralign="center" o:hrstd="t" o:hr="t"/>
        </w:pict>
      </w:r>
    </w:p>
    <w:bookmarkEnd w:id="10"/>
    <w:bookmarkStart w:id="11" w:name="Xe43e5d609466207d1dd3dbe06d1d10756c2fd7b"/>
    <w:p>
      <w:pPr>
        <w:pStyle w:val="Heading2"/>
      </w:pPr>
      <w:r>
        <w:t xml:space="preserve">3. Source contribution statistics</w:t>
      </w:r>
    </w:p>
    <w:p>
      <w:pPr>
        <w:pStyle w:val="FirstParagraph"/>
      </w:pPr>
      <w:r>
        <w:t xml:space="preserve">Every net-new record, by the source that dated it. Raw record increase and equivalent-English increase</w:t>
      </w:r>
      <w:r>
        <w:t xml:space="preserve"> </w:t>
      </w:r>
      <w:r>
        <w:t xml:space="preserve">are given for each, as required.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What carries the date</w:t>
            </w:r>
          </w:p>
        </w:tc>
        <w:tc>
          <w:tcPr/>
          <w:p>
            <w:pPr>
              <w:pStyle w:val="Compact"/>
            </w:pPr>
            <w:r>
              <w:t xml:space="preserve">Evidence type</w:t>
            </w:r>
          </w:p>
        </w:tc>
        <w:tc>
          <w:tcPr/>
          <w:p>
            <w:pPr>
              <w:pStyle w:val="Compact"/>
            </w:pPr>
            <w:r>
              <w:t xml:space="preserve">Admissible</w:t>
            </w:r>
          </w:p>
        </w:tc>
        <w:tc>
          <w:tcPr/>
          <w:p>
            <w:pPr>
              <w:pStyle w:val="Compact"/>
              <w:jc w:val="right"/>
            </w:pPr>
            <w:r>
              <w:t xml:space="preserve">Net-new pairs</w:t>
            </w:r>
          </w:p>
        </w:tc>
        <w:tc>
          <w:tcPr/>
          <w:p>
            <w:pPr>
              <w:pStyle w:val="Compact"/>
              <w:jc w:val="right"/>
            </w:pPr>
            <w:r>
              <w:t xml:space="preserve">Equivalent-English</w:t>
            </w:r>
          </w:p>
        </w:tc>
      </w:tr>
      <w:tr>
        <w:tc>
          <w:tcPr/>
          <w:p>
            <w:pPr>
              <w:pStyle w:val="Compact"/>
            </w:pPr>
            <w:r>
              <w:rPr>
                <w:rStyle w:val="VerbatimChar"/>
              </w:rPr>
              <w:t xml:space="preserve">domain_creation_bulk</w:t>
            </w:r>
          </w:p>
        </w:tc>
        <w:tc>
          <w:tcPr/>
          <w:p>
            <w:pPr>
              <w:pStyle w:val="Compact"/>
            </w:pPr>
            <w:r>
              <w:t xml:space="preserve">see</w:t>
            </w:r>
            <w:r>
              <w:t xml:space="preserve"> </w:t>
            </w:r>
            <w:r>
              <w:rPr>
                <w:rStyle w:val="VerbatimChar"/>
              </w:rPr>
              <w:t xml:space="preserve">sources.md</w:t>
            </w:r>
          </w:p>
        </w:tc>
        <w:tc>
          <w:tcPr/>
          <w:p>
            <w:pPr>
              <w:pStyle w:val="Compact"/>
            </w:pPr>
            <w:r>
              <w:rPr>
                <w:rStyle w:val="VerbatimChar"/>
              </w:rPr>
              <w:t xml:space="preserve">whois_creation</w:t>
            </w:r>
          </w:p>
        </w:tc>
        <w:tc>
          <w:tcPr/>
          <w:p>
            <w:pPr>
              <w:pStyle w:val="Compact"/>
            </w:pPr>
            <w:r>
              <w:t xml:space="preserve">master</w:t>
            </w:r>
          </w:p>
        </w:tc>
        <w:tc>
          <w:tcPr/>
          <w:p>
            <w:pPr>
              <w:pStyle w:val="Compact"/>
              <w:jc w:val="right"/>
            </w:pPr>
            <w:r>
              <w:t xml:space="preserve">2,165,523</w:t>
            </w:r>
          </w:p>
        </w:tc>
        <w:tc>
          <w:tcPr/>
          <w:p>
            <w:pPr>
              <w:pStyle w:val="Compact"/>
              <w:jc w:val="right"/>
            </w:pPr>
            <w:r>
              <w:t xml:space="preserve">1,241,812.0</w:t>
            </w:r>
          </w:p>
        </w:tc>
      </w:tr>
      <w:tr>
        <w:tc>
          <w:tcPr/>
          <w:p>
            <w:pPr>
              <w:pStyle w:val="Compact"/>
            </w:pPr>
            <w:r>
              <w:rPr>
                <w:rStyle w:val="VerbatimChar"/>
              </w:rPr>
              <w:t xml:space="preserve">dartmouth_nber_captures</w:t>
            </w:r>
          </w:p>
        </w:tc>
        <w:tc>
          <w:tcPr/>
          <w:p>
            <w:pPr>
              <w:pStyle w:val="Compact"/>
            </w:pPr>
            <w:r>
              <w:t xml:space="preserve">see</w:t>
            </w:r>
            <w:r>
              <w:t xml:space="preserve"> </w:t>
            </w:r>
            <w:r>
              <w:rPr>
                <w:rStyle w:val="VerbatimChar"/>
              </w:rPr>
              <w:t xml:space="preserve">sources.md</w:t>
            </w:r>
          </w:p>
        </w:tc>
        <w:tc>
          <w:tcPr/>
          <w:p>
            <w:pPr>
              <w:pStyle w:val="Compact"/>
            </w:pPr>
            <w:r>
              <w:rPr>
                <w:rStyle w:val="VerbatimChar"/>
              </w:rPr>
              <w:t xml:space="preserve">cdx_timestamp</w:t>
            </w:r>
          </w:p>
        </w:tc>
        <w:tc>
          <w:tcPr/>
          <w:p>
            <w:pPr>
              <w:pStyle w:val="Compact"/>
            </w:pPr>
            <w:r>
              <w:t xml:space="preserve">master</w:t>
            </w:r>
          </w:p>
        </w:tc>
        <w:tc>
          <w:tcPr/>
          <w:p>
            <w:pPr>
              <w:pStyle w:val="Compact"/>
              <w:jc w:val="right"/>
            </w:pPr>
            <w:r>
              <w:t xml:space="preserve">227,273</w:t>
            </w:r>
          </w:p>
        </w:tc>
        <w:tc>
          <w:tcPr/>
          <w:p>
            <w:pPr>
              <w:pStyle w:val="Compact"/>
              <w:jc w:val="right"/>
            </w:pPr>
            <w:r>
              <w:t xml:space="preserve">142,084.0</w:t>
            </w:r>
          </w:p>
        </w:tc>
      </w:tr>
      <w:tr>
        <w:tc>
          <w:tcPr/>
          <w:p>
            <w:pPr>
              <w:pStyle w:val="Compact"/>
            </w:pPr>
            <w:r>
              <w:rPr>
                <w:rStyle w:val="VerbatimChar"/>
              </w:rPr>
              <w:t xml:space="preserve">ukwa_link_source</w:t>
            </w:r>
          </w:p>
        </w:tc>
        <w:tc>
          <w:tcPr/>
          <w:p>
            <w:pPr>
              <w:pStyle w:val="Compact"/>
            </w:pPr>
            <w:r>
              <w:t xml:space="preserve">UK Web Archive crawl date</w:t>
            </w:r>
          </w:p>
        </w:tc>
        <w:tc>
          <w:tcPr/>
          <w:p>
            <w:pPr>
              <w:pStyle w:val="Compact"/>
            </w:pPr>
            <w:r>
              <w:rPr>
                <w:rStyle w:val="VerbatimChar"/>
              </w:rPr>
              <w:t xml:space="preserve">link_source</w:t>
            </w:r>
          </w:p>
        </w:tc>
        <w:tc>
          <w:tcPr/>
          <w:p>
            <w:pPr>
              <w:pStyle w:val="Compact"/>
            </w:pPr>
            <w:r>
              <w:t xml:space="preserve">master</w:t>
            </w:r>
          </w:p>
        </w:tc>
        <w:tc>
          <w:tcPr/>
          <w:p>
            <w:pPr>
              <w:pStyle w:val="Compact"/>
              <w:jc w:val="right"/>
            </w:pPr>
            <w:r>
              <w:t xml:space="preserve">92,646</w:t>
            </w:r>
          </w:p>
        </w:tc>
        <w:tc>
          <w:tcPr/>
          <w:p>
            <w:pPr>
              <w:pStyle w:val="Compact"/>
              <w:jc w:val="right"/>
            </w:pPr>
            <w:r>
              <w:t xml:space="preserve">90,825.1</w:t>
            </w:r>
          </w:p>
        </w:tc>
      </w:tr>
      <w:tr>
        <w:tc>
          <w:tcPr/>
          <w:p>
            <w:pPr>
              <w:pStyle w:val="Compact"/>
            </w:pPr>
            <w:r>
              <w:rPr>
                <w:rStyle w:val="VerbatimChar"/>
              </w:rPr>
              <w:t xml:space="preserve">isc_survey</w:t>
            </w:r>
          </w:p>
        </w:tc>
        <w:tc>
          <w:tcPr/>
          <w:p>
            <w:pPr>
              <w:pStyle w:val="Compact"/>
            </w:pPr>
            <w:r>
              <w:t xml:space="preserve">survey run date</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115,104</w:t>
            </w:r>
          </w:p>
        </w:tc>
        <w:tc>
          <w:tcPr/>
          <w:p>
            <w:pPr>
              <w:pStyle w:val="Compact"/>
              <w:jc w:val="right"/>
            </w:pPr>
            <w:r>
              <w:t xml:space="preserve">61,759.1</w:t>
            </w:r>
          </w:p>
        </w:tc>
      </w:tr>
      <w:tr>
        <w:tc>
          <w:tcPr/>
          <w:p>
            <w:pPr>
              <w:pStyle w:val="Compact"/>
            </w:pPr>
            <w:r>
              <w:rPr>
                <w:rStyle w:val="VerbatimChar"/>
              </w:rPr>
              <w:t xml:space="preserve">rdap_snapshot</w:t>
            </w:r>
          </w:p>
        </w:tc>
        <w:tc>
          <w:tcPr/>
          <w:p>
            <w:pPr>
              <w:pStyle w:val="Compact"/>
            </w:pPr>
            <w:r>
              <w:t xml:space="preserve">the registry's own</w:t>
            </w:r>
            <w:r>
              <w:t xml:space="preserve"> </w:t>
            </w:r>
            <w:r>
              <w:rPr>
                <w:rStyle w:val="VerbatimChar"/>
              </w:rPr>
              <w:t xml:space="preserve">registration</w:t>
            </w:r>
            <w:r>
              <w:t xml:space="preserve"> </w:t>
            </w:r>
            <w:r>
              <w:t xml:space="preserve">event date</w:t>
            </w:r>
          </w:p>
        </w:tc>
        <w:tc>
          <w:tcPr/>
          <w:p>
            <w:pPr>
              <w:pStyle w:val="Compact"/>
            </w:pPr>
            <w:r>
              <w:rPr>
                <w:rStyle w:val="VerbatimChar"/>
              </w:rPr>
              <w:t xml:space="preserve">whois_creation</w:t>
            </w:r>
          </w:p>
        </w:tc>
        <w:tc>
          <w:tcPr/>
          <w:p>
            <w:pPr>
              <w:pStyle w:val="Compact"/>
            </w:pPr>
            <w:r>
              <w:t xml:space="preserve">master</w:t>
            </w:r>
          </w:p>
        </w:tc>
        <w:tc>
          <w:tcPr/>
          <w:p>
            <w:pPr>
              <w:pStyle w:val="Compact"/>
              <w:jc w:val="right"/>
            </w:pPr>
            <w:r>
              <w:t xml:space="preserve">87,657</w:t>
            </w:r>
          </w:p>
        </w:tc>
        <w:tc>
          <w:tcPr/>
          <w:p>
            <w:pPr>
              <w:pStyle w:val="Compact"/>
              <w:jc w:val="right"/>
            </w:pPr>
            <w:r>
              <w:t xml:space="preserve">54,209.7</w:t>
            </w:r>
          </w:p>
        </w:tc>
      </w:tr>
      <w:tr>
        <w:tc>
          <w:tcPr/>
          <w:p>
            <w:pPr>
              <w:pStyle w:val="Compact"/>
            </w:pPr>
            <w:r>
              <w:rPr>
                <w:rStyle w:val="VerbatimChar"/>
              </w:rPr>
              <w:t xml:space="preserve">usenet_announce</w:t>
            </w:r>
          </w:p>
        </w:tc>
        <w:tc>
          <w:tcPr/>
          <w:p>
            <w:pPr>
              <w:pStyle w:val="Compact"/>
            </w:pPr>
            <w:r>
              <w:t xml:space="preserve">post date of the announcement</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69,949</w:t>
            </w:r>
          </w:p>
        </w:tc>
        <w:tc>
          <w:tcPr/>
          <w:p>
            <w:pPr>
              <w:pStyle w:val="Compact"/>
              <w:jc w:val="right"/>
            </w:pPr>
            <w:r>
              <w:t xml:space="preserve">46,402.0</w:t>
            </w:r>
          </w:p>
        </w:tc>
      </w:tr>
      <w:tr>
        <w:tc>
          <w:tcPr/>
          <w:p>
            <w:pPr>
              <w:pStyle w:val="Compact"/>
            </w:pPr>
            <w:r>
              <w:rPr>
                <w:rStyle w:val="VerbatimChar"/>
              </w:rPr>
              <w:t xml:space="preserve">ia_cdx_bulk</w:t>
            </w:r>
          </w:p>
        </w:tc>
        <w:tc>
          <w:tcPr/>
          <w:p>
            <w:pPr>
              <w:pStyle w:val="Compact"/>
            </w:pPr>
            <w:r>
              <w:t xml:space="preserve">Wayback capture timestamp</w:t>
            </w:r>
          </w:p>
        </w:tc>
        <w:tc>
          <w:tcPr/>
          <w:p>
            <w:pPr>
              <w:pStyle w:val="Compact"/>
            </w:pPr>
            <w:r>
              <w:rPr>
                <w:rStyle w:val="VerbatimChar"/>
              </w:rPr>
              <w:t xml:space="preserve">cdx_timestamp</w:t>
            </w:r>
          </w:p>
        </w:tc>
        <w:tc>
          <w:tcPr/>
          <w:p>
            <w:pPr>
              <w:pStyle w:val="Compact"/>
            </w:pPr>
            <w:r>
              <w:t xml:space="preserve">master</w:t>
            </w:r>
          </w:p>
        </w:tc>
        <w:tc>
          <w:tcPr/>
          <w:p>
            <w:pPr>
              <w:pStyle w:val="Compact"/>
              <w:jc w:val="right"/>
            </w:pPr>
            <w:r>
              <w:t xml:space="preserve">42,776</w:t>
            </w:r>
          </w:p>
        </w:tc>
        <w:tc>
          <w:tcPr/>
          <w:p>
            <w:pPr>
              <w:pStyle w:val="Compact"/>
              <w:jc w:val="right"/>
            </w:pPr>
            <w:r>
              <w:t xml:space="preserve">36,993.4</w:t>
            </w:r>
          </w:p>
        </w:tc>
      </w:tr>
      <w:tr>
        <w:tc>
          <w:tcPr/>
          <w:p>
            <w:pPr>
              <w:pStyle w:val="Compact"/>
            </w:pPr>
            <w:r>
              <w:rPr>
                <w:rStyle w:val="VerbatimChar"/>
              </w:rPr>
              <w:t xml:space="preserve">usenet_address</w:t>
            </w:r>
          </w:p>
        </w:tc>
        <w:tc>
          <w:tcPr/>
          <w:p>
            <w:pPr>
              <w:pStyle w:val="Compact"/>
            </w:pPr>
            <w:r>
              <w:t xml:space="preserve">post date of the message carrying the address</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15,764</w:t>
            </w:r>
          </w:p>
        </w:tc>
        <w:tc>
          <w:tcPr/>
          <w:p>
            <w:pPr>
              <w:pStyle w:val="Compact"/>
              <w:jc w:val="right"/>
            </w:pPr>
            <w:r>
              <w:t xml:space="preserve">9,579.5</w:t>
            </w:r>
          </w:p>
        </w:tc>
      </w:tr>
      <w:tr>
        <w:tc>
          <w:tcPr/>
          <w:p>
            <w:pPr>
              <w:pStyle w:val="Compact"/>
            </w:pPr>
            <w:r>
              <w:rPr>
                <w:rStyle w:val="VerbatimChar"/>
              </w:rPr>
              <w:t xml:space="preserve">udrp_proceedings</w:t>
            </w:r>
          </w:p>
        </w:tc>
        <w:tc>
          <w:tcPr/>
          <w:p>
            <w:pPr>
              <w:pStyle w:val="Compact"/>
            </w:pPr>
            <w:r>
              <w:t xml:space="preserve">see</w:t>
            </w:r>
            <w:r>
              <w:t xml:space="preserve"> </w:t>
            </w:r>
            <w:r>
              <w:rPr>
                <w:rStyle w:val="VerbatimChar"/>
              </w:rPr>
              <w:t xml:space="preserve">sources.md</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6,934</w:t>
            </w:r>
          </w:p>
        </w:tc>
        <w:tc>
          <w:tcPr/>
          <w:p>
            <w:pPr>
              <w:pStyle w:val="Compact"/>
              <w:jc w:val="right"/>
            </w:pPr>
            <w:r>
              <w:t xml:space="preserve">4,203.1</w:t>
            </w:r>
          </w:p>
        </w:tc>
      </w:tr>
      <w:tr>
        <w:tc>
          <w:tcPr/>
          <w:p>
            <w:pPr>
              <w:pStyle w:val="Compact"/>
            </w:pPr>
            <w:r>
              <w:rPr>
                <w:rStyle w:val="VerbatimChar"/>
              </w:rPr>
              <w:t xml:space="preserve">usenet_bare</w:t>
            </w:r>
          </w:p>
        </w:tc>
        <w:tc>
          <w:tcPr/>
          <w:p>
            <w:pPr>
              <w:pStyle w:val="Compact"/>
            </w:pPr>
            <w:r>
              <w:t xml:space="preserve">post date of the message carrying the address</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5,211</w:t>
            </w:r>
          </w:p>
        </w:tc>
        <w:tc>
          <w:tcPr/>
          <w:p>
            <w:pPr>
              <w:pStyle w:val="Compact"/>
              <w:jc w:val="right"/>
            </w:pPr>
            <w:r>
              <w:t xml:space="preserve">3,246.7</w:t>
            </w:r>
          </w:p>
        </w:tc>
      </w:tr>
      <w:tr>
        <w:tc>
          <w:tcPr/>
          <w:p>
            <w:pPr>
              <w:pStyle w:val="Compact"/>
            </w:pPr>
            <w:r>
              <w:rPr>
                <w:rStyle w:val="VerbatimChar"/>
              </w:rPr>
              <w:t xml:space="preserve">attrition_defacement</w:t>
            </w:r>
          </w:p>
        </w:tc>
        <w:tc>
          <w:tcPr/>
          <w:p>
            <w:pPr>
              <w:pStyle w:val="Compact"/>
            </w:pPr>
            <w:r>
              <w:t xml:space="preserve">see</w:t>
            </w:r>
            <w:r>
              <w:t xml:space="preserve"> </w:t>
            </w:r>
            <w:r>
              <w:rPr>
                <w:rStyle w:val="VerbatimChar"/>
              </w:rPr>
              <w:t xml:space="preserve">sources.md</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3,929</w:t>
            </w:r>
          </w:p>
        </w:tc>
        <w:tc>
          <w:tcPr/>
          <w:p>
            <w:pPr>
              <w:pStyle w:val="Compact"/>
              <w:jc w:val="right"/>
            </w:pPr>
            <w:r>
              <w:t xml:space="preserve">1,874.9</w:t>
            </w:r>
          </w:p>
        </w:tc>
      </w:tr>
      <w:tr>
        <w:tc>
          <w:tcPr/>
          <w:p>
            <w:pPr>
              <w:pStyle w:val="Compact"/>
            </w:pPr>
            <w:r>
              <w:rPr>
                <w:rStyle w:val="VerbatimChar"/>
              </w:rPr>
              <w:t xml:space="preserve">enron_email</w:t>
            </w:r>
          </w:p>
        </w:tc>
        <w:tc>
          <w:tcPr/>
          <w:p>
            <w:pPr>
              <w:pStyle w:val="Compact"/>
            </w:pPr>
            <w:r>
              <w:t xml:space="preserve">the message</w:t>
            </w:r>
            <w:r>
              <w:t xml:space="preserve"> </w:t>
            </w:r>
            <w:r>
              <w:rPr>
                <w:rStyle w:val="VerbatimChar"/>
              </w:rPr>
              <w:t xml:space="preserve">Date:</w:t>
            </w:r>
            <w:r>
              <w:t xml:space="preserve"> </w:t>
            </w:r>
            <w:r>
              <w:t xml:space="preserve">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2,163</w:t>
            </w:r>
          </w:p>
        </w:tc>
        <w:tc>
          <w:tcPr/>
          <w:p>
            <w:pPr>
              <w:pStyle w:val="Compact"/>
              <w:jc w:val="right"/>
            </w:pPr>
            <w:r>
              <w:t xml:space="preserve">1,360.2</w:t>
            </w:r>
          </w:p>
        </w:tc>
      </w:tr>
      <w:tr>
        <w:tc>
          <w:tcPr/>
          <w:p>
            <w:pPr>
              <w:pStyle w:val="Compact"/>
            </w:pPr>
            <w:r>
              <w:rPr>
                <w:rStyle w:val="VerbatimChar"/>
              </w:rPr>
              <w:t xml:space="preserve">maillist_archive</w:t>
            </w:r>
          </w:p>
        </w:tc>
        <w:tc>
          <w:tcPr/>
          <w:p>
            <w:pPr>
              <w:pStyle w:val="Compact"/>
            </w:pPr>
            <w:r>
              <w:t xml:space="preserve">the message</w:t>
            </w:r>
            <w:r>
              <w:t xml:space="preserve"> </w:t>
            </w:r>
            <w:r>
              <w:rPr>
                <w:rStyle w:val="VerbatimChar"/>
              </w:rPr>
              <w:t xml:space="preserve">Date:</w:t>
            </w:r>
            <w:r>
              <w:t xml:space="preserve"> </w:t>
            </w:r>
            <w:r>
              <w:t xml:space="preserve">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633</w:t>
            </w:r>
          </w:p>
        </w:tc>
        <w:tc>
          <w:tcPr/>
          <w:p>
            <w:pPr>
              <w:pStyle w:val="Compact"/>
              <w:jc w:val="right"/>
            </w:pPr>
            <w:r>
              <w:t xml:space="preserve">395.3</w:t>
            </w:r>
          </w:p>
        </w:tc>
      </w:tr>
      <w:tr>
        <w:tc>
          <w:tcPr/>
          <w:p>
            <w:pPr>
              <w:pStyle w:val="Compact"/>
            </w:pPr>
            <w:r>
              <w:rPr>
                <w:rStyle w:val="VerbatimChar"/>
              </w:rPr>
              <w:t xml:space="preserve">trade_press</w:t>
            </w:r>
          </w:p>
        </w:tc>
        <w:tc>
          <w:tcPr/>
          <w:p>
            <w:pPr>
              <w:pStyle w:val="Compact"/>
            </w:pPr>
            <w:r>
              <w:t xml:space="preserve">the issue cover date</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212</w:t>
            </w:r>
          </w:p>
        </w:tc>
        <w:tc>
          <w:tcPr/>
          <w:p>
            <w:pPr>
              <w:pStyle w:val="Compact"/>
              <w:jc w:val="right"/>
            </w:pPr>
            <w:r>
              <w:t xml:space="preserve">134.7</w:t>
            </w:r>
          </w:p>
        </w:tc>
      </w:tr>
      <w:tr>
        <w:tc>
          <w:tcPr/>
          <w:p>
            <w:pPr>
              <w:pStyle w:val="Compact"/>
            </w:pPr>
            <w:r>
              <w:rPr>
                <w:rStyle w:val="VerbatimChar"/>
              </w:rPr>
              <w:t xml:space="preserve">tucows_catalogue</w:t>
            </w:r>
          </w:p>
        </w:tc>
        <w:tc>
          <w:tcPr/>
          <w:p>
            <w:pPr>
              <w:pStyle w:val="Compact"/>
            </w:pPr>
            <w:r>
              <w:t xml:space="preserve">software release date</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83</w:t>
            </w:r>
          </w:p>
        </w:tc>
        <w:tc>
          <w:tcPr/>
          <w:p>
            <w:pPr>
              <w:pStyle w:val="Compact"/>
              <w:jc w:val="right"/>
            </w:pPr>
            <w:r>
              <w:t xml:space="preserve">53.2</w:t>
            </w:r>
          </w:p>
        </w:tc>
      </w:tr>
      <w:tr>
        <w:tc>
          <w:tcPr/>
          <w:p>
            <w:pPr>
              <w:pStyle w:val="Compact"/>
            </w:pPr>
            <w:r>
              <w:rPr>
                <w:rStyle w:val="VerbatimChar"/>
              </w:rPr>
              <w:t xml:space="preserve">rtfm_faq</w:t>
            </w:r>
          </w:p>
        </w:tc>
        <w:tc>
          <w:tcPr/>
          <w:p>
            <w:pPr>
              <w:pStyle w:val="Compact"/>
            </w:pPr>
            <w:r>
              <w:t xml:space="preserve">the FAQ's revision 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36</w:t>
            </w:r>
          </w:p>
        </w:tc>
        <w:tc>
          <w:tcPr/>
          <w:p>
            <w:pPr>
              <w:pStyle w:val="Compact"/>
              <w:jc w:val="right"/>
            </w:pPr>
            <w:r>
              <w:t xml:space="preserve">25.0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jc w:val="right"/>
            </w:pPr>
            <w:r>
              <w:rPr>
                <w:b/>
                <w:bCs/>
              </w:rPr>
              <w:t xml:space="preserve">2,835,893</w:t>
            </w:r>
          </w:p>
        </w:tc>
        <w:tc>
          <w:tcPr/>
          <w:p>
            <w:pPr>
              <w:pStyle w:val="Compact"/>
              <w:jc w:val="right"/>
            </w:pPr>
            <w:r>
              <w:rPr>
                <w:b/>
                <w:bCs/>
              </w:rPr>
              <w:t xml:space="preserve">1,694,957.9</w:t>
            </w:r>
          </w:p>
        </w:tc>
      </w:tr>
    </w:tbl>
    <w:p>
      <w:pPr>
        <w:pStyle w:val="BodyText"/>
      </w:pPr>
      <w:r>
        <w:rPr>
          <w:b/>
          <w:bCs/>
        </w:rPr>
        <w:t xml:space="preserve">Candidate pool, kept strictly separate from the annual masters:</w:t>
      </w:r>
      <w:r>
        <w:t xml:space="preserve"> </w:t>
      </w:r>
      <w:r>
        <w:t xml:space="preserve">2,452,596 domains carry no</w:t>
      </w:r>
      <w:r>
        <w:t xml:space="preserve"> </w:t>
      </w:r>
      <w:r>
        <w:t xml:space="preserve">year-specific evidence and are shipped as</w:t>
      </w:r>
      <w:r>
        <w:t xml:space="preserve"> </w:t>
      </w:r>
      <w:r>
        <w:rPr>
          <w:rStyle w:val="VerbatimChar"/>
        </w:rPr>
        <w:t xml:space="preserve">candidates.txt</w:t>
      </w:r>
      <w:r>
        <w:t xml:space="preserve">, never mixed into</w:t>
      </w:r>
      <w:r>
        <w:t xml:space="preserve"> </w:t>
      </w:r>
      <w:r>
        <w:rPr>
          <w:rStyle w:val="VerbatimChar"/>
        </w:rPr>
        <w:t xml:space="preserve">1996.txt</w:t>
      </w:r>
      <w:r>
        <w:t xml:space="preserve"> </w:t>
      </w:r>
      <w:r>
        <w:t xml:space="preserve">through</w:t>
      </w:r>
      <w:r>
        <w:t xml:space="preserve"> </w:t>
      </w:r>
      <w:r>
        <w:rPr>
          <w:rStyle w:val="VerbatimChar"/>
        </w:rPr>
        <w:t xml:space="preserve">2001.txt</w:t>
      </w:r>
      <w:r>
        <w:t xml:space="preserve">. They are hostnames extracted from archived pages (</w:t>
      </w:r>
      <w:r>
        <w:rPr>
          <w:rStyle w:val="VerbatimChar"/>
        </w:rPr>
        <w:t xml:space="preserve">link_target</w:t>
      </w:r>
      <w:r>
        <w:t xml:space="preserve">), which the taxonomy makes</w:t>
      </w:r>
      <w:r>
        <w:t xml:space="preserve"> </w:t>
      </w:r>
      <w:r>
        <w:t xml:space="preserve">structurally incapable of dating a year.</w:t>
      </w:r>
    </w:p>
    <w:p>
      <w:r>
        <w:pict>
          <v:rect style="width:0;height:1.5pt" o:hralign="center" o:hrstd="t" o:hr="t"/>
        </w:pict>
      </w:r>
    </w:p>
    <w:bookmarkEnd w:id="11"/>
    <w:bookmarkStart w:id="12" w:name="Xc45a411903c5ef4b6305215adc725499c74fbf5"/>
    <w:p>
      <w:pPr>
        <w:pStyle w:val="Heading2"/>
      </w:pPr>
      <w:r>
        <w:t xml:space="preserve">4. CDX execution notes</w:t>
      </w:r>
    </w:p>
    <w:p>
      <w:pPr>
        <w:pStyle w:val="FirstParagraph"/>
      </w:pPr>
      <w:r>
        <w:t xml:space="preserve">Tooling:</w:t>
      </w:r>
      <w:r>
        <w:t xml:space="preserve"> </w:t>
      </w:r>
      <w:r>
        <w:rPr>
          <w:rStyle w:val="VerbatimChar"/>
        </w:rPr>
        <w:t xml:space="preserve">ark cdx</w:t>
      </w:r>
      <w:r>
        <w:t xml:space="preserve">, this project's own client for the public Wayback CDX API, driven by</w:t>
      </w:r>
      <w:r>
        <w:t xml:space="preserve"> </w:t>
      </w:r>
      <w:r>
        <w:rPr>
          <w:rStyle w:val="VerbatimChar"/>
        </w:rPr>
        <w:t xml:space="preserve">scripts/supervise_cdx_pool.sh</w:t>
      </w:r>
      <w:r>
        <w:t xml:space="preserve">. It runs two disjoint populations on two machines. The</w:t>
      </w:r>
      <w:r>
        <w:t xml:space="preserve"> </w:t>
      </w:r>
      <w:r>
        <w:rPr>
          <w:b/>
          <w:bCs/>
        </w:rPr>
        <w:t xml:space="preserve">VPS</w:t>
      </w:r>
      <w:r>
        <w:t xml:space="preserve"> </w:t>
      </w:r>
      <w:r>
        <w:t xml:space="preserve">works pure</w:t>
      </w:r>
      <w:r>
        <w:t xml:space="preserve"> </w:t>
      </w:r>
      <w:r>
        <w:t xml:space="preserve">bracketed gaps, a missing year Y where Y-1 and Y+1 are already held, as a completeness baseline. The</w:t>
      </w:r>
      <w:r>
        <w:t xml:space="preserve"> </w:t>
      </w:r>
      <w:r>
        <w:rPr>
          <w:b/>
          <w:bCs/>
        </w:rPr>
        <w:t xml:space="preserve">local</w:t>
      </w:r>
      <w:r>
        <w:t xml:space="preserve"> </w:t>
      </w:r>
      <w:r>
        <w:t xml:space="preserve">engine works the candidate pool beside the discovery loop that feeds it.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Collector prefix</w:t>
            </w:r>
          </w:p>
        </w:tc>
        <w:tc>
          <w:tcPr/>
          <w:p>
            <w:pPr>
              <w:pStyle w:val="Compact"/>
              <w:jc w:val="right"/>
            </w:pPr>
            <w:r>
              <w:t xml:space="preserve">Journals</w:t>
            </w:r>
          </w:p>
        </w:tc>
        <w:tc>
          <w:tcPr/>
          <w:p>
            <w:pPr>
              <w:pStyle w:val="Compact"/>
              <w:jc w:val="right"/>
            </w:pPr>
            <w:r>
              <w:t xml:space="preserve">Queries</w:t>
            </w:r>
          </w:p>
        </w:tc>
        <w:tc>
          <w:tcPr/>
          <w:p>
            <w:pPr>
              <w:pStyle w:val="Compact"/>
              <w:jc w:val="right"/>
            </w:pPr>
            <w:r>
              <w:t xml:space="preserve">Answered</w:t>
            </w:r>
          </w:p>
        </w:tc>
        <w:tc>
          <w:tcPr/>
          <w:p>
            <w:pPr>
              <w:pStyle w:val="Compact"/>
              <w:jc w:val="right"/>
            </w:pPr>
            <w:r>
              <w:t xml:space="preserve">Success</w:t>
            </w:r>
          </w:p>
        </w:tc>
        <w:tc>
          <w:tcPr/>
          <w:p>
            <w:pPr>
              <w:pStyle w:val="Compact"/>
              <w:jc w:val="right"/>
            </w:pPr>
            <w:r>
              <w:t xml:space="preserve">In-window hit rate</w:t>
            </w:r>
          </w:p>
        </w:tc>
        <w:tc>
          <w:tcPr/>
          <w:p>
            <w:pPr>
              <w:pStyle w:val="Compact"/>
              <w:jc w:val="right"/>
            </w:pPr>
            <w:r>
              <w:t xml:space="preserve">Distinct domains</w:t>
            </w:r>
          </w:p>
        </w:tc>
        <w:tc>
          <w:tcPr/>
          <w:p>
            <w:pPr>
              <w:pStyle w:val="Compact"/>
              <w:jc w:val="right"/>
            </w:pPr>
            <w:r>
              <w:t xml:space="preserve">In-window pairs</w:t>
            </w:r>
          </w:p>
        </w:tc>
      </w:tr>
      <w:tr>
        <w:tc>
          <w:tcPr/>
          <w:p>
            <w:pPr>
              <w:pStyle w:val="Compact"/>
            </w:pPr>
            <w:r>
              <w:rPr>
                <w:rStyle w:val="VerbatimChar"/>
              </w:rPr>
              <w:t xml:space="preserve">cdx_pool</w:t>
            </w:r>
          </w:p>
        </w:tc>
        <w:tc>
          <w:tcPr/>
          <w:p>
            <w:pPr>
              <w:pStyle w:val="Compact"/>
              <w:jc w:val="right"/>
            </w:pPr>
            <w:r>
              <w:t xml:space="preserve">158</w:t>
            </w:r>
          </w:p>
        </w:tc>
        <w:tc>
          <w:tcPr/>
          <w:p>
            <w:pPr>
              <w:pStyle w:val="Compact"/>
              <w:jc w:val="right"/>
            </w:pPr>
            <w:r>
              <w:t xml:space="preserve">103,467</w:t>
            </w:r>
          </w:p>
        </w:tc>
        <w:tc>
          <w:tcPr/>
          <w:p>
            <w:pPr>
              <w:pStyle w:val="Compact"/>
              <w:jc w:val="right"/>
            </w:pPr>
            <w:r>
              <w:t xml:space="preserve">87,545</w:t>
            </w:r>
          </w:p>
        </w:tc>
        <w:tc>
          <w:tcPr/>
          <w:p>
            <w:pPr>
              <w:pStyle w:val="Compact"/>
              <w:jc w:val="right"/>
            </w:pPr>
            <w:r>
              <w:t xml:space="preserve">84.6%</w:t>
            </w:r>
          </w:p>
        </w:tc>
        <w:tc>
          <w:tcPr/>
          <w:p>
            <w:pPr>
              <w:pStyle w:val="Compact"/>
              <w:jc w:val="right"/>
            </w:pPr>
            <w:r>
              <w:t xml:space="preserve">44.0%</w:t>
            </w:r>
          </w:p>
        </w:tc>
        <w:tc>
          <w:tcPr/>
          <w:p>
            <w:pPr>
              <w:pStyle w:val="Compact"/>
              <w:jc w:val="right"/>
            </w:pPr>
            <w:r>
              <w:t xml:space="preserve">88,153</w:t>
            </w:r>
          </w:p>
        </w:tc>
        <w:tc>
          <w:tcPr/>
          <w:p>
            <w:pPr>
              <w:pStyle w:val="Compact"/>
              <w:jc w:val="right"/>
            </w:pPr>
            <w:r>
              <w:t xml:space="preserve">56,233</w:t>
            </w:r>
          </w:p>
        </w:tc>
      </w:tr>
      <w:tr>
        <w:tc>
          <w:tcPr/>
          <w:p>
            <w:pPr>
              <w:pStyle w:val="Compact"/>
            </w:pPr>
            <w:r>
              <w:rPr>
                <w:rStyle w:val="VerbatimChar"/>
              </w:rPr>
              <w:t xml:space="preserve">cdx_q1</w:t>
            </w:r>
          </w:p>
        </w:tc>
        <w:tc>
          <w:tcPr/>
          <w:p>
            <w:pPr>
              <w:pStyle w:val="Compact"/>
              <w:jc w:val="right"/>
            </w:pPr>
            <w:r>
              <w:t xml:space="preserve">206</w:t>
            </w:r>
          </w:p>
        </w:tc>
        <w:tc>
          <w:tcPr/>
          <w:p>
            <w:pPr>
              <w:pStyle w:val="Compact"/>
              <w:jc w:val="right"/>
            </w:pPr>
            <w:r>
              <w:t xml:space="preserve">61,641</w:t>
            </w:r>
          </w:p>
        </w:tc>
        <w:tc>
          <w:tcPr/>
          <w:p>
            <w:pPr>
              <w:pStyle w:val="Compact"/>
              <w:jc w:val="right"/>
            </w:pPr>
            <w:r>
              <w:t xml:space="preserve">54,233</w:t>
            </w:r>
          </w:p>
        </w:tc>
        <w:tc>
          <w:tcPr/>
          <w:p>
            <w:pPr>
              <w:pStyle w:val="Compact"/>
              <w:jc w:val="right"/>
            </w:pPr>
            <w:r>
              <w:t xml:space="preserve">88.0%</w:t>
            </w:r>
          </w:p>
        </w:tc>
        <w:tc>
          <w:tcPr/>
          <w:p>
            <w:pPr>
              <w:pStyle w:val="Compact"/>
              <w:jc w:val="right"/>
            </w:pPr>
            <w:r>
              <w:t xml:space="preserve">71.6%</w:t>
            </w:r>
          </w:p>
        </w:tc>
        <w:tc>
          <w:tcPr/>
          <w:p>
            <w:pPr>
              <w:pStyle w:val="Compact"/>
              <w:jc w:val="right"/>
            </w:pPr>
            <w:r>
              <w:t xml:space="preserve">54,369</w:t>
            </w:r>
          </w:p>
        </w:tc>
        <w:tc>
          <w:tcPr/>
          <w:p>
            <w:pPr>
              <w:pStyle w:val="Compact"/>
              <w:jc w:val="right"/>
            </w:pPr>
            <w:r>
              <w:t xml:space="preserve">122,840</w:t>
            </w:r>
          </w:p>
        </w:tc>
      </w:tr>
      <w:tr>
        <w:tc>
          <w:tcPr/>
          <w:p>
            <w:pPr>
              <w:pStyle w:val="Compact"/>
            </w:pPr>
            <w:r>
              <w:rPr>
                <w:rStyle w:val="VerbatimChar"/>
              </w:rPr>
              <w:t xml:space="preserve">cdx_gap</w:t>
            </w:r>
          </w:p>
        </w:tc>
        <w:tc>
          <w:tcPr/>
          <w:p>
            <w:pPr>
              <w:pStyle w:val="Compact"/>
              <w:jc w:val="right"/>
            </w:pPr>
            <w:r>
              <w:t xml:space="preserve">104</w:t>
            </w:r>
          </w:p>
        </w:tc>
        <w:tc>
          <w:tcPr/>
          <w:p>
            <w:pPr>
              <w:pStyle w:val="Compact"/>
              <w:jc w:val="right"/>
            </w:pPr>
            <w:r>
              <w:t xml:space="preserve">41,816</w:t>
            </w:r>
          </w:p>
        </w:tc>
        <w:tc>
          <w:tcPr/>
          <w:p>
            <w:pPr>
              <w:pStyle w:val="Compact"/>
              <w:jc w:val="right"/>
            </w:pPr>
            <w:r>
              <w:t xml:space="preserve">35,964</w:t>
            </w:r>
          </w:p>
        </w:tc>
        <w:tc>
          <w:tcPr/>
          <w:p>
            <w:pPr>
              <w:pStyle w:val="Compact"/>
              <w:jc w:val="right"/>
            </w:pPr>
            <w:r>
              <w:t xml:space="preserve">86.0%</w:t>
            </w:r>
          </w:p>
        </w:tc>
        <w:tc>
          <w:tcPr/>
          <w:p>
            <w:pPr>
              <w:pStyle w:val="Compact"/>
              <w:jc w:val="right"/>
            </w:pPr>
            <w:r>
              <w:t xml:space="preserve">98.4%</w:t>
            </w:r>
          </w:p>
        </w:tc>
        <w:tc>
          <w:tcPr/>
          <w:p>
            <w:pPr>
              <w:pStyle w:val="Compact"/>
              <w:jc w:val="right"/>
            </w:pPr>
            <w:r>
              <w:t xml:space="preserve">36,355</w:t>
            </w:r>
          </w:p>
        </w:tc>
        <w:tc>
          <w:tcPr/>
          <w:p>
            <w:pPr>
              <w:pStyle w:val="Compact"/>
              <w:jc w:val="right"/>
            </w:pPr>
            <w:r>
              <w:t xml:space="preserve">134,864</w:t>
            </w:r>
          </w:p>
        </w:tc>
      </w:tr>
      <w:tr>
        <w:tc>
          <w:tcPr/>
          <w:p>
            <w:pPr>
              <w:pStyle w:val="Compact"/>
            </w:pPr>
            <w:r>
              <w:rPr>
                <w:rStyle w:val="VerbatimChar"/>
              </w:rPr>
              <w:t xml:space="preserve">cdx_q0</w:t>
            </w:r>
          </w:p>
        </w:tc>
        <w:tc>
          <w:tcPr/>
          <w:p>
            <w:pPr>
              <w:pStyle w:val="Compact"/>
              <w:jc w:val="right"/>
            </w:pPr>
            <w:r>
              <w:t xml:space="preserve">67</w:t>
            </w:r>
          </w:p>
        </w:tc>
        <w:tc>
          <w:tcPr/>
          <w:p>
            <w:pPr>
              <w:pStyle w:val="Compact"/>
              <w:jc w:val="right"/>
            </w:pPr>
            <w:r>
              <w:t xml:space="preserve">39,928</w:t>
            </w:r>
          </w:p>
        </w:tc>
        <w:tc>
          <w:tcPr/>
          <w:p>
            <w:pPr>
              <w:pStyle w:val="Compact"/>
              <w:jc w:val="right"/>
            </w:pPr>
            <w:r>
              <w:t xml:space="preserve">39,779</w:t>
            </w:r>
          </w:p>
        </w:tc>
        <w:tc>
          <w:tcPr/>
          <w:p>
            <w:pPr>
              <w:pStyle w:val="Compact"/>
              <w:jc w:val="right"/>
            </w:pPr>
            <w:r>
              <w:t xml:space="preserve">99.6%</w:t>
            </w:r>
          </w:p>
        </w:tc>
        <w:tc>
          <w:tcPr/>
          <w:p>
            <w:pPr>
              <w:pStyle w:val="Compact"/>
              <w:jc w:val="right"/>
            </w:pPr>
            <w:r>
              <w:t xml:space="preserve">71.3%</w:t>
            </w:r>
          </w:p>
        </w:tc>
        <w:tc>
          <w:tcPr/>
          <w:p>
            <w:pPr>
              <w:pStyle w:val="Compact"/>
              <w:jc w:val="right"/>
            </w:pPr>
            <w:r>
              <w:t xml:space="preserve">39,781</w:t>
            </w:r>
          </w:p>
        </w:tc>
        <w:tc>
          <w:tcPr/>
          <w:p>
            <w:pPr>
              <w:pStyle w:val="Compact"/>
              <w:jc w:val="right"/>
            </w:pPr>
            <w:r>
              <w:t xml:space="preserve">83,880</w:t>
            </w:r>
          </w:p>
        </w:tc>
      </w:tr>
      <w:tr>
        <w:tc>
          <w:tcPr/>
          <w:p>
            <w:pPr>
              <w:pStyle w:val="Compact"/>
            </w:pPr>
            <w:r>
              <w:rPr>
                <w:rStyle w:val="VerbatimChar"/>
              </w:rPr>
              <w:t xml:space="preserve">cdx</w:t>
            </w:r>
          </w:p>
        </w:tc>
        <w:tc>
          <w:tcPr/>
          <w:p>
            <w:pPr>
              <w:pStyle w:val="Compact"/>
              <w:jc w:val="right"/>
            </w:pPr>
            <w:r>
              <w:t xml:space="preserve">72</w:t>
            </w:r>
          </w:p>
        </w:tc>
        <w:tc>
          <w:tcPr/>
          <w:p>
            <w:pPr>
              <w:pStyle w:val="Compact"/>
              <w:jc w:val="right"/>
            </w:pPr>
            <w:r>
              <w:t xml:space="preserve">34,779</w:t>
            </w:r>
          </w:p>
        </w:tc>
        <w:tc>
          <w:tcPr/>
          <w:p>
            <w:pPr>
              <w:pStyle w:val="Compact"/>
              <w:jc w:val="right"/>
            </w:pPr>
            <w:r>
              <w:t xml:space="preserve">26,392</w:t>
            </w:r>
          </w:p>
        </w:tc>
        <w:tc>
          <w:tcPr/>
          <w:p>
            <w:pPr>
              <w:pStyle w:val="Compact"/>
              <w:jc w:val="right"/>
            </w:pPr>
            <w:r>
              <w:t xml:space="preserve">75.9%</w:t>
            </w:r>
          </w:p>
        </w:tc>
        <w:tc>
          <w:tcPr/>
          <w:p>
            <w:pPr>
              <w:pStyle w:val="Compact"/>
              <w:jc w:val="right"/>
            </w:pPr>
            <w:r>
              <w:t xml:space="preserve">95.5%</w:t>
            </w:r>
          </w:p>
        </w:tc>
        <w:tc>
          <w:tcPr/>
          <w:p>
            <w:pPr>
              <w:pStyle w:val="Compact"/>
              <w:jc w:val="right"/>
            </w:pPr>
            <w:r>
              <w:t xml:space="preserve">28,508</w:t>
            </w:r>
          </w:p>
        </w:tc>
        <w:tc>
          <w:tcPr/>
          <w:p>
            <w:pPr>
              <w:pStyle w:val="Compact"/>
              <w:jc w:val="right"/>
            </w:pPr>
            <w:r>
              <w:t xml:space="preserve">89,168</w:t>
            </w:r>
          </w:p>
        </w:tc>
      </w:tr>
      <w:tr>
        <w:tc>
          <w:tcPr/>
          <w:p>
            <w:pPr>
              <w:pStyle w:val="Compact"/>
            </w:pPr>
            <w:r>
              <w:rPr>
                <w:rStyle w:val="VerbatimChar"/>
              </w:rPr>
              <w:t xml:space="preserve">cdx_gap_vps</w:t>
            </w:r>
          </w:p>
        </w:tc>
        <w:tc>
          <w:tcPr/>
          <w:p>
            <w:pPr>
              <w:pStyle w:val="Compact"/>
              <w:jc w:val="right"/>
            </w:pPr>
            <w:r>
              <w:t xml:space="preserve">44</w:t>
            </w:r>
          </w:p>
        </w:tc>
        <w:tc>
          <w:tcPr/>
          <w:p>
            <w:pPr>
              <w:pStyle w:val="Compact"/>
              <w:jc w:val="right"/>
            </w:pPr>
            <w:r>
              <w:t xml:space="preserve">11,894</w:t>
            </w:r>
          </w:p>
        </w:tc>
        <w:tc>
          <w:tcPr/>
          <w:p>
            <w:pPr>
              <w:pStyle w:val="Compact"/>
              <w:jc w:val="right"/>
            </w:pPr>
            <w:r>
              <w:t xml:space="preserve">10,508</w:t>
            </w:r>
          </w:p>
        </w:tc>
        <w:tc>
          <w:tcPr/>
          <w:p>
            <w:pPr>
              <w:pStyle w:val="Compact"/>
              <w:jc w:val="right"/>
            </w:pPr>
            <w:r>
              <w:t xml:space="preserve">88.3%</w:t>
            </w:r>
          </w:p>
        </w:tc>
        <w:tc>
          <w:tcPr/>
          <w:p>
            <w:pPr>
              <w:pStyle w:val="Compact"/>
              <w:jc w:val="right"/>
            </w:pPr>
            <w:r>
              <w:t xml:space="preserve">98.8%</w:t>
            </w:r>
          </w:p>
        </w:tc>
        <w:tc>
          <w:tcPr/>
          <w:p>
            <w:pPr>
              <w:pStyle w:val="Compact"/>
              <w:jc w:val="right"/>
            </w:pPr>
            <w:r>
              <w:t xml:space="preserve">10,529</w:t>
            </w:r>
          </w:p>
        </w:tc>
        <w:tc>
          <w:tcPr/>
          <w:p>
            <w:pPr>
              <w:pStyle w:val="Compact"/>
              <w:jc w:val="right"/>
            </w:pPr>
            <w:r>
              <w:t xml:space="preserve">40,370</w:t>
            </w:r>
          </w:p>
        </w:tc>
      </w:tr>
      <w:tr>
        <w:tc>
          <w:tcPr/>
          <w:p>
            <w:pPr>
              <w:pStyle w:val="Compact"/>
            </w:pPr>
            <w:r>
              <w:rPr>
                <w:rStyle w:val="VerbatimChar"/>
              </w:rPr>
              <w:t xml:space="preserve">cdx_disc</w:t>
            </w:r>
          </w:p>
        </w:tc>
        <w:tc>
          <w:tcPr/>
          <w:p>
            <w:pPr>
              <w:pStyle w:val="Compact"/>
              <w:jc w:val="right"/>
            </w:pPr>
            <w:r>
              <w:t xml:space="preserve">6</w:t>
            </w:r>
          </w:p>
        </w:tc>
        <w:tc>
          <w:tcPr/>
          <w:p>
            <w:pPr>
              <w:pStyle w:val="Compact"/>
              <w:jc w:val="right"/>
            </w:pPr>
            <w:r>
              <w:t xml:space="preserve">3,222</w:t>
            </w:r>
          </w:p>
        </w:tc>
        <w:tc>
          <w:tcPr/>
          <w:p>
            <w:pPr>
              <w:pStyle w:val="Compact"/>
              <w:jc w:val="right"/>
            </w:pPr>
            <w:r>
              <w:t xml:space="preserve">3,192</w:t>
            </w:r>
          </w:p>
        </w:tc>
        <w:tc>
          <w:tcPr/>
          <w:p>
            <w:pPr>
              <w:pStyle w:val="Compact"/>
              <w:jc w:val="right"/>
            </w:pPr>
            <w:r>
              <w:t xml:space="preserve">99.1%</w:t>
            </w:r>
          </w:p>
        </w:tc>
        <w:tc>
          <w:tcPr/>
          <w:p>
            <w:pPr>
              <w:pStyle w:val="Compact"/>
              <w:jc w:val="right"/>
            </w:pPr>
            <w:r>
              <w:t xml:space="preserve">44.6%</w:t>
            </w:r>
          </w:p>
        </w:tc>
        <w:tc>
          <w:tcPr/>
          <w:p>
            <w:pPr>
              <w:pStyle w:val="Compact"/>
              <w:jc w:val="right"/>
            </w:pPr>
            <w:r>
              <w:t xml:space="preserve">3,193</w:t>
            </w:r>
          </w:p>
        </w:tc>
        <w:tc>
          <w:tcPr/>
          <w:p>
            <w:pPr>
              <w:pStyle w:val="Compact"/>
              <w:jc w:val="right"/>
            </w:pPr>
            <w:r>
              <w:t xml:space="preserve">2,032</w:t>
            </w:r>
          </w:p>
        </w:tc>
      </w:tr>
      <w:tr>
        <w:tc>
          <w:tcPr/>
          <w:p>
            <w:pPr>
              <w:pStyle w:val="Compact"/>
            </w:pPr>
            <w:r>
              <w:rPr>
                <w:b/>
                <w:bCs/>
              </w:rPr>
              <w:t xml:space="preserve">All</w:t>
            </w:r>
          </w:p>
        </w:tc>
        <w:tc>
          <w:tcPr/>
          <w:p>
            <w:pPr>
              <w:pStyle w:val="Compact"/>
              <w:jc w:val="right"/>
            </w:pPr>
            <w:r>
              <w:rPr>
                <w:b/>
                <w:bCs/>
              </w:rPr>
              <w:t xml:space="preserve">657</w:t>
            </w:r>
          </w:p>
        </w:tc>
        <w:tc>
          <w:tcPr/>
          <w:p>
            <w:pPr>
              <w:pStyle w:val="Compact"/>
              <w:jc w:val="right"/>
            </w:pPr>
            <w:r>
              <w:rPr>
                <w:b/>
                <w:bCs/>
              </w:rPr>
              <w:t xml:space="preserve">296,747</w:t>
            </w:r>
          </w:p>
        </w:tc>
        <w:tc>
          <w:tcPr/>
          <w:p>
            <w:pPr>
              <w:pStyle w:val="Compact"/>
              <w:jc w:val="right"/>
            </w:pPr>
            <w:r>
              <w:rPr>
                <w:b/>
                <w:bCs/>
              </w:rPr>
              <w:t xml:space="preserve">257,613</w:t>
            </w:r>
          </w:p>
        </w:tc>
        <w:tc>
          <w:tcPr/>
          <w:p>
            <w:pPr>
              <w:pStyle w:val="Compact"/>
              <w:jc w:val="right"/>
            </w:pPr>
            <w:r>
              <w:rPr>
                <w:b/>
                <w:bCs/>
              </w:rPr>
              <w:t xml:space="preserve">86.8%</w:t>
            </w:r>
          </w:p>
        </w:tc>
        <w:tc>
          <w:tcPr/>
          <w:p>
            <w:pPr>
              <w:pStyle w:val="Compact"/>
              <w:jc w:val="right"/>
            </w:pPr>
            <w:r>
              <w:rPr>
                <w:b/>
                <w:bCs/>
              </w:rPr>
              <w:t xml:space="preserve">69.1%</w:t>
            </w:r>
          </w:p>
        </w:tc>
        <w:tc>
          <w:tcPr/>
          <w:p>
            <w:pPr>
              <w:pStyle w:val="Compact"/>
              <w:jc w:val="right"/>
            </w:pPr>
            <w:r>
              <w:rPr>
                <w:b/>
                <w:bCs/>
              </w:rPr>
              <w:t xml:space="preserve">259,055</w:t>
            </w:r>
          </w:p>
        </w:tc>
        <w:tc>
          <w:tcPr/>
          <w:p>
            <w:pPr>
              <w:pStyle w:val="Compact"/>
              <w:jc w:val="right"/>
            </w:pPr>
            <w:r>
              <w:rPr>
                <w:b/>
                <w:bCs/>
              </w:rPr>
              <w:t xml:space="preserve">529,387</w:t>
            </w:r>
          </w:p>
        </w:tc>
      </w:tr>
    </w:tbl>
    <w:p>
      <w:pPr>
        <w:pStyle w:val="BodyText"/>
      </w:pPr>
      <w:r>
        <w:t xml:space="preserve">Of 296,747 queries, 257,613 were answered (86.8%). The 39,134 that were not divide into two kinds, and the smaller kind is the one usually discussed.</w:t>
      </w:r>
      <w:r>
        <w:t xml:space="preserve"> </w:t>
      </w:r>
      <w:r>
        <w:rPr>
          <w:b/>
          <w:bCs/>
        </w:rPr>
        <w:t xml:space="preserve">HTTP-level errors are 2,783 (0.94%)</w:t>
      </w:r>
      <w:r>
        <w:t xml:space="preserve">: 0 rate limits (429), 2,007 server errors (500, 502, 503, 504) and 776 refusals (403).</w:t>
      </w:r>
      <w:r>
        <w:t xml:space="preserve"> </w:t>
      </w:r>
      <w:r>
        <w:rPr>
          <w:b/>
          <w:bCs/>
        </w:rPr>
        <w:t xml:space="preserve">Transport-level failures are 36,351 (12.25%)</w:t>
      </w:r>
      <w:r>
        <w:t xml:space="preserve">: 27,698 connections refused or reset and 8,653 timed out. So the binding constraint is not a status code we could read and obey, it is the connection being dropped before a status exists. Rate limits and server errors are retried with exponential backoff honouring</w:t>
      </w:r>
      <w:r>
        <w:t xml:space="preserve"> </w:t>
      </w:r>
      <w:r>
        <w:rPr>
          <w:rStyle w:val="VerbatimChar"/>
        </w:rPr>
        <w:t xml:space="preserve">Retry-After</w:t>
      </w:r>
      <w:r>
        <w:t xml:space="preserve">; refusals and timeouts are retried with a widening delay and then requeued, so no domain is lost by one failure; a 403 is treated as a permanent answer for that host and is not retried.</w:t>
      </w:r>
    </w:p>
    <w:p>
      <w:pPr>
        <w:pStyle w:val="BodyText"/>
      </w:pPr>
      <w:r>
        <w:t xml:space="preserve">Failures are handled by adjusting the request rate rather than by stopping, as section VII requires.</w:t>
      </w:r>
      <w:r>
        <w:t xml:space="preserve"> </w:t>
      </w:r>
      <w:r>
        <w:t xml:space="preserve">The client sends an honest User-Agent naming the project and a contact address, runs modest concurrency,</w:t>
      </w:r>
      <w:r>
        <w:t xml:space="preserve"> </w:t>
      </w:r>
      <w:r>
        <w:t xml:space="preserve">honours</w:t>
      </w:r>
      <w:r>
        <w:t xml:space="preserve"> </w:t>
      </w:r>
      <w:r>
        <w:rPr>
          <w:rStyle w:val="VerbatimChar"/>
        </w:rPr>
        <w:t xml:space="preserve">Retry-After</w:t>
      </w:r>
      <w:r>
        <w:t xml:space="preserve">, and backs off on 429, 503 and 504 with a delay that adapts between a floor and a</w:t>
      </w:r>
      <w:r>
        <w:t xml:space="preserve"> </w:t>
      </w:r>
      <w:r>
        <w:t xml:space="preserve">ceiling. A batch that ends is republished rather than lost, so an interrupted run costs nothing a repeat</w:t>
      </w:r>
      <w:r>
        <w:t xml:space="preserve"> </w:t>
      </w:r>
      <w:r>
        <w:t xml:space="preserve">does not recover.</w:t>
      </w:r>
    </w:p>
    <w:p>
      <w:pPr>
        <w:pStyle w:val="BodyText"/>
      </w:pPr>
      <w:r>
        <w:rPr>
          <w:b/>
          <w:bCs/>
        </w:rPr>
        <w:t xml:space="preserve">On whether the CDX route is worth further expansion: yes, but it is no longer the binding constraint.</w:t>
      </w:r>
      <w:r>
        <w:t xml:space="preserve"> </w:t>
      </w:r>
      <w:r>
        <w:t xml:space="preserve">Roughly 2.5 million candidate names sit unqueried against engines clearing a few hundred requests an hour.</w:t>
      </w:r>
      <w:r>
        <w:t xml:space="preserve"> </w:t>
      </w:r>
      <w:r>
        <w:t xml:space="preserve">The queue has not been the constraint at any point this round. That observation is what redirected the</w:t>
      </w:r>
      <w:r>
        <w:t xml:space="preserve"> </w:t>
      </w:r>
      <w:r>
        <w:t xml:space="preserve">round toward bulk dated corpora, and section 2 is the result.</w:t>
      </w:r>
    </w:p>
    <w:p>
      <w:r>
        <w:pict>
          <v:rect style="width:0;height:1.5pt" o:hralign="center" o:hrstd="t" o:hr="t"/>
        </w:pict>
      </w:r>
    </w:p>
    <w:bookmarkEnd w:id="12"/>
    <w:bookmarkStart w:id="13" w:name="X60b51f3a1134c38b8a095644aa58fd5be871fcb"/>
    <w:p>
      <w:pPr>
        <w:pStyle w:val="Heading2"/>
      </w:pPr>
      <w:r>
        <w:t xml:space="preserve">5. How this contributes to an autonomous discovery system</w:t>
      </w:r>
    </w:p>
    <w:p>
      <w:pPr>
        <w:pStyle w:val="FirstParagraph"/>
      </w:pPr>
      <w:r>
        <w:t xml:space="preserve">The brief asks for a system that discovers, validates and preserves rather than a set of downloads. What</w:t>
      </w:r>
      <w:r>
        <w:t xml:space="preserve"> </w:t>
      </w:r>
      <w:r>
        <w:t xml:space="preserve">follows is the machinery, all of which ships in the archive.</w:t>
      </w:r>
    </w:p>
    <w:p>
      <w:pPr>
        <w:pStyle w:val="BodyText"/>
      </w:pPr>
      <w:r>
        <w:rPr>
          <w:b/>
          <w:bCs/>
        </w:rPr>
        <w:t xml:space="preserve">The evidence wall is structural, not procedural.</w:t>
      </w:r>
      <w:r>
        <w:t xml:space="preserve"> </w:t>
      </w:r>
      <w:r>
        <w:rPr>
          <w:rStyle w:val="VerbatimChar"/>
        </w:rPr>
        <w:t xml:space="preserve">domain_year.evidence_id</w:t>
      </w:r>
      <w:r>
        <w:t xml:space="preserve"> </w:t>
      </w:r>
      <w:r>
        <w:t xml:space="preserve">is</w:t>
      </w:r>
      <w:r>
        <w:t xml:space="preserve"> </w:t>
      </w:r>
      <w:r>
        <w:rPr>
          <w:rStyle w:val="VerbatimChar"/>
        </w:rPr>
        <w:t xml:space="preserve">NOT NULL</w:t>
      </w:r>
      <w:r>
        <w:t xml:space="preserve"> </w:t>
      </w:r>
      <w:r>
        <w:t xml:space="preserve">and</w:t>
      </w:r>
      <w:r>
        <w:t xml:space="preserve"> </w:t>
      </w:r>
      <w:r>
        <w:t xml:space="preserve">foreign-keys a row in</w:t>
      </w:r>
      <w:r>
        <w:t xml:space="preserve"> </w:t>
      </w:r>
      <w:r>
        <w:rPr>
          <w:rStyle w:val="VerbatimChar"/>
        </w:rPr>
        <w:t xml:space="preserve">evidence</w:t>
      </w:r>
      <w:r>
        <w:t xml:space="preserve">. There is no code path that can write a year assignment without naming</w:t>
      </w:r>
      <w:r>
        <w:t xml:space="preserve"> </w:t>
      </w:r>
      <w:r>
        <w:t xml:space="preserve">the observation supporting it. An agent is therefore given wide latitude about what to try and none at</w:t>
      </w:r>
      <w:r>
        <w:t xml:space="preserve"> </w:t>
      </w:r>
      <w:r>
        <w:t xml:space="preserve">all about what counts as proof.</w:t>
      </w:r>
    </w:p>
    <w:p>
      <w:pPr>
        <w:pStyle w:val="BodyText"/>
      </w:pPr>
      <w:r>
        <w:rPr>
          <w:b/>
          <w:bCs/>
        </w:rPr>
        <w:t xml:space="preserve">A taxonomy decides which evidence may date a year.</w:t>
      </w:r>
      <w:r>
        <w:t xml:space="preserve"> </w:t>
      </w:r>
      <w:r>
        <w:t xml:space="preserve">Master-eligible types are</w:t>
      </w:r>
      <w:r>
        <w:t xml:space="preserve"> </w:t>
      </w:r>
      <w:r>
        <w:rPr>
          <w:rStyle w:val="VerbatimChar"/>
        </w:rPr>
        <w:t xml:space="preserve">artifact_listing</w:t>
      </w:r>
      <w:r>
        <w:t xml:space="preserve">,</w:t>
      </w:r>
      <w:r>
        <w:t xml:space="preserve"> </w:t>
      </w:r>
      <w:r>
        <w:rPr>
          <w:rStyle w:val="VerbatimChar"/>
        </w:rPr>
        <w:t xml:space="preserve">cdx_timestamp</w:t>
      </w:r>
      <w:r>
        <w:t xml:space="preserve">,</w:t>
      </w:r>
      <w:r>
        <w:t xml:space="preserve"> </w:t>
      </w:r>
      <w:r>
        <w:rPr>
          <w:rStyle w:val="VerbatimChar"/>
        </w:rPr>
        <w:t xml:space="preserve">dated_directory</w:t>
      </w:r>
      <w:r>
        <w:t xml:space="preserve">,</w:t>
      </w:r>
      <w:r>
        <w:t xml:space="preserve"> </w:t>
      </w:r>
      <w:r>
        <w:rPr>
          <w:rStyle w:val="VerbatimChar"/>
        </w:rPr>
        <w:t xml:space="preserve">link_source</w:t>
      </w:r>
      <w:r>
        <w:t xml:space="preserve">,</w:t>
      </w:r>
      <w:r>
        <w:t xml:space="preserve"> </w:t>
      </w:r>
      <w:r>
        <w:rPr>
          <w:rStyle w:val="VerbatimChar"/>
        </w:rPr>
        <w:t xml:space="preserve">whois_creation</w:t>
      </w:r>
      <w:r>
        <w:t xml:space="preserve">.</w:t>
      </w:r>
      <w:r>
        <w:t xml:space="preserve"> </w:t>
      </w:r>
      <w:r>
        <w:rPr>
          <w:rStyle w:val="VerbatimChar"/>
        </w:rPr>
        <w:t xml:space="preserve">link_target</w:t>
      </w:r>
      <w:r>
        <w:t xml:space="preserve">, a hostname seen in an archived page, never can, and</w:t>
      </w:r>
      <w:r>
        <w:t xml:space="preserve"> </w:t>
      </w:r>
      <w:r>
        <w:rPr>
          <w:rStyle w:val="VerbatimChar"/>
        </w:rPr>
        <w:t xml:space="preserve">assign_year</w:t>
      </w:r>
      <w:r>
        <w:t xml:space="preserve"> </w:t>
      </w:r>
      <w:r>
        <w:t xml:space="preserve">refuses it. That single</w:t>
      </w:r>
      <w:r>
        <w:t xml:space="preserve"> </w:t>
      </w:r>
      <w:r>
        <w:t xml:space="preserve">rule is why the discovery loop below can run unattended without risking the annual files.</w:t>
      </w:r>
    </w:p>
    <w:p>
      <w:pPr>
        <w:pStyle w:val="BodyText"/>
      </w:pPr>
      <w:r>
        <w:rPr>
          <w:b/>
          <w:bCs/>
        </w:rPr>
        <w:t xml:space="preserve">The corroboration split.</w:t>
      </w:r>
      <w:r>
        <w:t xml:space="preserve"> </w:t>
      </w:r>
      <w:r>
        <w:t xml:space="preserve">Beyond that, 16,687 of this round's pairs are confirmed by two or more independent collection lineages rather than one, and every asserted pair in the collection carries 1.5901 distinct sources on average.</w:t>
      </w:r>
      <w:r>
        <w:t xml:space="preserve"> </w:t>
      </w:r>
      <w:r>
        <w:rPr>
          <w:b/>
          <w:bCs/>
        </w:rPr>
        <w:t xml:space="preserve">All 16 are master sources, so all 2,835,893 pairs are admitted to the annual files.</w:t>
      </w:r>
      <w:r>
        <w:t xml:space="preserve"> </w:t>
      </w:r>
      <w:r>
        <w:t xml:space="preserve">None of them is candidate-only. Names may pass through the candidate pool on the way in, and this round many did, but a pair is only counted once a master source dates it.</w:t>
      </w:r>
    </w:p>
    <w:p>
      <w:pPr>
        <w:pStyle w:val="BodyText"/>
      </w:pPr>
      <w:r>
        <w:rPr>
          <w:b/>
          <w:bCs/>
        </w:rPr>
        <w:t xml:space="preserve">A human gate that an agent cannot argue past.</w:t>
      </w:r>
      <w:r>
        <w:t xml:space="preserve"> </w:t>
      </w:r>
      <w:r>
        <w:rPr>
          <w:rStyle w:val="VerbatimChar"/>
        </w:rPr>
        <w:t xml:space="preserve">docs/approved-sources-list.md</w:t>
      </w:r>
      <w:r>
        <w:t xml:space="preserve"> </w:t>
      </w:r>
      <w:r>
        <w:t xml:space="preserve">carries one decision</w:t>
      </w:r>
      <w:r>
        <w:t xml:space="preserve"> </w:t>
      </w:r>
      <w:r>
        <w:t xml:space="preserve">line per (source, evidence type), and</w:t>
      </w:r>
      <w:r>
        <w:t xml:space="preserve"> </w:t>
      </w:r>
      <w:r>
        <w:rPr>
          <w:rStyle w:val="VerbatimChar"/>
        </w:rPr>
        <w:t xml:space="preserve">ark ingest</w:t>
      </w:r>
      <w:r>
        <w:t xml:space="preserve"> </w:t>
      </w:r>
      <w:r>
        <w:t xml:space="preserve">refuses any master-eligible class that is pending,</w:t>
      </w:r>
      <w:r>
        <w:t xml:space="preserve"> </w:t>
      </w:r>
      <w:r>
        <w:t xml:space="preserve">rejected or absent. Requests are machine-generated by</w:t>
      </w:r>
      <w:r>
        <w:t xml:space="preserve"> </w:t>
      </w:r>
      <w:r>
        <w:rPr>
          <w:rStyle w:val="VerbatimChar"/>
        </w:rPr>
        <w:t xml:space="preserve">scripts/request_approval.py</w:t>
      </w:r>
      <w:r>
        <w:t xml:space="preserve"> </w:t>
      </w:r>
      <w:r>
        <w:t xml:space="preserve">out of a</w:t>
      </w:r>
      <w:r>
        <w:t xml:space="preserve"> </w:t>
      </w:r>
      <w:r>
        <w:t xml:space="preserve">seeded-random sample with live links, the measured counterfactual and the reasons a reviewer should</w:t>
      </w:r>
      <w:r>
        <w:t xml:space="preserve"> </w:t>
      </w:r>
      <w:r>
        <w:t xml:space="preserve">refuse, so the human checks external evidence instead of reading the agent's argument. Both sources in</w:t>
      </w:r>
      <w:r>
        <w:t xml:space="preserve"> </w:t>
      </w:r>
      <w:r>
        <w:t xml:space="preserve">section 2 passed through this gate before a single row of theirs could date a year.</w:t>
      </w:r>
    </w:p>
    <w:p>
      <w:pPr>
        <w:pStyle w:val="BodyText"/>
      </w:pPr>
      <w:r>
        <w:rPr>
          <w:b/>
          <w:bCs/>
        </w:rPr>
        <w:t xml:space="preserve">Nine invariants, run before anything ships.</w:t>
      </w:r>
      <w:r>
        <w:t xml:space="preserve"> </w:t>
      </w:r>
      <w:r>
        <w:rPr>
          <w:rStyle w:val="VerbatimChar"/>
        </w:rPr>
        <w:t xml:space="preserve">ark check</w:t>
      </w:r>
      <w:r>
        <w:t xml:space="preserve"> </w:t>
      </w:r>
      <w:r>
        <w:t xml:space="preserve">asserts, among others, that no exported</w:t>
      </w:r>
      <w:r>
        <w:t xml:space="preserve"> </w:t>
      </w:r>
      <w:r>
        <w:t xml:space="preserve">addition carries baseline evidence for that year (so the net-new figure cannot be inflated), that the</w:t>
      </w:r>
      <w:r>
        <w:t xml:space="preserve"> </w:t>
      </w:r>
      <w:r>
        <w:t xml:space="preserve">year named inside an evidence value equals the year it is filed under, and that no master-eligible</w:t>
      </w:r>
      <w:r>
        <w:t xml:space="preserve"> </w:t>
      </w:r>
      <w:r>
        <w:t xml:space="preserve">evidence sits unassigned. The gate is enforced by a pre-commit hook rather than remembered.</w:t>
      </w:r>
    </w:p>
    <w:p>
      <w:pPr>
        <w:pStyle w:val="BodyText"/>
      </w:pPr>
      <w:r>
        <w:rPr>
          <w:b/>
          <w:bCs/>
        </w:rPr>
        <w:t xml:space="preserve">A discovery loop that does not run out.</w:t>
      </w:r>
      <w:r>
        <w:t xml:space="preserve"> </w:t>
      </w:r>
      <w:r>
        <w:t xml:space="preserve">A candidate the CDX engine dates is by construction a site</w:t>
      </w:r>
      <w:r>
        <w:t xml:space="preserve"> </w:t>
      </w:r>
      <w:r>
        <w:t xml:space="preserve">that was live in the window; its archived page names other sites of the same period; those names return</w:t>
      </w:r>
      <w:r>
        <w:t xml:space="preserve"> </w:t>
      </w:r>
      <w:r>
        <w:t xml:space="preserve">to the pool, and because extracted hostnames are</w:t>
      </w:r>
      <w:r>
        <w:t xml:space="preserve"> </w:t>
      </w:r>
      <w:r>
        <w:rPr>
          <w:rStyle w:val="VerbatimChar"/>
        </w:rPr>
        <w:t xml:space="preserve">link_target</w:t>
      </w:r>
      <w:r>
        <w:t xml:space="preserve"> </w:t>
      </w:r>
      <w:r>
        <w:t xml:space="preserve">and can never date a year, the loop needs</w:t>
      </w:r>
      <w:r>
        <w:t xml:space="preserve"> </w:t>
      </w:r>
      <w:r>
        <w:t xml:space="preserve">no approval and is safe to leave running unattended. It was measured this round: seeding link-looking</w:t>
      </w:r>
      <w:r>
        <w:t xml:space="preserve"> </w:t>
      </w:r>
      <w:r>
        <w:t xml:space="preserve">pages rather than home pages harvested 391 domains against 53, a 7.4x improvement, but yielded only 5</w:t>
      </w:r>
      <w:r>
        <w:t xml:space="preserve"> </w:t>
      </w:r>
      <w:r>
        <w:t xml:space="preserve">net-new, because 386 of the 391 were already held and already dated. That negative result is why bulk</w:t>
      </w:r>
      <w:r>
        <w:t xml:space="preserve"> </w:t>
      </w:r>
      <w:r>
        <w:t xml:space="preserve">link graphs are now preferred over page-by-page expansion.</w:t>
      </w:r>
    </w:p>
    <w:p>
      <w:pPr>
        <w:pStyle w:val="BodyText"/>
      </w:pPr>
      <w:r>
        <w:rPr>
          <w:b/>
          <w:bCs/>
        </w:rPr>
        <w:t xml:space="preserve">The agent harness itself.</w:t>
      </w:r>
      <w:r>
        <w:t xml:space="preserve"> </w:t>
      </w:r>
      <w:r>
        <w:t xml:space="preserve">A standing brief,</w:t>
      </w:r>
      <w:r>
        <w:t xml:space="preserve"> </w:t>
      </w:r>
      <w:r>
        <w:rPr>
          <w:rStyle w:val="VerbatimChar"/>
        </w:rPr>
        <w:t xml:space="preserve">CLAUDE.md</w:t>
      </w:r>
      <w:r>
        <w:t xml:space="preserve">, is loaded into every agent session and holds</w:t>
      </w:r>
      <w:r>
        <w:t xml:space="preserve"> </w:t>
      </w:r>
      <w:r>
        <w:t xml:space="preserve">only what does not change: the evidence rule, the metric, which document is authoritative for what, the</w:t>
      </w:r>
      <w:r>
        <w:t xml:space="preserve"> </w:t>
      </w:r>
      <w:r>
        <w:t xml:space="preserve">operational rules, and a section of traps that have each produced a confident wrong answer. Collectors</w:t>
      </w:r>
      <w:r>
        <w:t xml:space="preserve"> </w:t>
      </w:r>
      <w:r>
        <w:t xml:space="preserve">hold their own absolute deadlines and keep running with no agent present; the agent re-invokes itself on</w:t>
      </w:r>
      <w:r>
        <w:t xml:space="preserve"> </w:t>
      </w:r>
      <w:r>
        <w:t xml:space="preserve">a heartbeat, and a wake that finds everything healthy is required to spend itself hunting a new source,</w:t>
      </w:r>
      <w:r>
        <w:t xml:space="preserve"> </w:t>
      </w:r>
      <w:r>
        <w:t xml:space="preserve">because an idle wake beside healthy engines is a wasted one. Decisions land in an append-only dated log,</w:t>
      </w:r>
      <w:r>
        <w:t xml:space="preserve"> </w:t>
      </w:r>
      <w:r>
        <w:t xml:space="preserve">the few with structural impact become ADRs, and anything genuinely needing a human appears on exactly one</w:t>
      </w:r>
      <w:r>
        <w:t xml:space="preserve"> </w:t>
      </w:r>
      <w:r>
        <w:t xml:space="preserve">surface so it cannot be buried.</w:t>
      </w:r>
    </w:p>
    <w:p>
      <w:pPr>
        <w:pStyle w:val="BodyText"/>
      </w:pPr>
      <w:r>
        <w:rPr>
          <w:b/>
          <w:bCs/>
        </w:rPr>
        <w:t xml:space="preserve">Negative results are first-class.</w:t>
      </w:r>
      <w:r>
        <w:t xml:space="preserve"> </w:t>
      </w:r>
      <w:r>
        <w:rPr>
          <w:b/>
          <w:bCs/>
        </w:rPr>
        <w:t xml:space="preserve">115 source families have been searched and recorded</w:t>
      </w:r>
      <w:r>
        <w:t xml:space="preserve">, and</w:t>
      </w:r>
      <w:r>
        <w:t xml:space="preserve"> </w:t>
      </w:r>
      <w:r>
        <w:rPr>
          <w:rStyle w:val="VerbatimChar"/>
        </w:rPr>
        <w:t xml:space="preserve">sources.md</w:t>
      </w:r>
      <w:r>
        <w:t xml:space="preserve"> </w:t>
      </w:r>
      <w:r>
        <w:t xml:space="preserve">ships beside this report naming every one. 24 were developed far enough to earn their own section (</w:t>
      </w:r>
      <w:r>
        <w:rPr>
          <w:rStyle w:val="VerbatimChar"/>
        </w:rPr>
        <w:t xml:space="preserve">prior_task</w:t>
      </w:r>
      <w:r>
        <w:t xml:space="preserve">,</w:t>
      </w:r>
      <w:r>
        <w:t xml:space="preserve"> </w:t>
      </w:r>
      <w:r>
        <w:rPr>
          <w:rStyle w:val="VerbatimChar"/>
        </w:rPr>
        <w:t xml:space="preserve">isc_survey</w:t>
      </w:r>
      <w:r>
        <w:t xml:space="preserve">,</w:t>
      </w:r>
      <w:r>
        <w:t xml:space="preserve"> </w:t>
      </w:r>
      <w:r>
        <w:rPr>
          <w:rStyle w:val="VerbatimChar"/>
        </w:rPr>
        <w:t xml:space="preserve">afnic_fr</w:t>
      </w:r>
      <w:r>
        <w:t xml:space="preserve">,</w:t>
      </w:r>
      <w:r>
        <w:t xml:space="preserve"> </w:t>
      </w:r>
      <w:r>
        <w:rPr>
          <w:rStyle w:val="VerbatimChar"/>
        </w:rPr>
        <w:t xml:space="preserve">ukwa_link_source</w:t>
      </w:r>
      <w:r>
        <w:t xml:space="preserve"> </w:t>
      </w:r>
      <w:r>
        <w:t xml:space="preserve">and</w:t>
      </w:r>
      <w:r>
        <w:t xml:space="preserve"> </w:t>
      </w:r>
      <w:r>
        <w:rPr>
          <w:rStyle w:val="VerbatimChar"/>
        </w:rPr>
        <w:t xml:space="preserve">ukwa_link_target</w:t>
      </w:r>
      <w:r>
        <w:t xml:space="preserve">,</w:t>
      </w:r>
      <w:r>
        <w:t xml:space="preserve"> </w:t>
      </w:r>
      <w:r>
        <w:rPr>
          <w:rStyle w:val="VerbatimChar"/>
        </w:rPr>
        <w:t xml:space="preserve">arquivo_ia</w:t>
      </w:r>
      <w:r>
        <w:t xml:space="preserve"> </w:t>
      </w:r>
      <w:r>
        <w:t xml:space="preserve">and</w:t>
      </w:r>
      <w:r>
        <w:t xml:space="preserve"> </w:t>
      </w:r>
      <w:r>
        <w:rPr>
          <w:rStyle w:val="VerbatimChar"/>
        </w:rPr>
        <w:t xml:space="preserve">arquivo_roteiro</w:t>
      </w:r>
      <w:r>
        <w:t xml:space="preserve">,</w:t>
      </w:r>
      <w:r>
        <w:t xml:space="preserve"> </w:t>
      </w:r>
      <w:r>
        <w:rPr>
          <w:rStyle w:val="VerbatimChar"/>
        </w:rPr>
        <w:t xml:space="preserve">odp</w:t>
      </w:r>
      <w:r>
        <w:t xml:space="preserve">,</w:t>
      </w:r>
      <w:r>
        <w:t xml:space="preserve"> </w:t>
      </w:r>
      <w:r>
        <w:rPr>
          <w:rStyle w:val="VerbatimChar"/>
        </w:rPr>
        <w:t xml:space="preserve">early_web_cdx</w:t>
      </w:r>
      <w:r>
        <w:t xml:space="preserve">,</w:t>
      </w:r>
      <w:r>
        <w:t xml:space="preserve"> </w:t>
      </w:r>
      <w:r>
        <w:rPr>
          <w:rStyle w:val="VerbatimChar"/>
        </w:rPr>
        <w:t xml:space="preserve">ia_cdx_bulk</w:t>
      </w:r>
      <w:r>
        <w:t xml:space="preserve">,</w:t>
      </w:r>
      <w:r>
        <w:t xml:space="preserve"> </w:t>
      </w:r>
      <w:r>
        <w:rPr>
          <w:rStyle w:val="VerbatimChar"/>
        </w:rPr>
        <w:t xml:space="preserve">rdap</w:t>
      </w:r>
      <w:r>
        <w:t xml:space="preserve"> </w:t>
      </w:r>
      <w:r>
        <w:t xml:space="preserve">and</w:t>
      </w:r>
      <w:r>
        <w:t xml:space="preserve"> </w:t>
      </w:r>
      <w:r>
        <w:rPr>
          <w:rStyle w:val="VerbatimChar"/>
        </w:rPr>
        <w:t xml:space="preserve">rdap_snapshot</w:t>
      </w:r>
      <w:r>
        <w:t xml:space="preserve">,</w:t>
      </w:r>
      <w:r>
        <w:t xml:space="preserve"> </w:t>
      </w:r>
      <w:r>
        <w:rPr>
          <w:rStyle w:val="VerbatimChar"/>
        </w:rPr>
        <w:t xml:space="preserve">page_directory</w:t>
      </w:r>
      <w:r>
        <w:t xml:space="preserve"> </w:t>
      </w:r>
      <w:r>
        <w:t xml:space="preserve">and</w:t>
      </w:r>
      <w:r>
        <w:t xml:space="preserve"> </w:t>
      </w:r>
      <w:r>
        <w:rPr>
          <w:rStyle w:val="VerbatimChar"/>
        </w:rPr>
        <w:t xml:space="preserve">page_expansion</w:t>
      </w:r>
      <w:r>
        <w:t xml:space="preserve">,</w:t>
      </w:r>
      <w:r>
        <w:t xml:space="preserve"> </w:t>
      </w:r>
      <w:r>
        <w:rPr>
          <w:rStyle w:val="VerbatimChar"/>
        </w:rPr>
        <w:t xml:space="preserve">internet_scout</w:t>
      </w:r>
      <w:r>
        <w:t xml:space="preserve">,</w:t>
      </w:r>
      <w:r>
        <w:t xml:space="preserve"> </w:t>
      </w:r>
      <w:r>
        <w:rPr>
          <w:rStyle w:val="VerbatimChar"/>
        </w:rPr>
        <w:t xml:space="preserve">ncsa_whats_new</w:t>
      </w:r>
      <w:r>
        <w:t xml:space="preserve">,</w:t>
      </w:r>
      <w:r>
        <w:t xml:space="preserve"> </w:t>
      </w:r>
      <w:r>
        <w:rPr>
          <w:rStyle w:val="VerbatimChar"/>
        </w:rPr>
        <w:t xml:space="preserve">ia_cdx</w:t>
      </w:r>
      <w:r>
        <w:t xml:space="preserve">, NYPW first-capture index, Australian Web Archive,</w:t>
      </w:r>
      <w:r>
        <w:t xml:space="preserve"> </w:t>
      </w:r>
      <w:r>
        <w:rPr>
          <w:rStyle w:val="VerbatimChar"/>
        </w:rPr>
        <w:t xml:space="preserve">trade_press</w:t>
      </w:r>
      <w:r>
        <w:t xml:space="preserve"> </w:t>
      </w:r>
      <w:r>
        <w:t xml:space="preserve">and</w:t>
      </w:r>
      <w:r>
        <w:t xml:space="preserve"> </w:t>
      </w:r>
      <w:r>
        <w:rPr>
          <w:rStyle w:val="VerbatimChar"/>
        </w:rPr>
        <w:t xml:space="preserve">trade_press_mention</w:t>
      </w:r>
      <w:r>
        <w:t xml:space="preserve">,</w:t>
      </w:r>
      <w:r>
        <w:t xml:space="preserve"> </w:t>
      </w:r>
      <w:r>
        <w:rPr>
          <w:rStyle w:val="VerbatimChar"/>
        </w:rPr>
        <w:t xml:space="preserve">usenet_address</w:t>
      </w:r>
      <w:r>
        <w:t xml:space="preserve"> </w:t>
      </w:r>
      <w:r>
        <w:t xml:space="preserve">and</w:t>
      </w:r>
      <w:r>
        <w:t xml:space="preserve"> </w:t>
      </w:r>
      <w:r>
        <w:rPr>
          <w:rStyle w:val="VerbatimChar"/>
        </w:rPr>
        <w:t xml:space="preserve">usenet_address_mention</w:t>
      </w:r>
      <w:r>
        <w:t xml:space="preserve">,</w:t>
      </w:r>
      <w:r>
        <w:t xml:space="preserve"> </w:t>
      </w:r>
      <w:r>
        <w:rPr>
          <w:rStyle w:val="VerbatimChar"/>
        </w:rPr>
        <w:t xml:space="preserve">usenet_bare</w:t>
      </w:r>
      <w:r>
        <w:t xml:space="preserve"> </w:t>
      </w:r>
      <w:r>
        <w:t xml:space="preserve">and</w:t>
      </w:r>
      <w:r>
        <w:t xml:space="preserve"> </w:t>
      </w:r>
      <w:r>
        <w:rPr>
          <w:rStyle w:val="VerbatimChar"/>
        </w:rPr>
        <w:t xml:space="preserve">usenet_bare_mention</w:t>
      </w:r>
      <w:r>
        <w:t xml:space="preserve">,</w:t>
      </w:r>
      <w:r>
        <w:t xml:space="preserve"> </w:t>
      </w:r>
      <w:r>
        <w:rPr>
          <w:rStyle w:val="VerbatimChar"/>
        </w:rPr>
        <w:t xml:space="preserve">uucp_map_registry</w:t>
      </w:r>
      <w:r>
        <w:t xml:space="preserve">,</w:t>
      </w:r>
      <w:r>
        <w:t xml:space="preserve"> </w:t>
      </w:r>
      <w:r>
        <w:rPr>
          <w:rStyle w:val="VerbatimChar"/>
        </w:rPr>
        <w:t xml:space="preserve">uucp_map_creation</w:t>
      </w:r>
      <w:r>
        <w:t xml:space="preserve">,</w:t>
      </w:r>
      <w:r>
        <w:t xml:space="preserve"> </w:t>
      </w:r>
      <w:r>
        <w:rPr>
          <w:rStyle w:val="VerbatimChar"/>
        </w:rPr>
        <w:t xml:space="preserve">uucp_map_mention</w:t>
      </w:r>
      <w:r>
        <w:t xml:space="preserve">,</w:t>
      </w:r>
      <w:r>
        <w:t xml:space="preserve"> </w:t>
      </w:r>
      <w:r>
        <w:rPr>
          <w:rStyle w:val="VerbatimChar"/>
        </w:rPr>
        <w:t xml:space="preserve">rtfm_faq</w:t>
      </w:r>
      <w:r>
        <w:t xml:space="preserve"> </w:t>
      </w:r>
      <w:r>
        <w:t xml:space="preserve">and</w:t>
      </w:r>
      <w:r>
        <w:t xml:space="preserve"> </w:t>
      </w:r>
      <w:r>
        <w:rPr>
          <w:rStyle w:val="VerbatimChar"/>
        </w:rPr>
        <w:t xml:space="preserve">rtfm_faq_mention</w:t>
      </w:r>
      <w:r>
        <w:t xml:space="preserve">,</w:t>
      </w:r>
      <w:r>
        <w:t xml:space="preserve"> </w:t>
      </w:r>
      <w:r>
        <w:rPr>
          <w:rStyle w:val="VerbatimChar"/>
        </w:rPr>
        <w:t xml:space="preserve">usenet_announce</w:t>
      </w:r>
      <w:r>
        <w:t xml:space="preserve"> </w:t>
      </w:r>
      <w:r>
        <w:t xml:space="preserve">and</w:t>
      </w:r>
      <w:r>
        <w:t xml:space="preserve"> </w:t>
      </w:r>
      <w:r>
        <w:rPr>
          <w:rStyle w:val="VerbatimChar"/>
        </w:rPr>
        <w:t xml:space="preserve">usenet_mention</w:t>
      </w:r>
      <w:r>
        <w:t xml:space="preserve">,</w:t>
      </w:r>
      <w:r>
        <w:t xml:space="preserve"> </w:t>
      </w:r>
      <w:r>
        <w:rPr>
          <w:rStyle w:val="VerbatimChar"/>
        </w:rPr>
        <w:t xml:space="preserve">tucows_catalogue</w:t>
      </w:r>
      <w:r>
        <w:t xml:space="preserve"> </w:t>
      </w:r>
      <w:r>
        <w:t xml:space="preserve">and</w:t>
      </w:r>
      <w:r>
        <w:t xml:space="preserve"> </w:t>
      </w:r>
      <w:r>
        <w:rPr>
          <w:rStyle w:val="VerbatimChar"/>
        </w:rPr>
        <w:t xml:space="preserve">tucows_mention</w:t>
      </w:r>
      <w:r>
        <w:t xml:space="preserve">,</w:t>
      </w:r>
      <w:r>
        <w:t xml:space="preserve"> </w:t>
      </w:r>
      <w:r>
        <w:rPr>
          <w:rStyle w:val="VerbatimChar"/>
        </w:rPr>
        <w:t xml:space="preserve">maillist_archive</w:t>
      </w:r>
      <w:r>
        <w:t xml:space="preserve"> </w:t>
      </w:r>
      <w:r>
        <w:t xml:space="preserve">and</w:t>
      </w:r>
      <w:r>
        <w:t xml:space="preserve"> </w:t>
      </w:r>
      <w:r>
        <w:rPr>
          <w:rStyle w:val="VerbatimChar"/>
        </w:rPr>
        <w:t xml:space="preserve">maillist_archive_mention</w:t>
      </w:r>
      <w:r>
        <w:t xml:space="preserve">,</w:t>
      </w:r>
      <w:r>
        <w:t xml:space="preserve"> </w:t>
      </w:r>
      <w:r>
        <w:rPr>
          <w:rStyle w:val="VerbatimChar"/>
        </w:rPr>
        <w:t xml:space="preserve">enron_email</w:t>
      </w:r>
      <w:r>
        <w:t xml:space="preserve"> </w:t>
      </w:r>
      <w:r>
        <w:t xml:space="preserve">and</w:t>
      </w:r>
      <w:r>
        <w:t xml:space="preserve"> </w:t>
      </w:r>
      <w:r>
        <w:rPr>
          <w:rStyle w:val="VerbatimChar"/>
        </w:rPr>
        <w:t xml:space="preserve">enron_email_mention</w:t>
      </w:r>
      <w:r>
        <w:t xml:space="preserve">); the other 91 were evaluated and closed, each recorded with the measurement that closed it, so that negative results stay visible and the same ground is not broken twice.</w:t>
      </w:r>
    </w:p>
    <w:p>
      <w:r>
        <w:pict>
          <v:rect style="width:0;height:1.5pt" o:hralign="center" o:hrstd="t" o:hr="t"/>
        </w:pict>
      </w:r>
    </w:p>
    <w:bookmarkEnd w:id="13"/>
    <w:bookmarkStart w:id="14" w:name="Xf38af7bc15f1506bba8f86bbeac370183c61fdf"/>
    <w:p>
      <w:pPr>
        <w:pStyle w:val="Heading2"/>
      </w:pPr>
      <w:r>
        <w:t xml:space="preserve">6. Limitations, and what is worth expanding</w:t>
      </w:r>
    </w:p>
    <w:p>
      <w:pPr>
        <w:pStyle w:val="FirstParagraph"/>
      </w:pPr>
      <w:r>
        <w:rPr>
          <w:b/>
          <w:bCs/>
        </w:rPr>
        <w:t xml:space="preserve">The registry creation dates are the largest single contribution and also the narrowest evidence.</w:t>
      </w:r>
      <w:r>
        <w:t xml:space="preserve"> </w:t>
      </w:r>
      <w:r>
        <w:t xml:space="preserve">A</w:t>
      </w:r>
      <w:r>
        <w:t xml:space="preserve"> </w:t>
      </w:r>
      <w:r>
        <w:t xml:space="preserve">creation date attests registration, not activity, and it attests one year only. Where a domain was</w:t>
      </w:r>
      <w:r>
        <w:t xml:space="preserve"> </w:t>
      </w:r>
      <w:r>
        <w:t xml:space="preserve">registered in 1997 and remained live through 2001, this source supplies 1997 alone; the other four years</w:t>
      </w:r>
      <w:r>
        <w:t xml:space="preserve"> </w:t>
      </w:r>
      <w:r>
        <w:t xml:space="preserve">must still be earned from a capture, a survey or a continued-registration record. This is a deliberate</w:t>
      </w:r>
      <w:r>
        <w:t xml:space="preserve"> </w:t>
      </w:r>
      <w:r>
        <w:t xml:space="preserve">under-claim and it is enforced by the parser.</w:t>
      </w:r>
    </w:p>
    <w:p>
      <w:pPr>
        <w:pStyle w:val="BodyText"/>
      </w:pPr>
      <w:r>
        <w:rPr>
          <w:b/>
          <w:bCs/>
        </w:rPr>
        <w:t xml:space="preserve">The capture census is a 2017 snapshot.</w:t>
      </w:r>
      <w:r>
        <w:t xml:space="preserve"> </w:t>
      </w:r>
      <w:r>
        <w:t xml:space="preserve">The archive has grown since, so its per-year counts are a</w:t>
      </w:r>
      <w:r>
        <w:t xml:space="preserve"> </w:t>
      </w:r>
      <w:r>
        <w:t xml:space="preserve">floor on what the Wayback Machine holds today, never a ceiling.</w:t>
      </w:r>
    </w:p>
    <w:p>
      <w:pPr>
        <w:pStyle w:val="BodyText"/>
      </w:pPr>
      <w:r>
        <w:rPr>
          <w:b/>
          <w:bCs/>
        </w:rPr>
        <w:t xml:space="preserve">Worth expanding, in order.</w:t>
      </w:r>
      <w:r>
        <w:t xml:space="preserve"> </w:t>
      </w:r>
      <w:r>
        <w:t xml:space="preserve">Bulk dated corpora first, since one such file outweighed an entire round</w:t>
      </w:r>
      <w:r>
        <w:t xml:space="preserve"> </w:t>
      </w:r>
      <w:r>
        <w:t xml:space="preserve">of per-domain querying and this round found two more. National web archive link graphs second, where the</w:t>
      </w:r>
      <w:r>
        <w:t xml:space="preserve"> </w:t>
      </w:r>
      <w:r>
        <w:t xml:space="preserve">year association is explicit:</w:t>
      </w:r>
      <w:r>
        <w:t xml:space="preserve"> </w:t>
      </w:r>
      <w:r>
        <w:rPr>
          <w:rStyle w:val="VerbatimChar"/>
        </w:rPr>
        <w:t xml:space="preserve">ukwa_link_source</w:t>
      </w:r>
      <w:r>
        <w:t xml:space="preserve"> </w:t>
      </w:r>
      <w:r>
        <w:t xml:space="preserve">returned a mean equivalent-English weight of 0.9803,</w:t>
      </w:r>
      <w:r>
        <w:t xml:space="preserve"> </w:t>
      </w:r>
      <w:r>
        <w:t xml:space="preserve">the highest of any source here, because a national link graph is almost entirely</w:t>
      </w:r>
      <w:r>
        <w:t xml:space="preserve"> </w:t>
      </w:r>
      <w:r>
        <w:rPr>
          <w:rStyle w:val="VerbatimChar"/>
        </w:rPr>
        <w:t xml:space="preserve">.uk</w:t>
      </w:r>
      <w:r>
        <w:t xml:space="preserve">. Per-domain CDX</w:t>
      </w:r>
      <w:r>
        <w:t xml:space="preserve"> </w:t>
      </w:r>
      <w:r>
        <w:t xml:space="preserve">querying third, which still pays but is bounded by request rate rather than by candidates.</w:t>
      </w:r>
    </w:p>
    <w:p>
      <w:pPr>
        <w:pStyle w:val="BodyText"/>
      </w:pPr>
      <w:r>
        <w:rPr>
          <w:b/>
          <w:bCs/>
        </w:rPr>
        <w:t xml:space="preserve">Not worth expanding:</w:t>
      </w:r>
      <w:r>
        <w:t xml:space="preserve"> </w:t>
      </w:r>
      <w:r>
        <w:t xml:space="preserve">the closed families named above, each recorded with the measurement that closed</w:t>
      </w:r>
      <w:r>
        <w:t xml:space="preserve"> </w:t>
      </w:r>
      <w:r>
        <w:t xml:space="preserve">it so the same ground is not broken twice.</w:t>
      </w:r>
    </w:p>
    <w:p>
      <w:r>
        <w:pict>
          <v:rect style="width:0;height:1.5pt" o:hralign="center" o:hrstd="t" o:hr="t"/>
        </w:pict>
      </w:r>
    </w:p>
    <w:bookmarkEnd w:id="14"/>
    <w:bookmarkStart w:id="15" w:name="X4e0795022e97346d6868dd848ac3308a42e47ec"/>
    <w:p>
      <w:pPr>
        <w:pStyle w:val="Heading2"/>
      </w:pPr>
      <w:r>
        <w:t xml:space="preserve">7. Reproduction</w:t>
      </w:r>
    </w:p>
    <w:p>
      <w:pPr>
        <w:pStyle w:val="FirstParagraph"/>
      </w:pPr>
      <w:r>
        <w:rPr>
          <w:rStyle w:val="VerbatimChar"/>
        </w:rPr>
        <w:t xml:space="preserve">README.md</w:t>
      </w:r>
      <w:r>
        <w:t xml:space="preserve"> </w:t>
      </w:r>
      <w:r>
        <w:t xml:space="preserve">inside the archive gives the full order. In short:</w:t>
      </w:r>
      <w:r>
        <w:t xml:space="preserve"> </w:t>
      </w:r>
      <w:r>
        <w:rPr>
          <w:rStyle w:val="VerbatimChar"/>
        </w:rPr>
        <w:t xml:space="preserve">masters/</w:t>
      </w:r>
      <w:r>
        <w:t xml:space="preserve"> </w:t>
      </w:r>
      <w:r>
        <w:t xml:space="preserve">holds the merged annual lists</w:t>
      </w:r>
      <w:r>
        <w:t xml:space="preserve"> </w:t>
      </w:r>
      <w:r>
        <w:t xml:space="preserve">and</w:t>
      </w:r>
      <w:r>
        <w:t xml:space="preserve"> </w:t>
      </w:r>
      <w:r>
        <w:rPr>
          <w:rStyle w:val="VerbatimChar"/>
        </w:rPr>
        <w:t xml:space="preserve">additions/</w:t>
      </w:r>
      <w:r>
        <w:t xml:space="preserve"> </w:t>
      </w:r>
      <w:r>
        <w:t xml:space="preserve">this round's net-new records only, both one registered domain per line and deduplicated</w:t>
      </w:r>
      <w:r>
        <w:t xml:space="preserve"> </w:t>
      </w:r>
      <w:r>
        <w:t xml:space="preserve">within each year;</w:t>
      </w:r>
      <w:r>
        <w:t xml:space="preserve"> </w:t>
      </w:r>
      <w:r>
        <w:rPr>
          <w:rStyle w:val="VerbatimChar"/>
        </w:rPr>
        <w:t xml:space="preserve">candidates.txt</w:t>
      </w:r>
      <w:r>
        <w:t xml:space="preserve"> </w:t>
      </w:r>
      <w:r>
        <w:t xml:space="preserve">holds the names with no year evidence, separate as section X requires;</w:t>
      </w:r>
      <w:r>
        <w:t xml:space="preserve"> </w:t>
      </w:r>
      <w:r>
        <w:rPr>
          <w:rStyle w:val="VerbatimChar"/>
        </w:rPr>
        <w:t xml:space="preserve">provenance/*.parquet</w:t>
      </w:r>
      <w:r>
        <w:t xml:space="preserve"> </w:t>
      </w:r>
      <w:r>
        <w:t xml:space="preserve">joins every (domain, year) to the evidence row that justifies it, so any single</w:t>
      </w:r>
      <w:r>
        <w:t xml:space="preserve"> </w:t>
      </w:r>
      <w:r>
        <w:t xml:space="preserve">line of any annual file traces to the observation behind it;</w:t>
      </w:r>
      <w:r>
        <w:t xml:space="preserve"> </w:t>
      </w:r>
      <w:r>
        <w:rPr>
          <w:rStyle w:val="VerbatimChar"/>
        </w:rPr>
        <w:t xml:space="preserve">journals/</w:t>
      </w:r>
      <w:r>
        <w:t xml:space="preserve"> </w:t>
      </w:r>
      <w:r>
        <w:t xml:space="preserve">holds the raw per-source records</w:t>
      </w:r>
      <w:r>
        <w:t xml:space="preserve"> </w:t>
      </w:r>
      <w:r>
        <w:t xml:space="preserve">before interpretation;</w:t>
      </w:r>
      <w:r>
        <w:t xml:space="preserve"> </w:t>
      </w:r>
      <w:r>
        <w:rPr>
          <w:rStyle w:val="VerbatimChar"/>
        </w:rPr>
        <w:t xml:space="preserve">source/source.tar.gz</w:t>
      </w:r>
      <w:r>
        <w:t xml:space="preserve"> </w:t>
      </w:r>
      <w:r>
        <w:t xml:space="preserve">is the repository at the commit that produced the delivery;</w:t>
      </w:r>
      <w:r>
        <w:t xml:space="preserve"> </w:t>
      </w:r>
      <w:r>
        <w:t xml:space="preserve">and</w:t>
      </w:r>
      <w:r>
        <w:t xml:space="preserve"> </w:t>
      </w:r>
      <w:r>
        <w:rPr>
          <w:rStyle w:val="VerbatimChar"/>
        </w:rPr>
        <w:t xml:space="preserve">verify.sh</w:t>
      </w:r>
      <w:r>
        <w:t xml:space="preserve"> </w:t>
      </w:r>
      <w:r>
        <w:t xml:space="preserve">re-checks the shipped files against each other.</w:t>
      </w:r>
    </w:p>
    <w:p>
      <w:pPr>
        <w:pStyle w:val="BodyText"/>
      </w:pPr>
      <w:r>
        <w:rPr>
          <w:rStyle w:val="VerbatimChar"/>
        </w:rPr>
        <w:t xml:space="preserve">uv run ark export</w:t>
      </w:r>
      <w:r>
        <w:t xml:space="preserve"> </w:t>
      </w:r>
      <w:r>
        <w:t xml:space="preserve">regenerates every text file from the store,</w:t>
      </w:r>
      <w:r>
        <w:t xml:space="preserve"> </w:t>
      </w:r>
      <w:r>
        <w:rPr>
          <w:rStyle w:val="VerbatimChar"/>
        </w:rPr>
        <w:t xml:space="preserve">uv run ark check</w:t>
      </w:r>
      <w:r>
        <w:t xml:space="preserve"> </w:t>
      </w:r>
      <w:r>
        <w:t xml:space="preserve">re-runs the nine</w:t>
      </w:r>
      <w:r>
        <w:t xml:space="preserve"> </w:t>
      </w:r>
      <w:r>
        <w:t xml:space="preserve">invariants, and</w:t>
      </w:r>
      <w:r>
        <w:t xml:space="preserve"> </w:t>
      </w:r>
      <w:r>
        <w:rPr>
          <w:rStyle w:val="VerbatimChar"/>
        </w:rPr>
        <w:t xml:space="preserve">uv run python scripts/round_figures.py --verify</w:t>
      </w:r>
      <w:r>
        <w:t xml:space="preserve"> </w:t>
      </w:r>
      <w:r>
        <w:t xml:space="preserve">re-scores the round with the reviewer's</w:t>
      </w:r>
      <w:r>
        <w:t xml:space="preserve"> </w:t>
      </w:r>
      <w:r>
        <w:t xml:space="preserve">own</w:t>
      </w:r>
      <w:r>
        <w:t xml:space="preserve"> </w:t>
      </w:r>
      <w:r>
        <w:rPr>
          <w:rStyle w:val="VerbatimChar"/>
        </w:rPr>
        <w:t xml:space="preserve">equivalent_english_domains.py</w:t>
      </w:r>
      <w:r>
        <w:t xml:space="preserve"> </w:t>
      </w:r>
      <w:r>
        <w:t xml:space="preserve">and its unchanged weight model.</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2026-08-16T23:18:34Z</dcterms:created>
  <dcterms:modified xsi:type="dcterms:W3CDTF">2026-08-16T23:18:34Z</dcterms:modified>
</cp:coreProperties>
</file>

<file path=docProps/custom.xml><?xml version="1.0" encoding="utf-8"?>
<Properties xmlns="http://schemas.openxmlformats.org/officeDocument/2006/custom-properties" xmlns:vt="http://schemas.openxmlformats.org/officeDocument/2006/docPropsVTypes"/>
</file>