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6,051,283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3,447,310.6672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19.3990%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328,764.8318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5,427,363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3,118,545.8354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17.5489%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2,354,986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113,146.5272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3,667,599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314,079.8962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7,235,172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508,766.1805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1,536,042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12,268,630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862,203.2432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2,268,784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13,305,819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1,596,472.7236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5,427,363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39,900,209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3,447,310.6672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50.8217%</w:t>
      </w:r>
      <w:r>
        <w:t xml:space="preserve">: the sum of the increases you awarded (1.659986%, 10.730988%, 14.901054%, 4.130718%) plus this round's 19.3990%,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1,008,731 EE, 1,368,590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328,764.8318 EE, 623,920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21 small dated artifacts (40,343). 46,148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1,368,590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1,008,731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further sources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6,051,283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3,447,311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90.3%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2,419,541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of the round's finds are the loop's.</w:t>
      </w:r>
      <w:r>
        <w:t xml:space="preserve"> </w:t>
      </w:r>
      <w:r>
        <w:t xml:space="preserve">The hostname-grain re-read (item 1 above) was among</w:t>
      </w:r>
      <w:r>
        <w:t xml:space="preserve"> </w:t>
      </w:r>
      <w:r>
        <w:t xml:space="preserve">the generator's first seven proposals. The re-opener recovered the NYPW TimeMaps from a 14 EE</w:t>
      </w:r>
      <w:r>
        <w:t xml:space="preserve"> </w:t>
      </w:r>
      <w:r>
        <w:t xml:space="preserve">closure by measuring the ingest ledger per folder (year rows per million: 2000 ~24,000, 1999</w:t>
      </w:r>
      <w:r>
        <w:t xml:space="preserve"> </w:t>
      </w:r>
      <w:r>
        <w:t xml:space="preserve">~10,000, 2001 exactly 4), for ~88,000 EE. Rule learned: a partitioned corpus is measured per</w:t>
      </w:r>
      <w:r>
        <w:t xml:space="preserve"> </w:t>
      </w:r>
      <w:r>
        <w:t xml:space="preserve">partition, never argued about.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find admitted under that rule is a column this project had discarded on purpose.</w:t>
      </w:r>
      <w:r>
        <w:t xml:space="preserve"> </w:t>
      </w:r>
      <w:r>
        <w:t xml:space="preserve">A registry zone file is two hostname corpora: the owner of an NS record is the delegation, the</w:t>
      </w:r>
      <w:r>
        <w:t xml:space="preserve"> </w:t>
      </w:r>
      <w:r>
        <w:t xml:space="preserve">right-hand side is the nameserver serving it. At registrable grain the right-hand side was</w:t>
      </w:r>
      <w:r>
        <w:t xml:space="preserve"> </w:t>
      </w:r>
      <w:r>
        <w:t xml:space="preserve">measured and closed at 63 pairs, because</w:t>
      </w:r>
      <w:r>
        <w:t xml:space="preserve"> 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</w:t>
      </w:r>
      <w:r>
        <w:t xml:space="preserve"> </w:t>
      </w:r>
      <w:r>
        <w:t xml:space="preserve">holds. At hostname grain the same 21,498 hosts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own 1997 file:</w:t>
      </w:r>
      <w:r>
        <w:t xml:space="preserve"> </w:t>
      </w:r>
      <w:r>
        <w:rPr>
          <w:b/>
          <w:bCs/>
        </w:rPr>
        <w:t xml:space="preserve">19,211 records and 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inside the payload, no</w:t>
      </w:r>
      <w:r>
        <w:t xml:space="preserve"> </w:t>
      </w:r>
      <w:r>
        <w:t xml:space="preserve">new request. The lens it opens: nameservers, mail exchangers and mirrors are the hosts a web</w:t>
      </w:r>
      <w:r>
        <w:t xml:space="preserve"> </w:t>
      </w:r>
      <w:r>
        <w:t xml:space="preserve">crawler never fetches, so DNS-side and mail-side artifacts over held registrables are the</w:t>
      </w:r>
      <w:r>
        <w:t xml:space="preserve"> </w:t>
      </w:r>
      <w:r>
        <w:t xml:space="preserve">hostname unit's natural source even where their registrables are saturated.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471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61 developed, 410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the</w:t>
      </w:r>
      <w:r>
        <w:t xml:space="preserve"> </w:t>
      </w:r>
      <w:r>
        <w:t xml:space="preserve">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</w:t>
      </w:r>
      <w:r>
        <w:t xml:space="preserve"> </w:t>
      </w:r>
      <w:r>
        <w:t xml:space="preserve">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every held</w:t>
      </w:r>
      <w:r>
        <w:t xml:space="preserve"> </w:t>
      </w:r>
      <w:r>
        <w:t xml:space="preserve">capture-bearing artifact re-read at hostname grain; registrable discovery by bracketed-gap CDX</w:t>
      </w:r>
      <w:r>
        <w:t xml:space="preserve"> </w:t>
      </w:r>
      <w:r>
        <w:t xml:space="preserve">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6,051,283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3,447,310.6672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39,900,209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21,217,899.5698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6,051,283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copy of this archive was extracted and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pass;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all fifteen invariants, and returns all twenty-one result files (six annual additions, six hostname files, six masters, two evidence manifests, the candidate list) byte-identical to the ones shipped. The first rehearsal caught a defect (the hostname export resolved the baseline through a repository-only path when run inside the archive); it was fixed and the rehearsal rerun clean. Tier 3, the full replay, was not run: it is a roughly 50 GB download and five journal sets are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2026-09-01T23:51:59Z</dcterms:created>
  <dcterms:modified xsi:type="dcterms:W3CDTF">2026-09-01T23:51:59Z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