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internet-digital-ark-round-7"/>
    <w:p>
      <w:pPr>
        <w:pStyle w:val="Heading1"/>
      </w:pPr>
      <w:r>
        <w:t xml:space="preserve">Internet Digital Ark: round 7</w:t>
      </w:r>
    </w:p>
    <w:p>
      <w:pPr>
        <w:pStyle w:val="FirstParagraph"/>
      </w:pPr>
      <w:r>
        <w:t xml:space="preserve">Increment to the 1996-2001 annual lists against</w:t>
      </w:r>
      <w:r>
        <w:t xml:space="preserve"> </w:t>
      </w:r>
      <w:r>
        <w:rPr>
          <w:rStyle w:val="VerbatimChar"/>
        </w:rPr>
        <w:t xml:space="preserve">merged260901</w:t>
      </w:r>
      <w:r>
        <w:t xml:space="preserve">, scored with your calculator. Every</w:t>
      </w:r>
      <w:r>
        <w:t xml:space="preserve"> </w:t>
      </w:r>
      <w:r>
        <w:t xml:space="preserve">figure is generated from the evidence store when the archive is built.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26,224,274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13,670,342.8300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76.9268%</w:t>
            </w:r>
          </w:p>
        </w:tc>
      </w:tr>
    </w:tbl>
    <w:p>
      <w:pPr>
        <w:pStyle w:val="BodyText"/>
      </w:pPr>
      <w:r>
        <w:t xml:space="preserve">Two units, both at your calculator's counting unit (one distinct valid hostname per year at its</w:t>
      </w:r>
      <w:r>
        <w:t xml:space="preserve"> </w:t>
      </w:r>
      <w:r>
        <w:t xml:space="preserve">TLD's English share), disjoint, both absent from the baseline, no record rejected by your validator: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1857"/>
        <w:gridCol w:w="977"/>
        <w:gridCol w:w="1368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domains, the prioritized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additions/NNNN.txt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625,385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329,397.2492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hostnames beneath registrables, accepted 2026-09-01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hostnames/NNNN_hostnames.txt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25,598,889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13,340,945.5808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75.0732%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1450"/>
        <w:gridCol w:w="1338"/>
        <w:gridCol w:w="1338"/>
        <w:gridCol w:w="1450"/>
        <w:gridCol w:w="1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979,994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7,742,554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8,731,417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4,156,305.3362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2,161,231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10,781,639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12,960,986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5,263,433.0010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3,119,897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999,412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4,142,334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574,071.3613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6,345,942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1,458,019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7,850,737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828,029.6155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10,705,102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1,661,393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12,394,125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937,279.6350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10,536,760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2,955,872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13,993,601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1,911,223.8810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625,385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25,598,889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60,073,200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13,670,342.8300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score 108.3495%</w:t>
      </w:r>
      <w:r>
        <w:t xml:space="preserve">: the sum of the increases you awarded (1.659986%, 10.730988%, 14.901054%, 4.130718%) plus this round's 76.9268%, as your update log of 2026-08-18 defines it. Round 1 is held out: awarded on records, before the equivalent-English metric.</w:t>
      </w:r>
    </w:p>
    <w:bookmarkEnd w:id="9"/>
    <w:bookmarkStart w:id="10" w:name="what-the-increment-is"/>
    <w:p>
      <w:pPr>
        <w:pStyle w:val="Heading2"/>
      </w:pPr>
      <w:r>
        <w:t xml:space="preserve">2. What the increment is</w:t>
      </w:r>
    </w:p>
    <w:p>
      <w:pPr>
        <w:pStyle w:val="FirstParagraph"/>
      </w:pPr>
      <w:r>
        <w:t xml:space="preserve">Four things, largest first. All four are re-readings of bytes already on disk under the unit you</w:t>
      </w:r>
      <w:r>
        <w:t xml:space="preserve"> </w:t>
      </w:r>
      <w:r>
        <w:t xml:space="preserve">accepted on 1 September; none of them is a new download.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ISC Internet Domain Survey's per-TLD host files, read one level below the registrable:</w:t>
      </w:r>
      <w:r>
        <w:rPr>
          <w:b/>
          <w:bCs/>
        </w:rPr>
        <w:t xml:space="preserve"> </w:t>
      </w:r>
      <w:r>
        <w:rPr>
          <w:b/>
          <w:bCs/>
        </w:rPr>
        <w:t xml:space="preserve">9,167,369 EE, 18,117,395 records at 1996 and 1997.</w:t>
      </w:r>
      <w:r>
        <w:t xml:space="preserve"> </w:t>
      </w:r>
      <w:r>
        <w:t xml:space="preserve">Banked in July for the registrables</w:t>
      </w:r>
      <w:r>
        <w:t xml:space="preserve"> </w:t>
      </w:r>
      <w:r>
        <w:t xml:space="preserve">they imply and closed as complete, these files are a reverse-DNS walk: every line is</w:t>
      </w:r>
      <w:r>
        <w:t xml:space="preserve"> </w:t>
      </w:r>
      <w:r>
        <w:rPr>
          <w:rStyle w:val="VerbatimChar"/>
        </w:rPr>
        <w:t xml:space="preserve">IP hostname</w:t>
      </w:r>
      <w:r>
        <w:t xml:space="preserve">, the host itself, which the registrable ingest discarded.</w:t>
      </w:r>
      <w:r>
        <w:t xml:space="preserve"> </w:t>
      </w:r>
      <w:r>
        <w:rPr>
          <w:b/>
          <w:bCs/>
        </w:rPr>
        <w:t xml:space="preserve">The disclosure that</w:t>
      </w:r>
      <w:r>
        <w:rPr>
          <w:b/>
          <w:bCs/>
        </w:rPr>
        <w:t xml:space="preserve"> </w:t>
      </w:r>
      <w:r>
        <w:rPr>
          <w:b/>
          <w:bCs/>
        </w:rPr>
        <w:t xml:space="preserve">decides what this is worth: 65% of the records are dialup or numbered</w:t>
      </w:r>
      <w:r>
        <w:rPr>
          <w:b/>
          <w:bCs/>
        </w:rPr>
        <w:t xml:space="preserve"> </w:t>
      </w:r>
      <w:r>
        <w:rPr>
          <w:b/>
          <w:bCs/>
        </w:rPr>
        <w:t xml:space="preserve">workstation 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pc50.btbcs.bt.co.uk</w:t>
      </w:r>
      <w:r>
        <w:t xml:space="preserve">,</w:t>
      </w:r>
      <w:r>
        <w:t xml:space="preserve"> </w:t>
      </w:r>
      <w:r>
        <w:rPr>
          <w:rStyle w:val="VerbatimChar"/>
        </w:rPr>
        <w:t xml:space="preserve">dynws2.mdx.ac.uk</w:t>
      </w:r>
      <w:r>
        <w:t xml:space="preserve">). They are real hosts that</w:t>
      </w:r>
      <w:r>
        <w:t xml:space="preserve"> </w:t>
      </w:r>
      <w:r>
        <w:t xml:space="preserve">answered in DNS in the month the survey stamps, and they satisfy your validity rule, but they</w:t>
      </w:r>
      <w:r>
        <w:t xml:space="preserve"> </w:t>
      </w:r>
      <w:r>
        <w:t xml:space="preserve">are not sites. They ship in the hostname files with everything else so you can drop them as a</w:t>
      </w:r>
      <w:r>
        <w:t xml:space="preserve"> </w:t>
      </w:r>
      <w:r>
        <w:t xml:space="preserve">block if you do not want them;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 </w:t>
      </w:r>
      <w:r>
        <w:t xml:space="preserve">names the source of</w:t>
      </w:r>
      <w:r>
        <w:t xml:space="preserve"> </w:t>
      </w:r>
      <w:r>
        <w:t xml:space="preserve">every record.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Capture corpora already on disk, re-read at hostname grain: 2,097,955 EE,</w:t>
      </w:r>
      <w:r>
        <w:rPr>
          <w:b/>
          <w:bCs/>
        </w:rPr>
        <w:t xml:space="preserve"> </w:t>
      </w:r>
      <w:r>
        <w:rPr>
          <w:b/>
          <w:bCs/>
        </w:rPr>
        <w:t xml:space="preserve">4,039,562 records from the NYPW TimeMaps and 631,148 EE, 1,163,616</w:t>
      </w:r>
      <w:r>
        <w:rPr>
          <w:b/>
          <w:bCs/>
        </w:rPr>
        <w:t xml:space="preserve"> </w:t>
      </w:r>
      <w:r>
        <w:rPr>
          <w:b/>
          <w:bCs/>
        </w:rPr>
        <w:t xml:space="preserve">records from IA's Early Web index.</w:t>
      </w:r>
      <w:r>
        <w:t xml:space="preserve"> </w:t>
      </w:r>
      <w:r>
        <w:t xml:space="preserve">The NYPW TimeMaps (34 parts, CC BY 4.0), the 224 Early Web</w:t>
      </w:r>
      <w:r>
        <w:t xml:space="preserve"> </w:t>
      </w:r>
      <w:r>
        <w:t xml:space="preserve">CDX parts and 180 domain-wide CDX journals stood recorded as spent or worth 0 at registrable</w:t>
      </w:r>
      <w:r>
        <w:t xml:space="preserve"> </w:t>
      </w:r>
      <w:r>
        <w:t xml:space="preserve">grain. A second disclosure, on the Early Web half: nearly all of its records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</w:t>
      </w:r>
      <w:r>
        <w:t xml:space="preserve"> </w:t>
      </w:r>
      <w:r>
        <w:t xml:space="preserve">a registrable you already hold in that year, because your own files carry the non-</w:t>
      </w:r>
      <w:r>
        <w:rPr>
          <w:rStyle w:val="VerbatimChar"/>
        </w:rPr>
        <w:t xml:space="preserve">www.</w:t>
      </w:r>
      <w:r>
        <w:t xml:space="preserve"> </w:t>
      </w:r>
      <w:r>
        <w:t xml:space="preserve">hosts</w:t>
      </w:r>
      <w:r>
        <w:t xml:space="preserve"> </w:t>
      </w:r>
      <w:r>
        <w:t xml:space="preserve">by name and almost no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ones. A third IA index, the six USFEDGOV-EXTRACT merged CDX files</w:t>
      </w:r>
      <w:r>
        <w:t xml:space="preserve"> </w:t>
      </w:r>
      <w:r>
        <w:t xml:space="preserve">for 1996-2001, adds 39,340 EE over 40,260 federal host-years from six</w:t>
      </w:r>
      <w:r>
        <w:t xml:space="preserve"> </w:t>
      </w:r>
      <w:r>
        <w:t xml:space="preserve">bulk downloads and no API request.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Domain-wide CDX sweeps over subdomain platforms: 1,378,051 EE, 2,161,296</w:t>
      </w:r>
      <w:r>
        <w:rPr>
          <w:b/>
          <w:bCs/>
        </w:rPr>
        <w:t xml:space="preserve"> </w:t>
      </w:r>
      <w:r>
        <w:rPr>
          <w:b/>
          <w:bCs/>
        </w:rPr>
        <w:t xml:space="preserve">records.</w:t>
      </w:r>
      <w:r>
        <w:t xml:space="preserve"> </w:t>
      </w:r>
      <w:r>
        <w:rPr>
          <w:rStyle w:val="VerbatimChar"/>
        </w:rPr>
        <w:t xml:space="preserve">matchType=domain</w:t>
      </w:r>
      <w:r>
        <w:t xml:space="preserve">, 1996-2001, over the parents your own benchmark proves dense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rank_platform_parents.py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cjb.net</w:t>
      </w:r>
      <w:r>
        <w:t xml:space="preserve"> </w:t>
      </w:r>
      <w:r>
        <w:t xml:space="preserve">leads at 157,790 sub-hosts held, then</w:t>
      </w:r>
      <w:r>
        <w:t xml:space="preserve"> </w:t>
      </w:r>
      <w:r>
        <w:rPr>
          <w:rStyle w:val="VerbatimChar"/>
        </w:rPr>
        <w:t xml:space="preserve">demon.co.uk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freeserve.co.uk</w:t>
      </w:r>
      <w:r>
        <w:t xml:space="preserve">). This is the workflow your 0901 update describes; each parent is resumable</w:t>
      </w:r>
      <w:r>
        <w:t xml:space="preserve"> </w:t>
      </w:r>
      <w:r>
        <w:t xml:space="preserve">from the saturation ledger.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Registrable domains, the prioritized unit: 329,397.2492 EE, 625,385 records.</w:t>
      </w:r>
      <w:r>
        <w:t xml:space="preserve"> </w:t>
      </w:r>
      <w:r>
        <w:t xml:space="preserve">NYPW TimeMaps</w:t>
      </w:r>
      <w:r>
        <w:t xml:space="preserve"> </w:t>
      </w:r>
      <w:r>
        <w:t xml:space="preserve">reopened and measured partition by partition (150,468 EE, after a 14 EE closure on the</w:t>
      </w:r>
      <w:r>
        <w:t xml:space="preserve"> </w:t>
      </w:r>
      <w:r>
        <w:t xml:space="preserve">1996 folder), per-domain CDX queries over bracketed gaps (66,566), three Usenet lanes</w:t>
      </w:r>
      <w:r>
        <w:t xml:space="preserve"> </w:t>
      </w:r>
      <w:r>
        <w:t xml:space="preserve">(71,388) and 24 small dated artifacts (40,975). 46,773 of</w:t>
      </w:r>
      <w:r>
        <w:t xml:space="preserve"> </w:t>
      </w:r>
      <w:r>
        <w:t xml:space="preserve">these domains appear in none of your six files in any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633"/>
        <w:gridCol w:w="2956"/>
        <w:gridCol w:w="950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isc_survey_host_list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survey's own YYMM edition code in the artifact's path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18,117,395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9,167,369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2,097,955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2,161,296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1,378,051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early_web_hostgrain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1,163,616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631,148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143,789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66,566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 further sources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one row each in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320,259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185,465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26,224,274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13,670,343</w:t>
            </w:r>
          </w:p>
        </w:tc>
      </w:tr>
    </w:tbl>
    <w:p>
      <w:pPr>
        <w:pStyle w:val="BodyText"/>
      </w:pPr>
      <w:r>
        <w:t xml:space="preserve">Every source has its own entry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link, acquisition route, what dates one item, yield,</w:t>
      </w:r>
      <w:r>
        <w:t xml:space="preserve"> </w:t>
      </w:r>
      <w:r>
        <w:t xml:space="preserve">and for closed families the measurement that closed them. Per-source figures with files and</w:t>
      </w:r>
      <w:r>
        <w:t xml:space="preserve"> </w:t>
      </w:r>
      <w:r>
        <w:t xml:space="preserve">evidence rows are in</w:t>
      </w:r>
      <w:r>
        <w:t xml:space="preserve"> </w:t>
      </w:r>
      <w:r>
        <w:rPr>
          <w:rStyle w:val="VerbatimChar"/>
        </w:rPr>
        <w:t xml:space="preserve">audit/source_contribution.csv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26.1% of the hostnames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 a registrable. They are distinct</w:t>
      </w:r>
      <w:r>
        <w:t xml:space="preserve"> </w:t>
      </w:r>
      <w:r>
        <w:t xml:space="preserve">valid hostnames under your rule and sit in their own files, so they merge or drop as a block.</w:t>
      </w:r>
    </w:p>
    <w:bookmarkEnd w:id="10"/>
    <w:bookmarkStart w:id="11" w:name="evidentiary-standard"/>
    <w:p>
      <w:pPr>
        <w:pStyle w:val="Heading2"/>
      </w:pPr>
      <w:r>
        <w:t xml:space="preserve">3. Evidentiary standard</w:t>
      </w:r>
    </w:p>
    <w:p>
      <w:pPr>
        <w:pStyle w:val="Compact"/>
        <w:numPr>
          <w:ilvl w:val="0"/>
          <w:numId w:val="1002"/>
        </w:numPr>
      </w:pPr>
      <w:r>
        <w:t xml:space="preserve">One record is one machine-written observation of that name in that year. For capture-backed</w:t>
      </w:r>
      <w:r>
        <w:t xml:space="preserve"> </w:t>
      </w:r>
      <w:r>
        <w:t xml:space="preserve">sources it is the Internet Archive's 14-digit timestamp of a capture on that exact host, quoted</w:t>
      </w:r>
      <w:r>
        <w:t xml:space="preserve"> </w:t>
      </w:r>
      <w:r>
        <w:t xml:space="preserve">with its replay URL in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, so any line can be opened.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domain_year.evidence_id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hostname_year.evidence_id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foreign keys: no year</w:t>
      </w:r>
      <w:r>
        <w:t xml:space="preserve"> </w:t>
      </w:r>
      <w:r>
        <w:t xml:space="preserve">without an observation. Fifteen invariants check this before every commit and inside the archive.</w:t>
      </w:r>
    </w:p>
    <w:p>
      <w:pPr>
        <w:pStyle w:val="Compact"/>
        <w:numPr>
          <w:ilvl w:val="0"/>
          <w:numId w:val="1002"/>
        </w:numPr>
      </w:pPr>
      <w:r>
        <w:t xml:space="preserve">Master-eligible classes:</w:t>
      </w:r>
      <w:r>
        <w:t xml:space="preserve"> </w:t>
      </w:r>
      <w:r>
        <w:rPr>
          <w:rStyle w:val="VerbatimChar"/>
        </w:rPr>
        <w:t xml:space="preserve">artifact_listing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cdx_timestamp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dated_directory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whois_creation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 </w:t>
      </w:r>
      <w:r>
        <w:t xml:space="preserve">never dates a year. Anything a human typed</w:t>
      </w:r>
      <w:r>
        <w:t xml:space="preserve"> </w:t>
      </w:r>
      <w:r>
        <w:t xml:space="preserve">needs a second source to date that domain first. A creation date attests its own year only.</w:t>
      </w:r>
    </w:p>
    <w:p>
      <w:pPr>
        <w:pStyle w:val="Compact"/>
        <w:numPr>
          <w:ilvl w:val="0"/>
          <w:numId w:val="1002"/>
        </w:numPr>
      </w:pPr>
      <w:r>
        <w:t xml:space="preserve">A hostname must sit beneath a held registrable, be RFC 1123 valid, and its parent earns the same</w:t>
      </w:r>
      <w:r>
        <w:t xml:space="preserve"> </w:t>
      </w:r>
      <w:r>
        <w:t xml:space="preserve">year from the same capture.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2,419,436 domains carry no year evidence</w:t>
      </w:r>
      <w:r>
        <w:t xml:space="preserve"> </w:t>
      </w:r>
      <w:r>
        <w:t xml:space="preserve">and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 none in an annual</w:t>
      </w:r>
      <w:r>
        <w:t xml:space="preserve"> </w:t>
      </w:r>
      <w:r>
        <w:t xml:space="preserve">file; 588,081 of them are under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.gov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.mil</w:t>
      </w:r>
      <w:r>
        <w:t xml:space="preserve">.</w:t>
      </w:r>
    </w:p>
    <w:bookmarkEnd w:id="11"/>
    <w:bookmarkStart w:id="12" w:name="autonomous-research-this-round"/>
    <w:p>
      <w:pPr>
        <w:pStyle w:val="Heading2"/>
      </w:pPr>
      <w:r>
        <w:t xml:space="preserve">4. Autonomous research this round</w:t>
      </w:r>
    </w:p>
    <w:p>
      <w:pPr>
        <w:pStyle w:val="FirstParagraph"/>
      </w:pPr>
      <w:r>
        <w:rPr>
          <w:b/>
          <w:bCs/>
        </w:rPr>
        <w:t xml:space="preserve">The loop runs unattended.</w:t>
      </w:r>
      <w:r>
        <w:t xml:space="preserve"> </w:t>
      </w:r>
      <w:r>
        <w:t xml:space="preserve">Scheduled workflows on a self-hosted runner: a generator proposes</w:t>
      </w:r>
      <w:r>
        <w:t xml:space="preserve"> </w:t>
      </w:r>
      <w:r>
        <w:t xml:space="preserve">hypotheses, researcher waves test them in parallel and price each against the store, a re-opener</w:t>
      </w:r>
      <w:r>
        <w:t xml:space="preserve"> </w:t>
      </w:r>
      <w:r>
        <w:t xml:space="preserve">re-reads closed verdicts whenever a screen changes, an improver tunes one prompt or model knob per</w:t>
      </w:r>
      <w:r>
        <w:t xml:space="preserve"> </w:t>
      </w:r>
      <w:r>
        <w:t xml:space="preserve">pull request.</w:t>
      </w:r>
      <w:r>
        <w:t xml:space="preserve"> </w:t>
      </w:r>
      <w:r>
        <w:rPr>
          <w:b/>
          <w:bCs/>
        </w:rPr>
        <w:t xml:space="preserve">494 source families searched and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66 developed, 428 evaluated and closed with the measurement that closed them, so the same ground is not broken twice. The code is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Six sources were admitted without a human</w:t>
      </w:r>
      <w:r>
        <w:t xml:space="preserve">, under a rule fixed in advance: the evidence class is</w:t>
      </w:r>
      <w:r>
        <w:t xml:space="preserve"> </w:t>
      </w:r>
      <w:r>
        <w:t xml:space="preserve">already master-eligible, a machine-written stamp inside the artifact dates each item, the terms were</w:t>
      </w:r>
      <w:r>
        <w:t xml:space="preserve"> </w:t>
      </w:r>
      <w:r>
        <w:t xml:space="preserve">read in full, and the invariants pass. Anything failing one of the four parks until a written</w:t>
      </w:r>
      <w:r>
        <w:t xml:space="preserve"> </w:t>
      </w:r>
      <w:r>
        <w:t xml:space="preserve">decision, and two sources did park this round. Each row below is a column of an artifact this</w:t>
      </w:r>
      <w:r>
        <w:t xml:space="preserve"> </w:t>
      </w:r>
      <w:r>
        <w:t xml:space="preserve">project had already banked and closed at registrable grain: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810"/>
        <w:gridCol w:w="720"/>
        <w:gridCol w:w="34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admitted by the loop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  <w:tc>
          <w:tcPr/>
          <w:p>
            <w:pPr>
              <w:pStyle w:val="Compact"/>
            </w:pPr>
            <w:r>
              <w:t xml:space="preserve">the column that had been discarded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ISC survey host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18,117,395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9,167,369</w:t>
            </w:r>
          </w:p>
        </w:tc>
        <w:tc>
          <w:tcPr/>
          <w:p>
            <w:pPr>
              <w:pStyle w:val="Compact"/>
            </w:pPr>
            <w:r>
              <w:t xml:space="preserve">the host in each</w:t>
            </w:r>
            <w:r>
              <w:t xml:space="preserve"> </w:t>
            </w:r>
            <w:r>
              <w:rPr>
                <w:rStyle w:val="VerbatimChar"/>
              </w:rPr>
              <w:t xml:space="preserve">IP hostname</w:t>
            </w:r>
            <w:r>
              <w:t xml:space="preserve"> </w:t>
            </w:r>
            <w:r>
              <w:t xml:space="preserve">line, not its 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Early Web index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1,163,616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631,148</w:t>
            </w:r>
          </w:p>
        </w:tc>
        <w:tc>
          <w:tcPr/>
          <w:p>
            <w:pPr>
              <w:pStyle w:val="Compact"/>
            </w:pPr>
            <w:r>
              <w:t xml:space="preserve">the captured host, not its registrable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USFEDGOV merged indexes, six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39,340</w:t>
            </w:r>
          </w:p>
        </w:tc>
        <w:tc>
          <w:tcPr/>
          <w:p>
            <w:pPr>
              <w:pStyle w:val="Compact"/>
            </w:pPr>
            <w:r>
              <w:t xml:space="preserve">the captured host, not its registrable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 InterNIC zones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11,860.7</w:t>
            </w:r>
          </w:p>
        </w:tc>
        <w:tc>
          <w:tcPr/>
          <w:p>
            <w:pPr>
              <w:pStyle w:val="Compact"/>
            </w:pPr>
            <w:r>
              <w:t xml:space="preserve">the nameserver an NS record points at, not the delegation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RIPE</w:t>
            </w:r>
            <w:r>
              <w:t xml:space="preserve"> </w:t>
            </w:r>
            <w:r>
              <w:rPr>
                <w:rStyle w:val="VerbatimChar"/>
              </w:rPr>
              <w:t xml:space="preserve">domain:</w:t>
            </w:r>
            <w:r>
              <w:t xml:space="preserve"> </w:t>
            </w:r>
            <w:r>
              <w:t xml:space="preserve">objects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11,780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nserver:</w:t>
            </w:r>
            <w:r>
              <w:t xml:space="preserve"> </w:t>
            </w:r>
            <w:r>
              <w:t xml:space="preserve">attribute both parsers dropped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squidGuard blocklists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3,441.8</w:t>
            </w:r>
          </w:p>
        </w:tc>
        <w:tc>
          <w:tcPr/>
          <w:p>
            <w:pPr>
              <w:pStyle w:val="Compact"/>
            </w:pPr>
            <w:r>
              <w:t xml:space="preserve">the host each line names, not its registrable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lens that produced all six</w:t>
      </w:r>
      <w:r>
        <w:t xml:space="preserve">, and the round's transferable result: when the counting unit</w:t>
      </w:r>
      <w:r>
        <w:t xml:space="preserve"> </w:t>
      </w:r>
      <w:r>
        <w:t xml:space="preserve">changes, the payload is a column of an artifact already on disk, not a new corpus. Its natural home</w:t>
      </w:r>
      <w:r>
        <w:t xml:space="preserve"> </w:t>
      </w:r>
      <w:r>
        <w:t xml:space="preserve">is DNS-side and mail-side records, because nameservers, mail exchangers and mirrors are hosts a web</w:t>
      </w:r>
      <w:r>
        <w:t xml:space="preserve"> </w:t>
      </w:r>
      <w:r>
        <w:t xml:space="preserve">crawler never fetches, so they are absent from a capture-fed benchmark by construction even where</w:t>
      </w:r>
      <w:r>
        <w:t xml:space="preserve"> </w:t>
      </w:r>
      <w:r>
        <w:t xml:space="preserve">their registrables are saturated. Zero new requests were needed for four of the six.</w:t>
      </w:r>
    </w:p>
    <w:p>
      <w:pPr>
        <w:pStyle w:val="BodyText"/>
      </w:pPr>
      <w:r>
        <w:rPr>
          <w:b/>
          <w:bCs/>
        </w:rPr>
        <w:t xml:space="preserve">A closure is a hypothesis, not a fact.</w:t>
      </w:r>
      <w:r>
        <w:t xml:space="preserve"> </w:t>
      </w:r>
      <w:r>
        <w:t xml:space="preserve">The re-opener recovered the NYPW TimeMaps from a 14 EE</w:t>
      </w:r>
      <w:r>
        <w:t xml:space="preserve"> </w:t>
      </w:r>
      <w:r>
        <w:t xml:space="preserve">closure by measuring the ingest ledger per folder (year rows per million: 2000 ~24,000, 1999</w:t>
      </w:r>
      <w:r>
        <w:t xml:space="preserve"> </w:t>
      </w:r>
      <w:r>
        <w:t xml:space="preserve">~10,000, 2001 exactly 4) for ~88,000 EE, after one run had argued the opposite from a plausible</w:t>
      </w:r>
      <w:r>
        <w:t xml:space="preserve"> </w:t>
      </w:r>
      <w:r>
        <w:t xml:space="preserve">mechanism.</w:t>
      </w:r>
    </w:p>
    <w:p>
      <w:pPr>
        <w:pStyle w:val="BodyText"/>
      </w:pPr>
      <w:r>
        <w:rPr>
          <w:b/>
          <w:bCs/>
        </w:rPr>
        <w:t xml:space="preserve">Measured negatives that steer the next cycle</w:t>
      </w:r>
      <w:r>
        <w:t xml:space="preserve">: prose corpora fail either the URL-density or the</w:t>
      </w:r>
      <w:r>
        <w:t xml:space="preserve"> </w:t>
      </w:r>
      <w:r>
        <w:t xml:space="preserve">authority screen; academic repositories closed by enumeration through five APIs and two registries;</w:t>
      </w:r>
      <w:r>
        <w:t xml:space="preserve"> </w:t>
      </w:r>
      <w:r>
        <w:t xml:space="preserve">CD-ROM media, FTP mirrors and trade directories at the curated-directory floor (0.013-0.024 net-new</w:t>
      </w:r>
      <w:r>
        <w:t xml:space="preserve"> </w:t>
      </w:r>
      <w:r>
        <w:t xml:space="preserve">pairs per listed name). Each with its figure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, and the saturation ledger your 0831</w:t>
      </w:r>
      <w:r>
        <w:t xml:space="preserve"> </w:t>
      </w:r>
      <w:r>
        <w:t xml:space="preserve">update asks for is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, one row per source family and version.</w:t>
      </w:r>
    </w:p>
    <w:bookmarkEnd w:id="12"/>
    <w:bookmarkStart w:id="13" w:name="cdx-execution-notes"/>
    <w:p>
      <w:pPr>
        <w:pStyle w:val="Heading2"/>
      </w:pPr>
      <w:r>
        <w:t xml:space="preserve">5. CDX execution notes</w:t>
      </w:r>
    </w:p>
    <w:p>
      <w:pPr>
        <w:pStyle w:val="Compact"/>
        <w:numPr>
          <w:ilvl w:val="0"/>
          <w:numId w:val="1003"/>
        </w:numPr>
      </w:pPr>
      <w:r>
        <w:t xml:space="preserve">Two clients at most, honest User-Agent, two seconds between requests, backoff on 429/503/504,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honoured. Collectors take an absolute deadline and outlive the session.</w:t>
      </w:r>
    </w:p>
    <w:p>
      <w:pPr>
        <w:pStyle w:val="Compact"/>
        <w:numPr>
          <w:ilvl w:val="0"/>
          <w:numId w:val="1003"/>
        </w:numPr>
      </w:pPr>
      <w:r>
        <w:t xml:space="preserve">Per-domain queries over bracketed gaps and the candidate pool: 92,479 registrable pairs.</w:t>
      </w:r>
      <w:r>
        <w:t xml:space="preserve"> </w:t>
      </w:r>
      <w:r>
        <w:t xml:space="preserve">Domain-wide sweeps write raw</w:t>
      </w:r>
      <w:r>
        <w:t xml:space="preserve"> </w:t>
      </w:r>
      <w:r>
        <w:rPr>
          <w:rStyle w:val="VerbatimChar"/>
        </w:rPr>
        <w:t xml:space="preserve">{url, timestamp}</w:t>
      </w:r>
      <w:r>
        <w:t xml:space="preserve"> </w:t>
      </w:r>
      <w:r>
        <w:t xml:space="preserve">journals, so the same bytes can be re-read</w:t>
      </w:r>
      <w:r>
        <w:t xml:space="preserve"> </w:t>
      </w:r>
      <w:r>
        <w:t xml:space="preserve">under a new rule, which is what paid this round.</w:t>
      </w:r>
    </w:p>
    <w:p>
      <w:pPr>
        <w:pStyle w:val="Compact"/>
        <w:numPr>
          <w:ilvl w:val="0"/>
          <w:numId w:val="1003"/>
        </w:numPr>
      </w:pPr>
      <w:r>
        <w:t xml:space="preserve">Measured on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: a CDX page costs about the same at 200 index blocks as at 10,000 (11 to</w:t>
      </w:r>
      <w:r>
        <w:t xml:space="preserve"> </w:t>
      </w:r>
      <w:r>
        <w:t xml:space="preserve">42 s against 110 s), so the sweep now walks 10,000-block pages and asks the page count up</w:t>
      </w:r>
      <w:r>
        <w:t xml:space="preserve"> </w:t>
      </w:r>
      <w:r>
        <w:t xml:space="preserve">front. An archive outage refused thirteen parents on their control probe; they were requeued,</w:t>
      </w:r>
      <w:r>
        <w:t xml:space="preserve"> </w:t>
      </w:r>
      <w:r>
        <w:t xml:space="preserve">and a failed page is retried rather than skipped.</w:t>
      </w:r>
    </w:p>
    <w:bookmarkEnd w:id="13"/>
    <w:bookmarkStart w:id="14" w:name="limitations-and-what-is-worth-expanding"/>
    <w:p>
      <w:pPr>
        <w:pStyle w:val="Heading2"/>
      </w:pPr>
      <w:r>
        <w:t xml:space="preserve">6. Limitations, and what is worth expanding</w:t>
      </w:r>
    </w:p>
    <w:p>
      <w:pPr>
        <w:pStyle w:val="FirstParagraph"/>
      </w:pPr>
      <w:r>
        <w:t xml:space="preserve">Three limits, in the order they affect the figure: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hostname is not a site.</w:t>
      </w:r>
      <w:r>
        <w:t xml:space="preserve"> </w:t>
      </w:r>
      <w:r>
        <w:t xml:space="preserve">Under your rule a valid distinct hostname counts, and a</w:t>
      </w:r>
      <w:r>
        <w:t xml:space="preserve"> </w:t>
      </w:r>
      <w:r>
        <w:t xml:space="preserve">reverse-DNS walk resolves dialup ports and workstations as readily as web servers. That is</w:t>
      </w:r>
      <w:r>
        <w:t xml:space="preserve"> </w:t>
      </w:r>
      <w:r>
        <w:t xml:space="preserve">where most of this round's records come from and it is quoted per source, so a cut is one</w:t>
      </w:r>
      <w:r>
        <w:t xml:space="preserve"> </w:t>
      </w:r>
      <w:r>
        <w:t xml:space="preserve">filter on the manifest rather than a re-derivation.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capture proves presence, never absence.</w:t>
      </w:r>
      <w:r>
        <w:t xml:space="preserve"> </w:t>
      </w:r>
      <w:r>
        <w:t xml:space="preserve">A year without one is unevidenced, not empty.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two units are counted disjointly and shipped separately</w:t>
      </w:r>
      <w:r>
        <w:t xml:space="preserve">, so discarding the hostname</w:t>
      </w:r>
      <w:r>
        <w:t xml:space="preserve"> </w:t>
      </w:r>
      <w:r>
        <w:t xml:space="preserve">files leaves the registrable round intact at 329,397.2492 EE.</w:t>
      </w:r>
    </w:p>
    <w:p>
      <w:pPr>
        <w:pStyle w:val="FirstParagraph"/>
      </w:pPr>
      <w:r>
        <w:t xml:space="preserve">Worth expanding, in order: the same one-level-down reading of every other banked artifact that</w:t>
      </w:r>
      <w:r>
        <w:t xml:space="preserve"> </w:t>
      </w:r>
      <w:r>
        <w:t xml:space="preserve">names hosts (DNS, mail and mirror rosters are the natural seam, since a web crawler never fetched</w:t>
      </w:r>
      <w:r>
        <w:t xml:space="preserve"> </w:t>
      </w:r>
      <w:r>
        <w:t xml:space="preserve">them); the second-level suffix namespaces at hostname grain (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 blocks</w:t>
      </w:r>
      <w:r>
        <w:t xml:space="preserve"> </w:t>
      </w:r>
      <w:r>
        <w:t xml:space="preserve">and 1.2% walked,</w:t>
      </w:r>
      <w:r>
        <w:t xml:space="preserve"> </w:t>
      </w:r>
      <w:r>
        <w:rPr>
          <w:rStyle w:val="VerbatimChar"/>
        </w:rPr>
        <w:t xml:space="preserve">com.au</w:t>
      </w:r>
      <w:r>
        <w:t xml:space="preserve">,</w:t>
      </w:r>
      <w:r>
        <w:t xml:space="preserve"> </w:t>
      </w:r>
      <w:r>
        <w:rPr>
          <w:rStyle w:val="VerbatimChar"/>
        </w:rPr>
        <w:t xml:space="preserve">co.nz</w:t>
      </w:r>
      <w:r>
        <w:t xml:space="preserve">,</w:t>
      </w:r>
      <w:r>
        <w:t xml:space="preserve"> </w:t>
      </w:r>
      <w:r>
        <w:rPr>
          <w:rStyle w:val="VerbatimChar"/>
        </w:rPr>
        <w:t xml:space="preserve">org.uk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gov.uk</w:t>
      </w:r>
      <w:r>
        <w:t xml:space="preserve">,</w:t>
      </w:r>
      <w:r>
        <w:t xml:space="preserve"> </w:t>
      </w:r>
      <w:r>
        <w:rPr>
          <w:rStyle w:val="VerbatimChar"/>
        </w:rPr>
        <w:t xml:space="preserve">gc.ca</w:t>
      </w:r>
      <w:r>
        <w:t xml:space="preserve"> </w:t>
      </w:r>
      <w:r>
        <w:t xml:space="preserve">queued behind it); the remaining</w:t>
      </w:r>
      <w:r>
        <w:t xml:space="preserve"> </w:t>
      </w:r>
      <w:r>
        <w:t xml:space="preserve">ranked subdomain platforms, resumable from the ledger; registrable discovery by bracketed-gap CDX</w:t>
      </w:r>
      <w:r>
        <w:t xml:space="preserve"> </w:t>
      </w:r>
      <w:r>
        <w:t xml:space="preserve">queries at its measured rate. Not worth more time, measured: prose corpora, academic repositories,</w:t>
      </w:r>
      <w:r>
        <w:t xml:space="preserve"> </w:t>
      </w:r>
      <w:r>
        <w:t xml:space="preserve">CD-ROM media, FTP mirrors, trade directories.</w:t>
      </w:r>
    </w:p>
    <w:bookmarkEnd w:id="14"/>
    <w:bookmarkStart w:id="15" w:name="merge-overlap-and-reconciliation-d3"/>
    <w:p>
      <w:pPr>
        <w:pStyle w:val="Heading2"/>
      </w:pPr>
      <w:r>
        <w:t xml:space="preserve">7.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26,224,274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13,670,342.8300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60,073,200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31,440,931.7326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Overlap with the baseline: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26,224,274 submitted count once; the two unit files are disjoint in every year.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 of 28 reconciliation checks pass</w:t>
      </w:r>
      <w:r>
        <w:t xml:space="preserve"> </w:t>
      </w:r>
      <w:r>
        <w:t xml:space="preserve">(per-year</w:t>
      </w:r>
      <w:r>
        <w:t xml:space="preserve"> </w:t>
      </w:r>
      <w:r>
        <w:rPr>
          <w:rStyle w:val="VerbatimChar"/>
        </w:rPr>
        <w:t xml:space="preserve">baseline_unique + accepted_new == merged_unique</w:t>
      </w:r>
      <w:r>
        <w:t xml:space="preserve">, unit files disjoint and summing to the submitted count, per-year increments summing to the headline, baseline re-measured). Verdicts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,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 </w:t>
      </w:r>
      <w:r>
        <w:t xml:space="preserve">in your column names.</w:t>
      </w:r>
    </w:p>
    <w:p>
      <w:pPr>
        <w:pStyle w:val="Compact"/>
        <w:numPr>
          <w:ilvl w:val="0"/>
          <w:numId w:val="1005"/>
        </w:numPr>
      </w:pPr>
      <w:r>
        <w:t xml:space="preserve">Method: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deduplicated on the lowercased line within each year, and scores every file with your own calculator.</w:t>
      </w:r>
    </w:p>
    <w:bookmarkEnd w:id="15"/>
    <w:bookmarkStart w:id="16" w:name="X0b2e0752a69cd3551e46aae05f1ee9f09d3d9db"/>
    <w:p>
      <w:pPr>
        <w:pStyle w:val="Heading2"/>
      </w:pPr>
      <w:r>
        <w:t xml:space="preserve">8. Reproduction and the four requested artifacts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order:</w:t>
      </w:r>
      <w:r>
        <w:t xml:space="preserve"> </w:t>
      </w:r>
      <w:r>
        <w:rPr>
          <w:rStyle w:val="VerbatimChar"/>
        </w:rPr>
        <w:t xml:space="preserve">masters/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provenance/*.parquet</w:t>
      </w:r>
      <w:r>
        <w:t xml:space="preserve"> </w:t>
      </w:r>
      <w:r>
        <w:t xml:space="preserve">(every assignment joined to its evidence row),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.</w:t>
      </w:r>
      <w:r>
        <w:t xml:space="preserve"> </w:t>
      </w:r>
      <w:r>
        <w:t xml:space="preserve">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fifteen invariants and returns all twenty-one result files byte-identical to the ones shipped. Tier 3, the full replay, was not run: about 50 GB, with five journal sets held out of the archive on size.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2227"/>
        <w:gridCol w:w="51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asked for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runnable code, dependencies,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source/source.tar.gz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source/COMMIT.txt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; its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names what every command prints. The research loop of section 4 is</w:t>
            </w:r>
            <w:r>
              <w:t xml:space="preserve"> </w:t>
            </w:r>
            <w:r>
              <w:rPr>
                <w:rStyle w:val="VerbatimChar"/>
              </w:rPr>
              <w:t xml:space="preserve">source/fleet.tar.gz</w:t>
            </w:r>
            <w:r>
              <w:t xml:space="preserve">: workflows, prompts, policy and the hypothesis register with every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experience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experience-summary.md</w:t>
            </w:r>
            <w:r>
              <w:t xml:space="preserve">, distilled from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merge and dedup code, overlap, reconciliation</w:t>
            </w:r>
          </w:p>
        </w:tc>
        <w:tc>
          <w:tcPr/>
          <w:p>
            <w:pPr>
              <w:pStyle w:val="Compact"/>
            </w:pPr>
            <w:r>
              <w:t xml:space="preserve">section 7,</w:t>
            </w:r>
            <w:r>
              <w:t xml:space="preserve"> </w:t>
            </w:r>
            <w:r>
              <w:rPr>
                <w:rStyle w:val="VerbatimChar"/>
              </w:rPr>
              <w:t xml:space="preserve">source/scripts/round/merge_against_baseline.py</w:t>
            </w:r>
            <w:r>
              <w:t xml:space="preserve">, output in</w:t>
            </w:r>
            <w:r>
              <w:t xml:space="preserve"> </w:t>
            </w:r>
            <w:r>
              <w:rPr>
                <w:rStyle w:val="VerbatimChar"/>
              </w:rPr>
              <w:t xml:space="preserve">audit/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runnable metric code and its explanation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equivalent_english_domain_calculator/</w:t>
            </w:r>
            <w:r>
              <w:t xml:space="preserve">, your program vendored unmodified, explained in</w:t>
            </w:r>
            <w:r>
              <w:t xml:space="preserve"> </w:t>
            </w:r>
            <w:r>
              <w:rPr>
                <w:rStyle w:val="VerbatimChar"/>
              </w:rPr>
              <w:t xml:space="preserve">metric-explained.md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runs eleven checks inside a fresh extraction, including all four.</w:t>
      </w:r>
    </w:p>
    <w:bookmarkEnd w:id="16"/>
    <w:bookmarkEnd w:id="17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2026-09-02T05:07:41Z</dcterms:created>
  <dcterms:modified xsi:type="dcterms:W3CDTF">2026-09-02T05:07:41Z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