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internet-digital-ark-round-7"/>
    <w:p>
      <w:pPr>
        <w:pStyle w:val="Heading1"/>
      </w:pPr>
      <w:r>
        <w:t xml:space="preserve">Internet Digital Ark: round 7</w:t>
      </w:r>
    </w:p>
    <w:p>
      <w:pPr>
        <w:pStyle w:val="FirstParagraph"/>
      </w:pPr>
      <w:r>
        <w:t xml:space="preserve">Additions to the 1996-2001 annual lists, measured against</w:t>
      </w:r>
      <w:r>
        <w:t xml:space="preserve"> </w:t>
      </w:r>
      <w:r>
        <w:rPr>
          <w:rStyle w:val="VerbatimChar"/>
        </w:rPr>
        <w:t xml:space="preserve">merged260902</w:t>
      </w:r>
      <w:r>
        <w:t xml:space="preserve">. Every figure is generated</w:t>
      </w:r>
      <w:r>
        <w:t xml:space="preserve"> </w:t>
      </w:r>
      <w:r>
        <w:t xml:space="preserve">from the evidence store, so no table here can disagree with the files shipped beside it. This is a</w:t>
      </w:r>
      <w:r>
        <w:t xml:space="preserve"> </w:t>
      </w:r>
      <w:r>
        <w:t xml:space="preserve">summary: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 </w:t>
      </w:r>
      <w:r>
        <w:t xml:space="preserve">holds the per-source receipts,</w:t>
      </w:r>
      <w:r>
        <w:t xml:space="preserve"> </w:t>
      </w:r>
      <w:r>
        <w:rPr>
          <w:rStyle w:val="VerbatimChar"/>
        </w:rPr>
        <w:t xml:space="preserve">experience-summary.md</w:t>
      </w:r>
      <w:r>
        <w:t xml:space="preserve"> </w:t>
      </w:r>
      <w:r>
        <w:t xml:space="preserve">the yields and</w:t>
      </w:r>
      <w:r>
        <w:t xml:space="preserve"> </w:t>
      </w:r>
      <w:r>
        <w:t xml:space="preserve">directions,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the reproduction route,</w:t>
      </w:r>
      <w:r>
        <w:t xml:space="preserve"> </w:t>
      </w:r>
      <w:r>
        <w:rPr>
          <w:rStyle w:val="VerbatimChar"/>
        </w:rPr>
        <w:t xml:space="preserve">metric-explained.md</w:t>
      </w:r>
      <w:r>
        <w:t xml:space="preserve"> </w:t>
      </w:r>
      <w:r>
        <w:t xml:space="preserve">the metric.</w:t>
      </w:r>
    </w:p>
    <w:bookmarkStart w:id="9" w:name="results"/>
    <w:p>
      <w:pPr>
        <w:pStyle w:val="Heading2"/>
      </w:pPr>
      <w:r>
        <w:t xml:space="preserve">1. Results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1. Total original domain-year records 1996-2001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36,672,403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Equivalent-English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19,239,935.8548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2,541,429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Equivalent-English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1,458,263.2088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Equivalent-English growth rate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7.5794%</w:t>
            </w:r>
          </w:p>
        </w:tc>
      </w:tr>
    </w:tbl>
    <w:p>
      <w:pPr>
        <w:pStyle w:val="BodyText"/>
      </w:pPr>
      <w:r>
        <w:t xml:space="preserve">623,823 records (328,847.5752 EE) are registrable domains in</w:t>
      </w:r>
      <w:r>
        <w:t xml:space="preserve"> </w:t>
      </w:r>
      <w:r>
        <w:rPr>
          <w:rStyle w:val="VerbatimChar"/>
        </w:rPr>
        <w:t xml:space="preserve">additions/</w:t>
      </w:r>
      <w:r>
        <w:t xml:space="preserve">, the unit you asked me to</w:t>
      </w:r>
      <w:r>
        <w:t xml:space="preserve"> </w:t>
      </w:r>
      <w:r>
        <w:t xml:space="preserve">prioritize; 1,917,606 (1,129,415.6336 EE) are valid hostnames beneath them in</w:t>
      </w:r>
      <w:r>
        <w:t xml:space="preserve"> </w:t>
      </w:r>
      <w:r>
        <w:rPr>
          <w:rStyle w:val="VerbatimChar"/>
        </w:rPr>
        <w:t xml:space="preserve">hostnames/</w:t>
      </w:r>
      <w:r>
        <w:t xml:space="preserve">. The two are</w:t>
      </w:r>
      <w:r>
        <w:t xml:space="preserve"> </w:t>
      </w:r>
      <w:r>
        <w:t xml:space="preserve">disjoint in every year, neither is in the baseline, your validator rejects none of them, and the</w:t>
      </w:r>
      <w:r>
        <w:t xml:space="preserve"> </w:t>
      </w:r>
      <w:r>
        <w:t xml:space="preserve">second set can be merged or discarded as a block.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Hostnames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15,785.0458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30,541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30,813.8440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108,801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84,960.5429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46,564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198,265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161,494.5469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301,074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214,786.7330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500,073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1,264,727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950,422.4962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623,823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1,917,606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1,458,263.2088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Score, by both rules in your brief.</w:t>
      </w:r>
      <w:r>
        <w:t xml:space="preserve"> </w:t>
      </w:r>
      <w:r>
        <w:t xml:space="preserve">Cumulative verified percentage</w:t>
      </w:r>
      <w:r>
        <w:t xml:space="preserve"> </w:t>
      </w:r>
      <w:r>
        <w:rPr>
          <w:b/>
          <w:bCs/>
        </w:rPr>
        <w:t xml:space="preserve">56.3821%</w:t>
      </w:r>
      <w:r>
        <w:t xml:space="preserve">, time-weighted</w:t>
      </w:r>
      <w:r>
        <w:t xml:space="preserve"> </w:t>
      </w:r>
      <w:r>
        <w:rPr>
          <w:b/>
          <w:bCs/>
        </w:rPr>
        <w:t xml:space="preserve">S = 226.43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10 p/t</w:t>
      </w:r>
      <w:r>
        <w:t xml:space="preserve">, this round counted at its own unverified 7.5794%. Per round (1: 17.3800% / 5d = 34.76; 3: 1.6600% / 1d = 16.60; 4: 10.7310% / 6d = 17.88; 5: 14.9011% / 2d = 74.51; 6: 4.1307% / 6d = 6.88; 7: 7.5794% / 1d = 75.79), round 1 on records. The elapsed days are reconstructed from your release and receipt timestamps: they reproduce the S = 6.88 you quoted for round 6, but the set is yours to confirm.</w:t>
      </w:r>
    </w:p>
    <w:bookmarkEnd w:id="9"/>
    <w:bookmarkStart w:id="10" w:name="what-one-hostname-record-is"/>
    <w:p>
      <w:pPr>
        <w:pStyle w:val="Heading2"/>
      </w:pPr>
      <w:r>
        <w:t xml:space="preserve">2. What one hostname record is</w:t>
      </w:r>
    </w:p>
    <w:p>
      <w:pPr>
        <w:pStyle w:val="FirstParagraph"/>
      </w:pPr>
      <w:r>
        <w:t xml:space="preserve">Four conditions, all enforced in code (</w:t>
      </w:r>
      <w:r>
        <w:rPr>
          <w:rStyle w:val="VerbatimChar"/>
        </w:rPr>
        <w:t xml:space="preserve">source/src/ark/hostnames.py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), not by</w:t>
      </w:r>
      <w:r>
        <w:t xml:space="preserve"> </w:t>
      </w:r>
      <w:r>
        <w:t xml:space="preserve">convention. The first two are your rule; the last two are its purpose, retrieving archived pages,</w:t>
      </w:r>
      <w:r>
        <w:t xml:space="preserve"> </w:t>
      </w:r>
      <w:r>
        <w:t xml:space="preserve">applied on 2026-09-02 after a first build had counted names that pass the letter and serve it nothing: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RFC 1123 valid</w:t>
      </w:r>
      <w:r>
        <w:t xml:space="preserve">: letters, digits and hyphens only, no leading or trailing hyphen in a label,</w:t>
      </w:r>
      <w:r>
        <w:t xml:space="preserve"> </w:t>
      </w:r>
      <w:r>
        <w:t xml:space="preserve">at least two labels. Underscore names, IP literals and</w:t>
      </w:r>
      <w:r>
        <w:t xml:space="preserve"> </w:t>
      </w:r>
      <w:r>
        <w:rPr>
          <w:rStyle w:val="VerbatimChar"/>
        </w:rPr>
        <w:t xml:space="preserve">in-addr.arpa</w:t>
      </w:r>
      <w:r>
        <w:t xml:space="preserve"> </w:t>
      </w:r>
      <w:r>
        <w:t xml:space="preserve">forms are refused.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Strictly beneath a registrable this project holds for that same year.</w:t>
      </w:r>
      <w:r>
        <w:t xml:space="preserve"> </w:t>
      </w:r>
      <w:r>
        <w:t xml:space="preserve">The parent is a</w:t>
      </w:r>
      <w:r>
        <w:t xml:space="preserve"> </w:t>
      </w:r>
      <w:r>
        <w:t xml:space="preserve">foreign key, so a hostname cannot exist here without its registrable existing there, and a bare</w:t>
      </w:r>
      <w:r>
        <w:t xml:space="preserve"> </w:t>
      </w:r>
      <w:r>
        <w:t xml:space="preserve">registrable is never a hostname record. No name is counted in both units.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Its own machine-written observation in that year, showing the host serving web content</w:t>
      </w:r>
      <w:r>
        <w:t xml:space="preserve">: a</w:t>
      </w:r>
      <w:r>
        <w:t xml:space="preserve"> </w:t>
      </w:r>
      <w:r>
        <w:t xml:space="preserve">capture of a URL on it, or a URL listing naming it. A DNS listing proves a machine answered, not</w:t>
      </w:r>
      <w:r>
        <w:t xml:space="preserve"> </w:t>
      </w:r>
      <w:r>
        <w:t xml:space="preserve">a site, so it dates the parent registrable and writes no hostname record.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www.&lt;parent&gt;</w:t>
      </w:r>
      <w:r>
        <w:rPr>
          <w:b/>
          <w:bCs/>
        </w:rPr>
        <w:t xml:space="preserve">.</w:t>
      </w:r>
      <w:r>
        <w:t xml:space="preserve"> </w:t>
      </w:r>
      <w:r>
        <w:t xml:space="preserve">That is the registrable's own site under the name every crawler tries</w:t>
      </w:r>
      <w:r>
        <w:t xml:space="preserve"> </w:t>
      </w:r>
      <w:r>
        <w:t xml:space="preserve">first; the capture dates the registrable, and counting it again would be the same site twice.</w:t>
      </w:r>
    </w:p>
    <w:bookmarkEnd w:id="10"/>
    <w:bookmarkStart w:id="11" w:name="X129a351a9c58e00ca012770ca5a0b43844665d7"/>
    <w:p>
      <w:pPr>
        <w:pStyle w:val="Heading2"/>
      </w:pPr>
      <w:r>
        <w:t xml:space="preserve">3. What is new this round, and why it is admissible</w:t>
      </w:r>
    </w:p>
    <w:p>
      <w:pPr>
        <w:pStyle w:val="FirstParagraph"/>
      </w:pPr>
      <w:r>
        <w:t xml:space="preserve">One idea, applied to five artifact families:</w:t>
      </w:r>
      <w:r>
        <w:t xml:space="preserve"> </w:t>
      </w:r>
      <w:r>
        <w:rPr>
          <w:b/>
          <w:bCs/>
        </w:rPr>
        <w:t xml:space="preserve">when you accepted hostnames, the payload was a</w:t>
      </w:r>
      <w:r>
        <w:rPr>
          <w:b/>
          <w:bCs/>
        </w:rPr>
        <w:t xml:space="preserve"> </w:t>
      </w:r>
      <w:r>
        <w:rPr>
          <w:b/>
          <w:bCs/>
        </w:rPr>
        <w:t xml:space="preserve">column of an artifact already on disk that the registrable unit had discarded.</w:t>
      </w:r>
      <w:r>
        <w:t xml:space="preserve"> </w:t>
      </w:r>
      <w:r>
        <w:t xml:space="preserve">Four of the five</w:t>
      </w:r>
      <w:r>
        <w:t xml:space="preserve"> </w:t>
      </w:r>
      <w:r>
        <w:t xml:space="preserve">needed no new request, and most carried a written closure from an earlier round.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92"/>
        <w:gridCol w:w="4125"/>
        <w:gridCol w:w="742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What dates one record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 domain-wide CDX sweeps</w:t>
            </w:r>
          </w:p>
        </w:tc>
        <w:tc>
          <w:tcPr/>
          <w:p>
            <w:pPr>
              <w:pStyle w:val="Compact"/>
            </w:pPr>
            <w:r>
              <w:t xml:space="preserve">the row's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1,603,793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956,099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 Early Web index</w:t>
            </w:r>
          </w:p>
        </w:tc>
        <w:tc>
          <w:tcPr/>
          <w:p>
            <w:pPr>
              <w:pStyle w:val="Compact"/>
            </w:pPr>
            <w:r>
              <w:t xml:space="preserve">the row's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122,061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NYPW TimeMaps</w:t>
            </w:r>
          </w:p>
        </w:tc>
        <w:tc>
          <w:tcPr/>
          <w:p>
            <w:pPr>
              <w:pStyle w:val="Compact"/>
            </w:pPr>
            <w:r>
              <w:t xml:space="preserve">the row's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150,313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70,937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USFEDGOV merged indexes</w:t>
            </w:r>
          </w:p>
        </w:tc>
        <w:tc>
          <w:tcPr/>
          <w:p>
            <w:pPr>
              <w:pStyle w:val="Compact"/>
            </w:pPr>
            <w:r>
              <w:t xml:space="preserve">the row's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34,726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squidGuard and chastity URL blocklists</w:t>
            </w:r>
          </w:p>
        </w:tc>
        <w:tc>
          <w:tcPr/>
          <w:p>
            <w:pPr>
              <w:pStyle w:val="Compact"/>
            </w:pPr>
            <w:r>
              <w:t xml:space="preserve">the robot's compile stamp; the tar member's mtime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registrable domains, all lanes</w:t>
            </w:r>
          </w:p>
        </w:tc>
        <w:tc>
          <w:tcPr/>
          <w:p>
            <w:pPr>
              <w:pStyle w:val="Compact"/>
            </w:pPr>
            <w:r>
              <w:t xml:space="preserve">per record in</w:t>
            </w:r>
            <w:r>
              <w:t xml:space="preserve"> </w:t>
            </w:r>
            <w:r>
              <w:rPr>
                <w:rStyle w:val="VerbatimChar"/>
              </w:rPr>
              <w:t xml:space="preserve">additions/evidence_manifest.csv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623,823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328,847.5752</w:t>
            </w:r>
          </w:p>
        </w:tc>
      </w:tr>
    </w:tbl>
    <w:p>
      <w:pPr>
        <w:pStyle w:val="BodyText"/>
      </w:pPr>
      <w:r>
        <w:t xml:space="preserve">Every stamp above is machine-written and inside the artifact, so no human judgement dates a year;</w:t>
      </w:r>
      <w:r>
        <w:t xml:space="preserve"> </w:t>
      </w:r>
      <w:r>
        <w:t xml:space="preserve">each class was already master-eligible for those exact bytes; the terms were read in full before</w:t>
      </w:r>
      <w:r>
        <w:t xml:space="preserve"> </w:t>
      </w:r>
      <w:r>
        <w:t xml:space="preserve">each fetch. Route, licence and per-TLD yield per source are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Two things your rule admits and this round does not count.</w:t>
      </w:r>
      <w:r>
        <w:t xml:space="preserve"> </w:t>
      </w:r>
      <w:r>
        <w:t xml:space="preserve">The same one-level-down reading</w:t>
      </w:r>
      <w:r>
        <w:t xml:space="preserve"> </w:t>
      </w:r>
      <w:r>
        <w:t xml:space="preserve">of three DNS artifacts (the ISC Internet Domain Survey host files, RIPE</w:t>
      </w:r>
      <w:r>
        <w:t xml:space="preserve"> </w:t>
      </w:r>
      <w:r>
        <w:rPr>
          <w:rStyle w:val="VerbatimChar"/>
        </w:rPr>
        <w:t xml:space="preserve">nserver:</w:t>
      </w:r>
      <w:r>
        <w:t xml:space="preserve"> </w:t>
      </w:r>
      <w:r>
        <w:t xml:space="preserve">attributes,</w:t>
      </w:r>
      <w:r>
        <w:t xml:space="preserve"> </w:t>
      </w:r>
      <w:r>
        <w:t xml:space="preserve">InterNIC zone NS targets) had written 18,219,285 dated hostname rows, the survey alone exporting as</w:t>
      </w:r>
      <w:r>
        <w:t xml:space="preserve"> </w:t>
      </w:r>
      <w:r>
        <w:t xml:space="preserve">9.17M EE, that pass conditions 1 and 2 and fail 3: two thirds of the survey's names are dialup</w:t>
      </w:r>
      <w:r>
        <w:t xml:space="preserve"> </w:t>
      </w:r>
      <w:r>
        <w:t xml:space="preserve">ports and numbered workstations (</w:t>
      </w:r>
      <w:r>
        <w:rPr>
          <w:rStyle w:val="VerbatimChar"/>
        </w:rPr>
        <w:t xml:space="preserve">pc50.btbcs.bt.co.uk</w:t>
      </w:r>
      <w:r>
        <w:t xml:space="preserve">), for which no archived page can exist. They</w:t>
      </w:r>
      <w:r>
        <w:t xml:space="preserve"> </w:t>
      </w:r>
      <w:r>
        <w:t xml:space="preserve">are held out, their rows still date the parents, and the lane is one line to re-enable if you rule</w:t>
      </w:r>
      <w:r>
        <w:t xml:space="preserve"> </w:t>
      </w:r>
      <w:r>
        <w:t xml:space="preserve">that DNS listings count. And 5,162,650</w:t>
      </w:r>
      <w:r>
        <w:t xml:space="preserve"> </w:t>
      </w:r>
      <w:r>
        <w:rPr>
          <w:rStyle w:val="VerbatimChar"/>
        </w:rPr>
        <w:t xml:space="preserve">www.&lt;parent&gt;</w:t>
      </w:r>
      <w:r>
        <w:t xml:space="preserve"> </w:t>
      </w:r>
      <w:r>
        <w:t xml:space="preserve">rows, valid and captured, fail condition 4;</w:t>
      </w:r>
      <w:r>
        <w:t xml:space="preserve"> </w:t>
      </w:r>
      <w:r>
        <w:t xml:space="preserve">their captures date the registrables instead. Your 0902 brief says a domain-wide query may return</w:t>
      </w:r>
      <w:r>
        <w:t xml:space="preserve"> </w:t>
      </w:r>
      <w:r>
        <w:t xml:space="preserve">the base hostname and every qualifying subdomain and that overlap is removed downstream, so this</w:t>
      </w:r>
      <w:r>
        <w:t xml:space="preserve"> </w:t>
      </w:r>
      <w:r>
        <w:t xml:space="preserve">is the one place the round is deliberately narrower than your text: a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capture is here read</w:t>
      </w:r>
      <w:r>
        <w:t xml:space="preserve"> </w:t>
      </w:r>
      <w:r>
        <w:t xml:space="preserve">as the registrable's own page, and the rows are recoverable from the evidence with one filter if</w:t>
      </w:r>
      <w:r>
        <w:t xml:space="preserve"> </w:t>
      </w:r>
      <w:r>
        <w:t xml:space="preserve">you want them as records. Both counts are store rows reported by</w:t>
      </w:r>
      <w:r>
        <w:t xml:space="preserve"> </w:t>
      </w:r>
      <w:r>
        <w:rPr>
          <w:rStyle w:val="VerbatimChar"/>
        </w:rPr>
        <w:t xml:space="preserve">apply_hostname_purpose_rule.py</w:t>
      </w:r>
      <w:r>
        <w:t xml:space="preserve"> </w:t>
      </w:r>
      <w:r>
        <w:t xml:space="preserve">on the store as first built.</w:t>
      </w:r>
    </w:p>
    <w:p>
      <w:pPr>
        <w:pStyle w:val="BodyText"/>
      </w:pPr>
      <w:r>
        <w:t xml:space="preserve">The evidentiary standard is unchanged: one record is one machine-written observation of that name in</w:t>
      </w:r>
      <w:r>
        <w:t xml:space="preserve"> </w:t>
      </w:r>
      <w:r>
        <w:t xml:space="preserve">that year,</w:t>
      </w:r>
      <w:r>
        <w:t xml:space="preserve"> </w:t>
      </w:r>
      <w:r>
        <w:rPr>
          <w:rStyle w:val="VerbatimChar"/>
        </w:rPr>
        <w:t xml:space="preserve">evidence_id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t xml:space="preserve">foreign key on both units, seventeen invariants enforce it</w:t>
      </w:r>
      <w:r>
        <w:t xml:space="preserve"> </w:t>
      </w:r>
      <w:r>
        <w:t xml:space="preserve">before every commit and inside the archive,</w:t>
      </w:r>
      <w:r>
        <w:t xml:space="preserve"> </w:t>
      </w:r>
      <w:r>
        <w:rPr>
          <w:rStyle w:val="VerbatimChar"/>
        </w:rPr>
        <w:t xml:space="preserve">link_target</w:t>
      </w:r>
      <w:r>
        <w:t xml:space="preserve"> </w:t>
      </w:r>
      <w:r>
        <w:t xml:space="preserve">never dates a year, human-typed names take</w:t>
      </w:r>
      <w:r>
        <w:t xml:space="preserve"> </w:t>
      </w:r>
      <w:r>
        <w:t xml:space="preserve">the corroboration split, and a creation date attests its own year only. 2,419,012 domains carry</w:t>
      </w:r>
      <w:r>
        <w:t xml:space="preserve"> </w:t>
      </w:r>
      <w:r>
        <w:t xml:space="preserve">no in-window evidence, ship as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 </w:t>
      </w:r>
      <w:r>
        <w:t xml:space="preserve">and reach no annual file.</w:t>
      </w:r>
    </w:p>
    <w:bookmarkEnd w:id="11"/>
    <w:bookmarkStart w:id="12" w:name="what-became-autonomous-since-round-6"/>
    <w:p>
      <w:pPr>
        <w:pStyle w:val="Heading2"/>
      </w:pPr>
      <w:r>
        <w:t xml:space="preserve">4. What became autonomous since round 6</w:t>
      </w:r>
    </w:p>
    <w:p>
      <w:pPr>
        <w:pStyle w:val="FirstParagraph"/>
      </w:pPr>
      <w:r>
        <w:t xml:space="preserve">Round 6 ran unattended for hours but a person judged every source. This round the loop closes, and</w:t>
      </w:r>
      <w:r>
        <w:t xml:space="preserve"> </w:t>
      </w:r>
      <w:r>
        <w:t xml:space="preserve">its code, prompts, policy and full hypothesis register with every verdict ship as</w:t>
      </w:r>
      <w:r>
        <w:t xml:space="preserve"> </w:t>
      </w:r>
      <w:r>
        <w:rPr>
          <w:rStyle w:val="VerbatimChar"/>
        </w:rPr>
        <w:t xml:space="preserve">source/fleet.tar.gz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scheduled workflows on a self-hosted runner</w:t>
      </w:r>
      <w:r>
        <w:t xml:space="preserve">: a generator writes hypotheses, each with a</w:t>
      </w:r>
      <w:r>
        <w:t xml:space="preserve"> </w:t>
      </w:r>
      <w:r>
        <w:t xml:space="preserve">yield floor and a kill screen; researcher waves test them in parallel; a re-opener re-reads closed</w:t>
      </w:r>
      <w:r>
        <w:t xml:space="preserve"> </w:t>
      </w:r>
      <w:r>
        <w:t xml:space="preserve">verdicts when a screen changes; an improver changes one prompt or model knob per pull request so</w:t>
      </w:r>
      <w:r>
        <w:t xml:space="preserve"> </w:t>
      </w:r>
      <w:r>
        <w:t xml:space="preserve">effects stay attributable.</w:t>
      </w:r>
      <w:r>
        <w:t xml:space="preserve"> </w:t>
      </w:r>
      <w:r>
        <w:rPr>
          <w:b/>
          <w:bCs/>
        </w:rPr>
        <w:t xml:space="preserve">495 source families searched and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: 67 developed, 428 evaluated and closed with the measurement that closed them, so the same ground is not broken twice.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Admission without a human, under a rule fixed in advance</w:t>
      </w:r>
      <w:r>
        <w:t xml:space="preserve">: a source banks only if its class is</w:t>
      </w:r>
      <w:r>
        <w:t xml:space="preserve"> </w:t>
      </w:r>
      <w:r>
        <w:t xml:space="preserve">already master-eligible, a machine stamp inside the artifact dates each item, the terms were read</w:t>
      </w:r>
      <w:r>
        <w:t xml:space="preserve"> </w:t>
      </w:r>
      <w:r>
        <w:t xml:space="preserve">in full and the invariants pass. Eight sources banked that way this round and two parked for a</w:t>
      </w:r>
      <w:r>
        <w:t xml:space="preserve"> </w:t>
      </w:r>
      <w:r>
        <w:t xml:space="preserve">written decision. No agent may write the store: a separate admitter re-derives every figure</w:t>
      </w:r>
      <w:r>
        <w:t xml:space="preserve"> </w:t>
      </w:r>
      <w:r>
        <w:t xml:space="preserve">locally first, and two agent-reported figures lost to that check. The rule admits on the</w:t>
      </w:r>
      <w:r>
        <w:t xml:space="preserve"> </w:t>
      </w:r>
      <w:r>
        <w:t xml:space="preserve">letter of your standard; the purpose reading in section 2 was a human decision over the result,</w:t>
      </w:r>
      <w:r>
        <w:t xml:space="preserve"> </w:t>
      </w:r>
      <w:r>
        <w:t xml:space="preserve">which is the division of labour intended.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re-opener earned its lane</w:t>
      </w:r>
      <w:r>
        <w:t xml:space="preserve">: it recovered the NYPW TimeMaps from a 14 EE closure by</w:t>
      </w:r>
      <w:r>
        <w:t xml:space="preserve"> </w:t>
      </w:r>
      <w:r>
        <w:t xml:space="preserve">measuring the ingest ledger per folder (year rows per million: 2000 ~24,000, 1999 ~10,000, 2001</w:t>
      </w:r>
      <w:r>
        <w:t xml:space="preserve"> </w:t>
      </w:r>
      <w:r>
        <w:t xml:space="preserve">exactly 4), ~88,000 EE that a human closure had written off.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CDX execution</w:t>
      </w:r>
      <w:r>
        <w:t xml:space="preserve">: two clients at most, honest User-Agent, two seconds between requests,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honoured, absolute deadlines that outlive a session. Sweeps write raw</w:t>
      </w:r>
      <w:r>
        <w:t xml:space="preserve"> </w:t>
      </w:r>
      <w:r>
        <w:rPr>
          <w:rStyle w:val="VerbatimChar"/>
        </w:rPr>
        <w:t xml:space="preserve">{url, timestamp}</w:t>
      </w:r>
      <w:r>
        <w:t xml:space="preserve"> </w:t>
      </w:r>
      <w:r>
        <w:t xml:space="preserve">journals, which is why the same bytes could be re-read under the new unit. A</w:t>
      </w:r>
      <w:r>
        <w:t xml:space="preserve"> </w:t>
      </w:r>
      <w:r>
        <w:t xml:space="preserve">page costs about the same at 200 index blocks as at 10,000, so the sweep walks 10,000-block pages;</w:t>
      </w:r>
      <w:r>
        <w:t xml:space="preserve"> </w:t>
      </w:r>
      <w:r>
        <w:t xml:space="preserve">one outage refused thirteen parents and they were requeued, not skipped. Per-domain gap queries</w:t>
      </w:r>
      <w:r>
        <w:t xml:space="preserve"> </w:t>
      </w:r>
      <w:r>
        <w:t xml:space="preserve">contributed 92,382 registrable pairs.</w:t>
      </w:r>
    </w:p>
    <w:bookmarkEnd w:id="12"/>
    <w:bookmarkStart w:id="13" w:name="limitations-and-where-the-room-is"/>
    <w:p>
      <w:pPr>
        <w:pStyle w:val="Heading2"/>
      </w:pPr>
      <w:r>
        <w:t xml:space="preserve">5. Limitations, and where the room is</w:t>
      </w:r>
    </w:p>
    <w:p>
      <w:pPr>
        <w:pStyle w:val="FirstParagraph"/>
      </w:pPr>
      <w:r>
        <w:t xml:space="preserve">A capture proves presence and never absence, so a year without one is unevidenced rather than empty,</w:t>
      </w:r>
      <w:r>
        <w:t xml:space="preserve"> </w:t>
      </w:r>
      <w:r>
        <w:t xml:space="preserve">and both dating routes err toward omission; the purpose reading in section 2 adds a third omission</w:t>
      </w:r>
      <w:r>
        <w:t xml:space="preserve"> </w:t>
      </w:r>
      <w:r>
        <w:t xml:space="preserve">by design, the DNS-listed hosts held out above. The units ship separately, so dropping the hostname</w:t>
      </w:r>
      <w:r>
        <w:t xml:space="preserve"> </w:t>
      </w:r>
      <w:r>
        <w:t xml:space="preserve">files leaves the registrable round intact at 328,847.5752 EE.</w:t>
      </w:r>
    </w:p>
    <w:p>
      <w:pPr>
        <w:pStyle w:val="BodyText"/>
      </w:pPr>
      <w:r>
        <w:t xml:space="preserve">Worth expanding, in order: the same one-level-down reading of every other capture-bearing or</w:t>
      </w:r>
      <w:r>
        <w:t xml:space="preserve"> </w:t>
      </w:r>
      <w:r>
        <w:t xml:space="preserve">URL-listing artifact already on disk, since a URL list names hosts a domain sweep never reached</w:t>
      </w:r>
      <w:r>
        <w:t xml:space="preserve"> </w:t>
      </w:r>
      <w:r>
        <w:t xml:space="preserve">(the DARTMOUTH-NBER ARCS indexes are sampled and priced in</w:t>
      </w:r>
      <w:r>
        <w:t xml:space="preserve"> </w:t>
      </w:r>
      <w:r>
        <w:rPr>
          <w:rStyle w:val="VerbatimChar"/>
        </w:rPr>
        <w:t xml:space="preserve">key-decisions.md</w:t>
      </w:r>
      <w:r>
        <w:t xml:space="preserve">); the second-level</w:t>
      </w:r>
      <w:r>
        <w:t xml:space="preserve"> </w:t>
      </w:r>
      <w:r>
        <w:t xml:space="preserve">suffix namespaces at hostname grain, where</w:t>
      </w:r>
      <w:r>
        <w:t xml:space="preserve"> </w:t>
      </w:r>
      <w:r>
        <w:rPr>
          <w:rStyle w:val="VerbatimChar"/>
        </w:rPr>
        <w:t xml:space="preserve">co.uk</w:t>
      </w:r>
      <w:r>
        <w:t xml:space="preserve"> </w:t>
      </w:r>
      <w:r>
        <w:t xml:space="preserve">alone is 3.39M index blocks and 1.2% walked; the</w:t>
      </w:r>
      <w:r>
        <w:t xml:space="preserve"> </w:t>
      </w:r>
      <w:r>
        <w:t xml:space="preserve">ranked subdomain platforms still queued, resumable from</w:t>
      </w:r>
      <w:r>
        <w:t xml:space="preserve"> </w:t>
      </w:r>
      <w:r>
        <w:rPr>
          <w:rStyle w:val="VerbatimChar"/>
        </w:rPr>
        <w:t xml:space="preserve">audit/source_saturation_ledger.csv</w:t>
      </w:r>
      <w:r>
        <w:t xml:space="preserve">.</w:t>
      </w:r>
      <w:r>
        <w:t xml:space="preserve"> </w:t>
      </w:r>
      <w:r>
        <w:t xml:space="preserve">Measured and closed: prose corpora, academic repositories, CD-ROM media, FTP mirrors, trade</w:t>
      </w:r>
      <w:r>
        <w:t xml:space="preserve"> </w:t>
      </w:r>
      <w:r>
        <w:t xml:space="preserve">directories. The figures behind each verdict are in</w:t>
      </w:r>
      <w:r>
        <w:t xml:space="preserve"> </w:t>
      </w:r>
      <w:r>
        <w:rPr>
          <w:rStyle w:val="VerbatimChar"/>
        </w:rPr>
        <w:t xml:space="preserve">experience-summary.md</w:t>
      </w:r>
      <w:r>
        <w:t xml:space="preserve">.</w:t>
      </w:r>
    </w:p>
    <w:bookmarkEnd w:id="13"/>
    <w:bookmarkStart w:id="14" w:name="merge-overlap-and-reconciliation-d3"/>
    <w:p>
      <w:pPr>
        <w:pStyle w:val="Heading2"/>
      </w:pPr>
      <w:r>
        <w:t xml:space="preserve">6. Merge, overlap and reconciliation (D3)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rPr>
                <w:rStyle w:val="VerbatimChar"/>
              </w:rPr>
              <w:t xml:space="preserve">merged260902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36,672,403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19,239,935.8548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2,541,429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1,458,263.2088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39,213,832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20,698,199.0636</w:t>
            </w:r>
          </w:p>
        </w:tc>
      </w:tr>
    </w:tbl>
    <w:p>
      <w:pPr>
        <w:pStyle w:val="BodyText"/>
      </w:pPr>
      <w:r>
        <w:t xml:space="preserve">Overlap with the baseline is</w:t>
      </w:r>
      <w:r>
        <w:t xml:space="preserve"> </w:t>
      </w:r>
      <w:r>
        <w:rPr>
          <w:b/>
          <w:bCs/>
        </w:rPr>
        <w:t xml:space="preserve">0 records</w:t>
      </w:r>
      <w:r>
        <w:t xml:space="preserve">, so all 2,541,429 submitted count once, and</w:t>
      </w:r>
      <w:r>
        <w:t xml:space="preserve"> </w:t>
      </w:r>
      <w:r>
        <w:rPr>
          <w:b/>
          <w:bCs/>
        </w:rPr>
        <w:t xml:space="preserve">28 of 28 reconciliation checks pass</w:t>
      </w:r>
      <w:r>
        <w:t xml:space="preserve">.</w:t>
      </w:r>
      <w:r>
        <w:t xml:space="preserve"> </w:t>
      </w:r>
      <w:r>
        <w:rPr>
          <w:rStyle w:val="VerbatimChar"/>
        </w:rPr>
        <w:t xml:space="preserve">merge_against_baseline.py</w:t>
      </w:r>
      <w:r>
        <w:t xml:space="preserve"> </w:t>
      </w:r>
      <w:r>
        <w:t xml:space="preserve">unions both units into the baseline, deduplicates on the lowercased line within each year and scores every file with your own calculator; the per-check verdicts are in</w:t>
      </w:r>
      <w:r>
        <w:t xml:space="preserve"> </w:t>
      </w:r>
      <w:r>
        <w:rPr>
          <w:rStyle w:val="VerbatimChar"/>
        </w:rPr>
        <w:t xml:space="preserve">audit/merge_audit_ark_*.json</w:t>
      </w:r>
      <w:r>
        <w:t xml:space="preserve"> </w:t>
      </w:r>
      <w:r>
        <w:t xml:space="preserve">and the per-year form in</w:t>
      </w:r>
      <w:r>
        <w:t xml:space="preserve"> </w:t>
      </w:r>
      <w:r>
        <w:rPr>
          <w:rStyle w:val="VerbatimChar"/>
        </w:rPr>
        <w:t xml:space="preserve">audit/merge_stats_ark_*.csv</w:t>
      </w:r>
      <w:r>
        <w:t xml:space="preserve">, in your column names.</w:t>
      </w:r>
    </w:p>
    <w:bookmarkEnd w:id="14"/>
    <w:bookmarkStart w:id="15" w:name="reproduction-and-the-four-artifacts"/>
    <w:p>
      <w:pPr>
        <w:pStyle w:val="Heading2"/>
      </w:pPr>
      <w:r>
        <w:t xml:space="preserve">7. Reproduction, and the four artifacts</w:t>
      </w:r>
    </w:p>
    <w:p>
      <w:pPr>
        <w:pStyle w:val="FirstParagraph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in the archive gives the route and the file map. Before sending, a fresh extraction of this archive was put through that route: all eleven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checks pass, and the tier-2 rebuild from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reproduces every per-year count, passes the fifteen invariants and returns all twenty-one result files byte-identical to the ones shipped. Tier 3, the full replay, was not run: about 50 GB, with eight journal sets held out of the archive on size.</w:t>
      </w:r>
    </w:p>
    <w:p>
      <w:pPr>
        <w:pStyle w:val="BodyText"/>
      </w:pPr>
      <w:r>
        <w:rPr>
          <w:b/>
          <w:bCs/>
        </w:rPr>
        <w:t xml:space="preserve">D1</w:t>
      </w:r>
      <w:r>
        <w:t xml:space="preserve"> </w:t>
      </w:r>
      <w:r>
        <w:t xml:space="preserve">runnable code, dependencies and instructions:</w:t>
      </w:r>
      <w:r>
        <w:t xml:space="preserve"> </w:t>
      </w:r>
      <w:r>
        <w:rPr>
          <w:rStyle w:val="VerbatimChar"/>
        </w:rPr>
        <w:t xml:space="preserve">source/source.tar.gz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source/COMMIT.txt</w:t>
      </w:r>
      <w:r>
        <w:t xml:space="preserve">,</w:t>
      </w:r>
      <w:r>
        <w:t xml:space="preserve"> </w:t>
      </w:r>
      <w:r>
        <w:t xml:space="preserve">with the research loop as</w:t>
      </w:r>
      <w:r>
        <w:t xml:space="preserve"> </w:t>
      </w:r>
      <w:r>
        <w:rPr>
          <w:rStyle w:val="VerbatimChar"/>
        </w:rPr>
        <w:t xml:space="preserve">source/fleet.tar.gz</w:t>
      </w:r>
      <w:r>
        <w:t xml:space="preserve">.</w:t>
      </w:r>
      <w:r>
        <w:t xml:space="preserve"> </w:t>
      </w:r>
      <w:r>
        <w:rPr>
          <w:b/>
          <w:bCs/>
        </w:rPr>
        <w:t xml:space="preserve">D2</w:t>
      </w:r>
      <w:r>
        <w:t xml:space="preserve"> </w:t>
      </w:r>
      <w:r>
        <w:t xml:space="preserve">experience summary:</w:t>
      </w:r>
      <w:r>
        <w:t xml:space="preserve"> </w:t>
      </w:r>
      <w:r>
        <w:rPr>
          <w:rStyle w:val="VerbatimChar"/>
        </w:rPr>
        <w:t xml:space="preserve">experience-summary.md</w:t>
      </w:r>
      <w:r>
        <w:t xml:space="preserve">.</w:t>
      </w:r>
      <w:r>
        <w:t xml:space="preserve"> </w:t>
      </w:r>
      <w:r>
        <w:rPr>
          <w:b/>
          <w:bCs/>
        </w:rPr>
        <w:t xml:space="preserve">D3</w:t>
      </w:r>
      <w:r>
        <w:t xml:space="preserve"> </w:t>
      </w:r>
      <w:r>
        <w:t xml:space="preserve">merge and dedup code, overlap and reconciliation: section 6 and</w:t>
      </w:r>
      <w:r>
        <w:t xml:space="preserve"> </w:t>
      </w:r>
      <w:r>
        <w:rPr>
          <w:rStyle w:val="VerbatimChar"/>
        </w:rPr>
        <w:t xml:space="preserve">audit/</w:t>
      </w:r>
      <w:r>
        <w:t xml:space="preserve">.</w:t>
      </w:r>
      <w:r>
        <w:t xml:space="preserve"> </w:t>
      </w:r>
      <w:r>
        <w:rPr>
          <w:b/>
          <w:bCs/>
        </w:rPr>
        <w:t xml:space="preserve">D4</w:t>
      </w:r>
      <w:r>
        <w:t xml:space="preserve"> </w:t>
      </w:r>
      <w:r>
        <w:t xml:space="preserve">runnable</w:t>
      </w:r>
      <w:r>
        <w:t xml:space="preserve"> </w:t>
      </w:r>
      <w:r>
        <w:t xml:space="preserve">metric code:</w:t>
      </w:r>
      <w:r>
        <w:t xml:space="preserve"> </w:t>
      </w:r>
      <w:r>
        <w:rPr>
          <w:rStyle w:val="VerbatimChar"/>
        </w:rPr>
        <w:t xml:space="preserve">equivalent_english_domain_calculator/</w:t>
      </w:r>
      <w:r>
        <w:t xml:space="preserve">, your program vendored unmodified, explained in</w:t>
      </w:r>
      <w:r>
        <w:t xml:space="preserve"> </w:t>
      </w:r>
      <w:r>
        <w:rPr>
          <w:rStyle w:val="VerbatimChar"/>
        </w:rPr>
        <w:t xml:space="preserve">metric-explained.md</w:t>
      </w:r>
      <w:r>
        <w:t xml:space="preserve">.</w:t>
      </w:r>
    </w:p>
    <w:bookmarkEnd w:id="15"/>
    <w:bookmarkEnd w:id="16"/>
    <w:sectPr>
      <w:pgMar w:bottom="1080" w:footer="720" w:gutter="0" w:header="720" w:left="1080" w:right="1080" w:top="108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2026-09-02T09:54:17Z</dcterms:created>
  <dcterms:modified xsi:type="dcterms:W3CDTF">2026-09-02T09:54:17Z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