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internet-digital-ark-round-6"/>
    <w:p>
      <w:pPr>
        <w:pStyle w:val="Heading1"/>
      </w:pPr>
      <w:r>
        <w:t xml:space="preserve">Internet Digital Ark: round 6</w:t>
      </w:r>
    </w:p>
    <w:p>
      <w:pPr>
        <w:pStyle w:val="FirstParagraph"/>
      </w:pPr>
      <w:r>
        <w:t xml:space="preserve">Additions to the 1996-2001 annual lists, measured against</w:t>
      </w:r>
      <w:r>
        <w:t xml:space="preserve"> </w:t>
      </w:r>
      <w:r>
        <w:rPr>
          <w:rStyle w:val="VerbatimChar"/>
        </w:rPr>
        <w:t xml:space="preserve">merged260821</w:t>
      </w:r>
      <w:r>
        <w:t xml:space="preserve">. Every figure is generated from</w:t>
      </w:r>
      <w:r>
        <w:t xml:space="preserve"> </w:t>
      </w:r>
      <w:r>
        <w:t xml:space="preserve">the evidence store, so no table here can disagree with the files shipped beside it.</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25,064,981</w:t>
            </w:r>
          </w:p>
        </w:tc>
      </w:tr>
      <w:tr>
        <w:tc>
          <w:tcPr/>
          <w:p>
            <w:pPr>
              <w:pStyle w:val="Compact"/>
            </w:pPr>
            <w:r>
              <w:t xml:space="preserve">2. Equivalent-English total</w:t>
            </w:r>
          </w:p>
        </w:tc>
        <w:tc>
          <w:tcPr/>
          <w:p>
            <w:pPr>
              <w:pStyle w:val="Compact"/>
              <w:jc w:val="right"/>
            </w:pPr>
            <w:r>
              <w:t xml:space="preserve">13,362,368.8792</w:t>
            </w:r>
          </w:p>
        </w:tc>
      </w:tr>
      <w:tr>
        <w:tc>
          <w:tcPr/>
          <w:p>
            <w:pPr>
              <w:pStyle w:val="Compact"/>
            </w:pPr>
            <w:r>
              <w:t xml:space="preserve">3. Increment</w:t>
            </w:r>
          </w:p>
        </w:tc>
        <w:tc>
          <w:tcPr/>
          <w:p>
            <w:pPr>
              <w:pStyle w:val="Compact"/>
              <w:jc w:val="right"/>
            </w:pPr>
            <w:r>
              <w:rPr>
                <w:b/>
                <w:bCs/>
              </w:rPr>
              <w:t xml:space="preserve">1,928,571</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712,796.2234</w:t>
            </w:r>
          </w:p>
        </w:tc>
      </w:tr>
      <w:tr>
        <w:tc>
          <w:tcPr/>
          <w:p>
            <w:pPr>
              <w:pStyle w:val="Compact"/>
            </w:pPr>
            <w:r>
              <w:t xml:space="preserve">5. Equivalent-English growth rate</w:t>
            </w:r>
          </w:p>
        </w:tc>
        <w:tc>
          <w:tcPr/>
          <w:p>
            <w:pPr>
              <w:pStyle w:val="Compact"/>
              <w:jc w:val="right"/>
            </w:pPr>
            <w:r>
              <w:rPr>
                <w:b/>
                <w:bCs/>
              </w:rPr>
              <w:t xml:space="preserve">5.3344%</w:t>
            </w:r>
          </w:p>
        </w:tc>
      </w:tr>
    </w:tbl>
    <w:p>
      <w:pPr>
        <w:pStyle w:val="BodyText"/>
      </w:pPr>
      <w:r>
        <w:t xml:space="preserve">Lines 1 and 2 are your</w:t>
      </w:r>
      <w:r>
        <w:t xml:space="preserve"> </w:t>
      </w:r>
      <w:r>
        <w:rPr>
          <w:rStyle w:val="VerbatimChar"/>
        </w:rPr>
        <w:t xml:space="preserve">merged260821</w:t>
      </w:r>
      <w:r>
        <w:t xml:space="preserve"> </w:t>
      </w:r>
      <w:r>
        <w:t xml:space="preserve">totals, unchanged, since this increment is not yet merged. The</w:t>
      </w:r>
      <w:r>
        <w:t xml:space="preserve"> </w:t>
      </w:r>
      <w:r>
        <w:t xml:space="preserve">increment covers 1,659,521 distinct domains, of which</w:t>
      </w:r>
      <w:r>
        <w:t xml:space="preserve"> </w:t>
      </w:r>
      <w:r>
        <w:rPr>
          <w:b/>
          <w:bCs/>
        </w:rPr>
        <w:t xml:space="preserve">666,783 appear in none of the six baseline</w:t>
      </w:r>
      <w:r>
        <w:rPr>
          <w:b/>
          <w:bCs/>
        </w:rPr>
        <w:t xml:space="preserve"> </w:t>
      </w:r>
      <w:r>
        <w:rPr>
          <w:b/>
          <w:bCs/>
        </w:rPr>
        <w:t xml:space="preserve">files in any year</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merged260821,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754,672</w:t>
            </w:r>
          </w:p>
        </w:tc>
        <w:tc>
          <w:tcPr/>
          <w:p>
            <w:pPr>
              <w:pStyle w:val="Compact"/>
              <w:jc w:val="right"/>
            </w:pPr>
            <w:r>
              <w:t xml:space="preserve">55,467</w:t>
            </w:r>
          </w:p>
        </w:tc>
        <w:tc>
          <w:tcPr/>
          <w:p>
            <w:pPr>
              <w:pStyle w:val="Compact"/>
              <w:jc w:val="right"/>
            </w:pPr>
            <w:r>
              <w:t xml:space="preserve">7 (0.0%)</w:t>
            </w:r>
          </w:p>
        </w:tc>
      </w:tr>
      <w:tr>
        <w:tc>
          <w:tcPr/>
          <w:p>
            <w:pPr>
              <w:pStyle w:val="Compact"/>
            </w:pPr>
            <w:r>
              <w:t xml:space="preserve">1997</w:t>
            </w:r>
          </w:p>
        </w:tc>
        <w:tc>
          <w:tcPr/>
          <w:p>
            <w:pPr>
              <w:pStyle w:val="Compact"/>
              <w:jc w:val="right"/>
            </w:pPr>
            <w:r>
              <w:t xml:space="preserve">1,791,900</w:t>
            </w:r>
          </w:p>
        </w:tc>
        <w:tc>
          <w:tcPr/>
          <w:p>
            <w:pPr>
              <w:pStyle w:val="Compact"/>
              <w:jc w:val="right"/>
            </w:pPr>
            <w:r>
              <w:t xml:space="preserve">134,717</w:t>
            </w:r>
          </w:p>
        </w:tc>
        <w:tc>
          <w:tcPr/>
          <w:p>
            <w:pPr>
              <w:pStyle w:val="Compact"/>
              <w:jc w:val="right"/>
            </w:pPr>
            <w:r>
              <w:t xml:space="preserve">37 (0.0%)</w:t>
            </w:r>
          </w:p>
        </w:tc>
      </w:tr>
      <w:tr>
        <w:tc>
          <w:tcPr/>
          <w:p>
            <w:pPr>
              <w:pStyle w:val="Compact"/>
            </w:pPr>
            <w:r>
              <w:t xml:space="preserve">1998</w:t>
            </w:r>
          </w:p>
        </w:tc>
        <w:tc>
          <w:tcPr/>
          <w:p>
            <w:pPr>
              <w:pStyle w:val="Compact"/>
              <w:jc w:val="right"/>
            </w:pPr>
            <w:r>
              <w:t xml:space="preserve">2,233,240</w:t>
            </w:r>
          </w:p>
        </w:tc>
        <w:tc>
          <w:tcPr/>
          <w:p>
            <w:pPr>
              <w:pStyle w:val="Compact"/>
              <w:jc w:val="right"/>
            </w:pPr>
            <w:r>
              <w:t xml:space="preserve">447,015</w:t>
            </w:r>
          </w:p>
        </w:tc>
        <w:tc>
          <w:tcPr/>
          <w:p>
            <w:pPr>
              <w:pStyle w:val="Compact"/>
              <w:jc w:val="right"/>
            </w:pPr>
            <w:r>
              <w:t xml:space="preserve">668 (0.1%)</w:t>
            </w:r>
          </w:p>
        </w:tc>
      </w:tr>
      <w:tr>
        <w:tc>
          <w:tcPr/>
          <w:p>
            <w:pPr>
              <w:pStyle w:val="Compact"/>
            </w:pPr>
            <w:r>
              <w:t xml:space="preserve">1999</w:t>
            </w:r>
          </w:p>
        </w:tc>
        <w:tc>
          <w:tcPr/>
          <w:p>
            <w:pPr>
              <w:pStyle w:val="Compact"/>
              <w:jc w:val="right"/>
            </w:pPr>
            <w:r>
              <w:t xml:space="preserve">4,612,976</w:t>
            </w:r>
          </w:p>
        </w:tc>
        <w:tc>
          <w:tcPr/>
          <w:p>
            <w:pPr>
              <w:pStyle w:val="Compact"/>
              <w:jc w:val="right"/>
            </w:pPr>
            <w:r>
              <w:t xml:space="preserve">822,719</w:t>
            </w:r>
          </w:p>
        </w:tc>
        <w:tc>
          <w:tcPr/>
          <w:p>
            <w:pPr>
              <w:pStyle w:val="Compact"/>
              <w:jc w:val="right"/>
            </w:pPr>
            <w:r>
              <w:t xml:space="preserve">4,322 (0.5%)</w:t>
            </w:r>
          </w:p>
        </w:tc>
      </w:tr>
      <w:tr>
        <w:tc>
          <w:tcPr/>
          <w:p>
            <w:pPr>
              <w:pStyle w:val="Compact"/>
            </w:pPr>
            <w:r>
              <w:t xml:space="preserve">2000</w:t>
            </w:r>
          </w:p>
        </w:tc>
        <w:tc>
          <w:tcPr/>
          <w:p>
            <w:pPr>
              <w:pStyle w:val="Compact"/>
              <w:jc w:val="right"/>
            </w:pPr>
            <w:r>
              <w:t xml:space="preserve">9,471,543</w:t>
            </w:r>
          </w:p>
        </w:tc>
        <w:tc>
          <w:tcPr/>
          <w:p>
            <w:pPr>
              <w:pStyle w:val="Compact"/>
              <w:jc w:val="right"/>
            </w:pPr>
            <w:r>
              <w:t xml:space="preserve">145,553</w:t>
            </w:r>
          </w:p>
        </w:tc>
        <w:tc>
          <w:tcPr/>
          <w:p>
            <w:pPr>
              <w:pStyle w:val="Compact"/>
              <w:jc w:val="right"/>
            </w:pPr>
            <w:r>
              <w:t xml:space="preserve">3,454 (2.4%)</w:t>
            </w:r>
          </w:p>
        </w:tc>
      </w:tr>
      <w:tr>
        <w:tc>
          <w:tcPr/>
          <w:p>
            <w:pPr>
              <w:pStyle w:val="Compact"/>
            </w:pPr>
            <w:r>
              <w:t xml:space="preserve">2001</w:t>
            </w:r>
          </w:p>
        </w:tc>
        <w:tc>
          <w:tcPr/>
          <w:p>
            <w:pPr>
              <w:pStyle w:val="Compact"/>
              <w:jc w:val="right"/>
            </w:pPr>
            <w:r>
              <w:t xml:space="preserve">4,550,999</w:t>
            </w:r>
          </w:p>
        </w:tc>
        <w:tc>
          <w:tcPr/>
          <w:p>
            <w:pPr>
              <w:pStyle w:val="Compact"/>
              <w:jc w:val="right"/>
            </w:pPr>
            <w:r>
              <w:t xml:space="preserve">323,112</w:t>
            </w:r>
          </w:p>
        </w:tc>
        <w:tc>
          <w:tcPr/>
          <w:p>
            <w:pPr>
              <w:pStyle w:val="Compact"/>
              <w:jc w:val="right"/>
            </w:pPr>
            <w:r>
              <w:t xml:space="preserve">79,193 (24.5%)</w:t>
            </w:r>
          </w:p>
        </w:tc>
      </w:tr>
      <w:tr>
        <w:tc>
          <w:tcPr/>
          <w:p>
            <w:pPr>
              <w:pStyle w:val="Compact"/>
            </w:pPr>
            <w:r>
              <w:rPr>
                <w:b/>
                <w:bCs/>
              </w:rPr>
              <w:t xml:space="preserve">Total</w:t>
            </w:r>
          </w:p>
        </w:tc>
        <w:tc>
          <w:tcPr/>
          <w:p>
            <w:pPr>
              <w:pStyle w:val="Compact"/>
              <w:jc w:val="right"/>
            </w:pPr>
            <w:r>
              <w:rPr>
                <w:b/>
                <w:bCs/>
              </w:rPr>
              <w:t xml:space="preserve">23,415,330</w:t>
            </w:r>
          </w:p>
        </w:tc>
        <w:tc>
          <w:tcPr/>
          <w:p>
            <w:pPr>
              <w:pStyle w:val="Compact"/>
              <w:jc w:val="right"/>
            </w:pPr>
            <w:r>
              <w:rPr>
                <w:b/>
                <w:bCs/>
              </w:rPr>
              <w:t xml:space="preserve">1,928,583</w:t>
            </w:r>
          </w:p>
        </w:tc>
        <w:tc>
          <w:tcPr/>
          <w:p>
            <w:pPr>
              <w:pStyle w:val="Compact"/>
              <w:jc w:val="right"/>
            </w:pPr>
            <w:r>
              <w:rPr>
                <w:b/>
                <w:bCs/>
              </w:rPr>
              <w:t xml:space="preserve">87,681 (4.5%)</w:t>
            </w:r>
          </w:p>
        </w:tc>
      </w:tr>
    </w:tbl>
    <w:p>
      <w:pPr>
        <w:pStyle w:val="BodyText"/>
      </w:pPr>
      <w:r>
        <w:rPr>
          <w:b/>
          <w:bCs/>
        </w:rPr>
        <w:t xml:space="preserve">Cumulative.</w:t>
      </w:r>
      <w:r>
        <w:t xml:space="preserve"> </w:t>
      </w:r>
      <w:r>
        <w:t xml:space="preserve">Across the 4 rounds shipped so far plus this one, this project has added 7,064,644 domain-year records worth 3,730,807.1248 equivalent-English,</w:t>
      </w:r>
      <w:r>
        <w:t xml:space="preserve"> </w:t>
      </w:r>
      <w:r>
        <w:rPr>
          <w:b/>
          <w:bCs/>
        </w:rPr>
        <w:t xml:space="preserve">27.9203%</w:t>
      </w:r>
      <w:r>
        <w:t xml:space="preserve"> </w:t>
      </w:r>
      <w:r>
        <w:t xml:space="preserve">of the 13,362,368.8792 the corpus holds today. Records / equivalent-English by round, each at the figure you ACCEPTED rather than the one submitted: round 1 1,429,524 / 756,559; round 3 151,949 / 91,815; round 4 946,266 / 603,402; round 5 2,608,322 / 1,566,230;</w:t>
      </w:r>
      <w:r>
        <w:t xml:space="preserve"> </w:t>
      </w:r>
      <w:r>
        <w:rPr>
          <w:b/>
          <w:bCs/>
        </w:rPr>
        <w:t xml:space="preserve">6, this one 1,928,583 / 712,802</w:t>
      </w:r>
      <w:r>
        <w:t xml:space="preserve">.</w:t>
      </w:r>
    </w:p>
    <w:bookmarkEnd w:id="9"/>
    <w:bookmarkStart w:id="10" w:name="X97d43d8967e7854bce97d77fa6012884c9a92a6"/>
    <w:p>
      <w:pPr>
        <w:pStyle w:val="Heading2"/>
      </w:pPr>
      <w:r>
        <w:t xml:space="preserve">2. Counting unit, normalisation and what gets dropped</w:t>
      </w:r>
    </w:p>
    <w:p>
      <w:pPr>
        <w:pStyle w:val="FirstParagraph"/>
      </w:pPr>
      <w:r>
        <w:rPr>
          <w:b/>
          <w:bCs/>
        </w:rPr>
        <w:t xml:space="preserve">The counting unit is the (registrable domain, year) pair</w:t>
      </w:r>
      <w:r>
        <w:t xml:space="preserve">, deduplicated on the lowercased line</w:t>
      </w:r>
      <w:r>
        <w:t xml:space="preserve"> </w:t>
      </w:r>
      <w:r>
        <w:t xml:space="preserve">within each year, which is your own unit. Every name from every source passes through one function</w:t>
      </w:r>
      <w:r>
        <w:t xml:space="preserve"> </w:t>
      </w:r>
      <w:r>
        <w:t xml:space="preserve">before reaching the database, so the dedup key is identical across sources.</w:t>
      </w:r>
    </w:p>
    <w:p>
      <w:pPr>
        <w:pStyle w:val="BodyText"/>
      </w:pPr>
      <w:r>
        <w:rPr>
          <w:b/>
          <w:bCs/>
        </w:rPr>
        <w:t xml:space="preserve">Normalisation, in order:</w:t>
      </w:r>
      <w:r>
        <w:t xml:space="preserve"> </w:t>
      </w:r>
      <w:r>
        <w:t xml:space="preserve">percent-decode, trim, lowercase; strip scheme,</w:t>
      </w:r>
      <w:r>
        <w:t xml:space="preserve"> </w:t>
      </w:r>
      <w:r>
        <w:rPr>
          <w:rStyle w:val="VerbatimChar"/>
        </w:rPr>
        <w:t xml:space="preserve">//</w:t>
      </w:r>
      <w:r>
        <w:t xml:space="preserve">, path, query,</w:t>
      </w:r>
      <w:r>
        <w:t xml:space="preserve"> </w:t>
      </w:r>
      <w:r>
        <w:t xml:space="preserve">fragment, userinfo and port; strip stray leading and trailing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but never a hyphen, which</w:t>
      </w:r>
      <w:r>
        <w:t xml:space="preserve"> </w:t>
      </w:r>
      <w:r>
        <w:t xml:space="preserve">would alter the name; then reduce to the registrable domain with a</w:t>
      </w:r>
      <w:r>
        <w:t xml:space="preserve"> </w:t>
      </w:r>
      <w:r>
        <w:rPr>
          <w:b/>
          <w:bCs/>
        </w:rPr>
        <w:t xml:space="preserve">pinned Public Suffix List</w:t>
      </w:r>
      <w:r>
        <w:t xml:space="preserve"> </w:t>
      </w:r>
      <w:r>
        <w:t xml:space="preserve">plus</w:t>
      </w:r>
      <w:r>
        <w:t xml:space="preserve"> </w:t>
      </w:r>
      <w:r>
        <w:t xml:space="preserve">historical ccTLDs, so</w:t>
      </w:r>
      <w:r>
        <w:t xml:space="preserve"> </w:t>
      </w:r>
      <w:r>
        <w:rPr>
          <w:rStyle w:val="VerbatimChar"/>
        </w:rPr>
        <w:t xml:space="preserve">ci.anchorage.ak.us</w:t>
      </w:r>
      <w:r>
        <w:t xml:space="preserve"> </w:t>
      </w:r>
      <w:r>
        <w:t xml:space="preserve">becomes</w:t>
      </w:r>
      <w:r>
        <w:t xml:space="preserve"> </w:t>
      </w:r>
      <w:r>
        <w:rPr>
          <w:rStyle w:val="VerbatimChar"/>
        </w:rPr>
        <w:t xml:space="preserve">anchorage.ak.us</w:t>
      </w:r>
      <w:r>
        <w:t xml:space="preserve"> </w:t>
      </w:r>
      <w:r>
        <w:t xml:space="preserve">while</w:t>
      </w:r>
      <w:r>
        <w:t xml:space="preserve"> </w:t>
      </w:r>
      <w:r>
        <w:rPr>
          <w:rStyle w:val="VerbatimChar"/>
        </w:rPr>
        <w:t xml:space="preserve">k12.ak.us</w:t>
      </w:r>
      <w:r>
        <w:t xml:space="preserve"> </w:t>
      </w:r>
      <w:r>
        <w:t xml:space="preserve">is refused as a</w:t>
      </w:r>
      <w:r>
        <w:t xml:space="preserve"> </w:t>
      </w:r>
      <w:r>
        <w:t xml:space="preserve">public suffix in its own right.</w:t>
      </w:r>
      <w:r>
        <w:t xml:space="preserve"> </w:t>
      </w:r>
      <w:r>
        <w:rPr>
          <w:b/>
          <w:bCs/>
        </w:rPr>
        <w:t xml:space="preserve">Validity:</w:t>
      </w:r>
      <w:r>
        <w:t xml:space="preserve"> </w:t>
      </w:r>
      <w:r>
        <w:t xml:space="preserve">a line is dropped if it is empty, an IPv4 literal, a</w:t>
      </w:r>
      <w:r>
        <w:t xml:space="preserve"> </w:t>
      </w:r>
      <w:r>
        <w:t xml:space="preserve">reverse-DNS zone, syntactically invalid, carries no known public suffix, is a bare public suffix, or</w:t>
      </w:r>
      <w:r>
        <w:t xml:space="preserve"> </w:t>
      </w:r>
      <w:r>
        <w:t xml:space="preserve">has an invalid character in the registered label.</w:t>
      </w:r>
      <w:r>
        <w:t xml:space="preserve"> </w:t>
      </w:r>
      <w:r>
        <w:rPr>
          <w:b/>
          <w:bCs/>
        </w:rPr>
        <w:t xml:space="preserve">Salvage</w:t>
      </w:r>
      <w:r>
        <w:t xml:space="preserve"> </w:t>
      </w:r>
      <w:r>
        <w:t xml:space="preserve">is the same operation applied to a dirty</w:t>
      </w:r>
      <w:r>
        <w:t xml:space="preserve"> </w:t>
      </w:r>
      <w:r>
        <w:t xml:space="preserve">line, so a URL or mail address is reduced rather than discarded.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across 131,820 ingest runs</w:t>
            </w:r>
          </w:p>
        </w:tc>
        <w:tc>
          <w:tcPr/>
          <w:p>
            <w:pPr>
              <w:pStyle w:val="Compact"/>
              <w:jc w:val="right"/>
            </w:pPr>
            <w:r>
              <w:t xml:space="preserve">records</w:t>
            </w:r>
          </w:p>
        </w:tc>
        <w:tc>
          <w:tcPr/>
          <w:p>
            <w:pPr>
              <w:pStyle w:val="Compact"/>
            </w:pPr>
          </w:p>
        </w:tc>
        <w:tc>
          <w:tcPr/>
          <w:p>
            <w:pPr>
              <w:pStyle w:val="Compact"/>
            </w:pPr>
          </w:p>
        </w:tc>
      </w:tr>
      <w:tr>
        <w:tc>
          <w:tcPr/>
          <w:p>
            <w:pPr>
              <w:pStyle w:val="Compact"/>
            </w:pPr>
            <w:r>
              <w:t xml:space="preserve">raw lines read</w:t>
            </w:r>
          </w:p>
        </w:tc>
        <w:tc>
          <w:tcPr/>
          <w:p>
            <w:pPr>
              <w:pStyle w:val="Compact"/>
              <w:jc w:val="right"/>
            </w:pPr>
            <w:r>
              <w:t xml:space="preserve">1,634,267,320</w:t>
            </w:r>
          </w:p>
        </w:tc>
        <w:tc>
          <w:tcPr/>
          <w:p>
            <w:pPr>
              <w:pStyle w:val="Compact"/>
            </w:pPr>
            <w:r>
              <w:rPr>
                <w:b/>
                <w:bCs/>
              </w:rPr>
              <w:t xml:space="preserve">salvaged</w:t>
            </w:r>
            <w:r>
              <w:t xml:space="preserve"> </w:t>
            </w:r>
            <w:r>
              <w:t xml:space="preserve">by normalisation</w:t>
            </w:r>
          </w:p>
        </w:tc>
        <w:tc>
          <w:tcPr/>
          <w:p>
            <w:pPr>
              <w:pStyle w:val="Compact"/>
              <w:jc w:val="right"/>
            </w:pPr>
            <w:r>
              <w:rPr>
                <w:b/>
                <w:bCs/>
              </w:rPr>
              <w:t xml:space="preserve">129,805,348</w:t>
            </w:r>
          </w:p>
        </w:tc>
      </w:tr>
      <w:tr>
        <w:tc>
          <w:tcPr/>
          <w:p>
            <w:pPr>
              <w:pStyle w:val="Compact"/>
            </w:pPr>
            <w:r>
              <w:t xml:space="preserve">staged records</w:t>
            </w:r>
          </w:p>
        </w:tc>
        <w:tc>
          <w:tcPr/>
          <w:p>
            <w:pPr>
              <w:pStyle w:val="Compact"/>
              <w:jc w:val="right"/>
            </w:pPr>
            <w:r>
              <w:t xml:space="preserve">213,024,888</w:t>
            </w:r>
          </w:p>
        </w:tc>
        <w:tc>
          <w:tcPr/>
          <w:p>
            <w:pPr>
              <w:pStyle w:val="Compact"/>
            </w:pPr>
            <w:r>
              <w:rPr>
                <w:b/>
                <w:bCs/>
              </w:rPr>
              <w:t xml:space="preserve">rejected</w:t>
            </w:r>
            <w:r>
              <w:t xml:space="preserve"> </w:t>
            </w:r>
            <w:r>
              <w:t xml:space="preserve">as invalid</w:t>
            </w:r>
          </w:p>
        </w:tc>
        <w:tc>
          <w:tcPr/>
          <w:p>
            <w:pPr>
              <w:pStyle w:val="Compact"/>
              <w:jc w:val="right"/>
            </w:pPr>
            <w:r>
              <w:rPr>
                <w:b/>
                <w:bCs/>
              </w:rPr>
              <w:t xml:space="preserve">2,836,010</w:t>
            </w:r>
          </w:p>
        </w:tc>
      </w:tr>
      <w:tr>
        <w:tc>
          <w:tcPr/>
          <w:p>
            <w:pPr>
              <w:pStyle w:val="Compact"/>
            </w:pPr>
            <w:r>
              <w:t xml:space="preserve">outside 1996-2001, never eligible</w:t>
            </w:r>
          </w:p>
        </w:tc>
        <w:tc>
          <w:tcPr/>
          <w:p>
            <w:pPr>
              <w:pStyle w:val="Compact"/>
              <w:jc w:val="right"/>
            </w:pPr>
            <w:r>
              <w:t xml:space="preserve">1,236,761,978</w:t>
            </w:r>
          </w:p>
        </w:tc>
        <w:tc>
          <w:tcPr/>
          <w:p>
            <w:pPr>
              <w:pStyle w:val="Compact"/>
            </w:pPr>
          </w:p>
        </w:tc>
        <w:tc>
          <w:tcPr/>
          <w:p>
            <w:pPr>
              <w:pStyle w:val="Compact"/>
            </w:pPr>
          </w:p>
        </w:tc>
      </w:tr>
    </w:tbl>
    <w:p>
      <w:pPr>
        <w:pStyle w:val="BodyText"/>
      </w:pPr>
      <w:r>
        <w:t xml:space="preserve">Reject reasons over the 1,299,177 dropped lines retained in the shipped audit CSVs:</w:t>
      </w:r>
      <w:r>
        <w:t xml:space="preserve"> </w:t>
      </w:r>
      <w:r>
        <w:rPr>
          <w:b/>
          <w:bCs/>
        </w:rPr>
        <w:t xml:space="preserve">IP address</w:t>
      </w:r>
      <w:r>
        <w:rPr>
          <w:b/>
          <w:bCs/>
        </w:rPr>
        <w:t xml:space="preserve"> </w:t>
      </w:r>
      <w:r>
        <w:rPr>
          <w:b/>
          <w:bCs/>
        </w:rPr>
        <w:t xml:space="preserve">95.41%</w:t>
      </w:r>
      <w:r>
        <w:t xml:space="preserve">, no known public suffix 2.92%, invalid hostname syntax 0.95%, bare public suffix 0.63%,</w:t>
      </w:r>
      <w:r>
        <w:t xml:space="preserve"> </w:t>
      </w:r>
      <w:r>
        <w:t xml:space="preserve">invalid character in the registered label 0.09%. The IP share is expected: link graphs and server logs</w:t>
      </w:r>
      <w:r>
        <w:t xml:space="preserve"> </w:t>
      </w:r>
      <w:r>
        <w:t xml:space="preserve">name hosts by address, and an address is not a domain under your counting unit.</w:t>
      </w:r>
    </w:p>
    <w:bookmarkEnd w:id="10"/>
    <w:bookmarkStart w:id="11" w:name="Xc35482c6228b136a53d29c337e576ea23306f86"/>
    <w:p>
      <w:pPr>
        <w:pStyle w:val="Heading2"/>
      </w:pPr>
      <w:r>
        <w:t xml:space="preserve">3. What dates each year, and the standard applied to each category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What dates a year</w:t>
            </w:r>
          </w:p>
        </w:tc>
        <w:tc>
          <w:tcPr/>
          <w:p>
            <w:pPr>
              <w:pStyle w:val="Compact"/>
              <w:jc w:val="right"/>
            </w:pPr>
            <w:r>
              <w:t xml:space="preserve">Net-new pairs</w:t>
            </w:r>
          </w:p>
        </w:tc>
      </w:tr>
      <w:tr>
        <w:tc>
          <w:tcPr/>
          <w:p>
            <w:pPr>
              <w:pStyle w:val="Compact"/>
            </w:pPr>
            <w:r>
              <w:t xml:space="preserve">the two archive engines, a bracketed-gap population and the candidate pool</w:t>
            </w:r>
          </w:p>
        </w:tc>
        <w:tc>
          <w:tcPr/>
          <w:p>
            <w:pPr>
              <w:pStyle w:val="Compact"/>
            </w:pPr>
            <w:r>
              <w:t xml:space="preserve">the Wayback capture timestamp, per domain and year</w:t>
            </w:r>
          </w:p>
        </w:tc>
        <w:tc>
          <w:tcPr/>
          <w:p>
            <w:pPr>
              <w:pStyle w:val="Compact"/>
              <w:jc w:val="right"/>
            </w:pPr>
            <w:r>
              <w:t xml:space="preserve">79,186</w:t>
            </w:r>
          </w:p>
        </w:tc>
      </w:tr>
      <w:tr>
        <w:tc>
          <w:tcPr/>
          <w:p>
            <w:pPr>
              <w:pStyle w:val="Compact"/>
            </w:pPr>
            <w:r>
              <w:t xml:space="preserve">the RDAP sweep over the candidate pool</w:t>
            </w:r>
          </w:p>
        </w:tc>
        <w:tc>
          <w:tcPr/>
          <w:p>
            <w:pPr>
              <w:pStyle w:val="Compact"/>
            </w:pPr>
            <w:r>
              <w:t xml:space="preserve">the registry's own creation date, which dates that year and no other</w:t>
            </w:r>
          </w:p>
        </w:tc>
        <w:tc>
          <w:tcPr/>
          <w:p>
            <w:pPr>
              <w:pStyle w:val="Compact"/>
              <w:jc w:val="right"/>
            </w:pPr>
            <w:r>
              <w:t xml:space="preserve">581,458</w:t>
            </w:r>
          </w:p>
        </w:tc>
      </w:tr>
    </w:tbl>
    <w:p>
      <w:pPr>
        <w:pStyle w:val="BodyText"/>
      </w:pPr>
      <w:r>
        <w:rPr>
          <w:b/>
          <w:bCs/>
        </w:rPr>
        <w:t xml:space="preserve">Both routes are self-dating and take no corroboration split</w:t>
      </w:r>
      <w:r>
        <w:t xml:space="preserve">, being records of the thing itself</w:t>
      </w:r>
      <w:r>
        <w:t xml:space="preserve"> </w:t>
      </w:r>
      <w:r>
        <w:t xml:space="preserve">rather than a description of it. The registry route is deliberately under-claimed:</w:t>
      </w:r>
      <w:r>
        <w:t xml:space="preserve"> </w:t>
      </w:r>
      <w:r>
        <w:rPr>
          <w:b/>
          <w:bCs/>
        </w:rPr>
        <w:t xml:space="preserve">a creation date</w:t>
      </w:r>
      <w:r>
        <w:rPr>
          <w:b/>
          <w:bCs/>
        </w:rPr>
        <w:t xml:space="preserve"> </w:t>
      </w:r>
      <w:r>
        <w:rPr>
          <w:b/>
          <w:bCs/>
        </w:rPr>
        <w:t xml:space="preserve">writes its own year and no other</w:t>
      </w:r>
      <w:r>
        <w:t xml:space="preserve">, per your rule 6, so a domain created in 1997 and live in 2001 earns</w:t>
      </w:r>
      <w:r>
        <w:t xml:space="preserve"> </w:t>
      </w:r>
      <w:r>
        <w:t xml:space="preserve">1997 here and must earn the other four from a capture.</w:t>
      </w:r>
    </w:p>
    <w:p>
      <w:pPr>
        <w:pStyle w:val="BodyText"/>
      </w:pPr>
      <w:r>
        <w:rPr>
          <w:b/>
          <w:bCs/>
        </w:rPr>
        <w:t xml:space="preserve">The standard, by category.</w:t>
      </w:r>
      <w:r>
        <w:t xml:space="preserve"> </w:t>
      </w:r>
      <w:r>
        <w:t xml:space="preserve">Master-eligible classes are</w:t>
      </w:r>
      <w:r>
        <w:t xml:space="preserve"> </w:t>
      </w:r>
      <w:r>
        <w:rPr>
          <w:rStyle w:val="VerbatimChar"/>
        </w:rPr>
        <w:t xml:space="preserve">artifact_listing`, `cdx_timestamp`, `dated_directory`, `link_source`, `whois_creation</w:t>
      </w:r>
      <w:r>
        <w:t xml:space="preserve">, each a machine-written</w:t>
      </w:r>
      <w:r>
        <w:t xml:space="preserve"> </w:t>
      </w:r>
      <w:r>
        <w:t xml:space="preserve">record asserting a state at an instant the artifact itself stamps. Anything a human typed is</w:t>
      </w:r>
      <w:r>
        <w:t xml:space="preserve"> </w:t>
      </w:r>
      <w:r>
        <w:t xml:space="preserve">candidate-only until another source dates that domain first, and</w:t>
      </w:r>
      <w:r>
        <w:t xml:space="preserve"> </w:t>
      </w:r>
      <w:r>
        <w:rPr>
          <w:rStyle w:val="VerbatimChar"/>
        </w:rPr>
        <w:t xml:space="preserve">link_target</w:t>
      </w:r>
      <w:r>
        <w:t xml:space="preserve"> </w:t>
      </w:r>
      <w:r>
        <w:t xml:space="preserve">never dates a year at</w:t>
      </w:r>
      <w:r>
        <w:t xml:space="preserve"> </w:t>
      </w:r>
      <w:r>
        <w:t xml:space="preserve">all. A master-eligible class also needs a written human decision before it can assign a year, so</w:t>
      </w:r>
      <w:r>
        <w:t xml:space="preserve"> </w:t>
      </w:r>
      <w:r>
        <w:t xml:space="preserve">nothing enters the annual files on an agent's judgement.</w:t>
      </w:r>
    </w:p>
    <w:p>
      <w:pPr>
        <w:pStyle w:val="BodyText"/>
      </w:pPr>
      <w:r>
        <w:rPr>
          <w:b/>
          <w:bCs/>
        </w:rPr>
        <w:t xml:space="preserve">Structurally enforced.</w:t>
      </w:r>
      <w:r>
        <w:t xml:space="preserve"> </w:t>
      </w:r>
      <w:r>
        <w:rPr>
          <w:rStyle w:val="VerbatimChar"/>
        </w:rPr>
        <w:t xml:space="preserve">domain_year.evidence_id</w:t>
      </w:r>
      <w:r>
        <w:t xml:space="preserve"> </w:t>
      </w:r>
      <w:r>
        <w:t xml:space="preserve">is</w:t>
      </w:r>
      <w:r>
        <w:t xml:space="preserve"> </w:t>
      </w:r>
      <w:r>
        <w:rPr>
          <w:rStyle w:val="VerbatimChar"/>
        </w:rPr>
        <w:t xml:space="preserve">NOT NULL</w:t>
      </w:r>
      <w:r>
        <w:t xml:space="preserve"> </w:t>
      </w:r>
      <w:r>
        <w:t xml:space="preserve">with a foreign key into</w:t>
      </w:r>
      <w:r>
        <w:t xml:space="preserve"> </w:t>
      </w:r>
      <w:r>
        <w:rPr>
          <w:rStyle w:val="VerbatimChar"/>
        </w:rPr>
        <w:t xml:space="preserve">evidence</w:t>
      </w:r>
      <w:r>
        <w:t xml:space="preserve">, so no code path can write a year without naming the observation behind it, and twelve</w:t>
      </w:r>
      <w:r>
        <w:t xml:space="preserve"> </w:t>
      </w:r>
      <w:r>
        <w:t xml:space="preserve">invariants check that before every commit and again inside the archive. Tested by accident this round:</w:t>
      </w:r>
      <w:r>
        <w:t xml:space="preserve"> </w:t>
      </w:r>
      <w:r>
        <w:t xml:space="preserve">the candidate pool accumulated 575,417 strings under namespaces that never allowed arbitrary</w:t>
      </w:r>
      <w:r>
        <w:t xml:space="preserve"> </w:t>
      </w:r>
      <w:r>
        <w:t xml:space="preserve">registration and</w:t>
      </w:r>
      <w:r>
        <w:t xml:space="preserve"> </w:t>
      </w:r>
      <w:r>
        <w:rPr>
          <w:b/>
          <w:bCs/>
        </w:rPr>
        <w:t xml:space="preserve">not one reached an annual file</w:t>
      </w:r>
      <w:r>
        <w:t xml:space="preserve">.</w:t>
      </w:r>
    </w:p>
    <w:bookmarkEnd w:id="11"/>
    <w:bookmarkStart w:id="12" w:name="X1cca92461b7659f0954c32c48373b25caef14b1"/>
    <w:p>
      <w:pPr>
        <w:pStyle w:val="Heading2"/>
      </w:pPr>
      <w:r>
        <w:t xml:space="preserve">4. Source contributions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Evidence type</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rPr>
                <w:rStyle w:val="VerbatimChar"/>
              </w:rPr>
              <w:t xml:space="preserve">rdap_snapshot</w:t>
            </w:r>
          </w:p>
        </w:tc>
        <w:tc>
          <w:tcPr/>
          <w:p>
            <w:pPr>
              <w:pStyle w:val="Compact"/>
            </w:pPr>
            <w:r>
              <w:rPr>
                <w:rStyle w:val="VerbatimChar"/>
              </w:rPr>
              <w:t xml:space="preserve">whois_creation</w:t>
            </w:r>
          </w:p>
        </w:tc>
        <w:tc>
          <w:tcPr/>
          <w:p>
            <w:pPr>
              <w:pStyle w:val="Compact"/>
              <w:jc w:val="right"/>
            </w:pPr>
            <w:r>
              <w:t xml:space="preserve">581,458</w:t>
            </w:r>
          </w:p>
        </w:tc>
        <w:tc>
          <w:tcPr/>
          <w:p>
            <w:pPr>
              <w:pStyle w:val="Compact"/>
              <w:jc w:val="right"/>
            </w:pPr>
            <w:r>
              <w:t xml:space="preserve">357,755.3</w:t>
            </w:r>
          </w:p>
        </w:tc>
      </w:tr>
      <w:tr>
        <w:tc>
          <w:tcPr/>
          <w:p>
            <w:pPr>
              <w:pStyle w:val="Compact"/>
            </w:pPr>
            <w:r>
              <w:rPr>
                <w:rStyle w:val="VerbatimChar"/>
              </w:rPr>
              <w:t xml:space="preserve">ripe_dbase_1999</w:t>
            </w:r>
          </w:p>
        </w:tc>
        <w:tc>
          <w:tcPr/>
          <w:p>
            <w:pPr>
              <w:pStyle w:val="Compact"/>
            </w:pPr>
            <w:r>
              <w:rPr>
                <w:rStyle w:val="VerbatimChar"/>
              </w:rPr>
              <w:t xml:space="preserve">artifact_listing</w:t>
            </w:r>
          </w:p>
        </w:tc>
        <w:tc>
          <w:tcPr/>
          <w:p>
            <w:pPr>
              <w:pStyle w:val="Compact"/>
              <w:jc w:val="right"/>
            </w:pPr>
            <w:r>
              <w:t xml:space="preserve">641,038</w:t>
            </w:r>
          </w:p>
        </w:tc>
        <w:tc>
          <w:tcPr/>
          <w:p>
            <w:pPr>
              <w:pStyle w:val="Compact"/>
              <w:jc w:val="right"/>
            </w:pPr>
            <w:r>
              <w:t xml:space="preserve">90,770.3</w:t>
            </w:r>
          </w:p>
        </w:tc>
      </w:tr>
      <w:tr>
        <w:tc>
          <w:tcPr/>
          <w:p>
            <w:pPr>
              <w:pStyle w:val="Compact"/>
            </w:pPr>
            <w:r>
              <w:rPr>
                <w:rStyle w:val="VerbatimChar"/>
              </w:rPr>
              <w:t xml:space="preserve">ia_cdx_bulk</w:t>
            </w:r>
          </w:p>
        </w:tc>
        <w:tc>
          <w:tcPr/>
          <w:p>
            <w:pPr>
              <w:pStyle w:val="Compact"/>
            </w:pPr>
            <w:r>
              <w:rPr>
                <w:rStyle w:val="VerbatimChar"/>
              </w:rPr>
              <w:t xml:space="preserve">cdx_timestamp</w:t>
            </w:r>
          </w:p>
        </w:tc>
        <w:tc>
          <w:tcPr/>
          <w:p>
            <w:pPr>
              <w:pStyle w:val="Compact"/>
              <w:jc w:val="right"/>
            </w:pPr>
            <w:r>
              <w:t xml:space="preserve">79,186</w:t>
            </w:r>
          </w:p>
        </w:tc>
        <w:tc>
          <w:tcPr/>
          <w:p>
            <w:pPr>
              <w:pStyle w:val="Compact"/>
              <w:jc w:val="right"/>
            </w:pPr>
            <w:r>
              <w:t xml:space="preserve">65,968.5</w:t>
            </w:r>
          </w:p>
        </w:tc>
      </w:tr>
      <w:tr>
        <w:tc>
          <w:tcPr/>
          <w:p>
            <w:pPr>
              <w:pStyle w:val="Compact"/>
            </w:pPr>
            <w:r>
              <w:rPr>
                <w:rStyle w:val="VerbatimChar"/>
              </w:rPr>
              <w:t xml:space="preserve">ripe_dbase_changed</w:t>
            </w:r>
          </w:p>
        </w:tc>
        <w:tc>
          <w:tcPr/>
          <w:p>
            <w:pPr>
              <w:pStyle w:val="Compact"/>
            </w:pPr>
            <w:r>
              <w:rPr>
                <w:rStyle w:val="VerbatimChar"/>
              </w:rPr>
              <w:t xml:space="preserve">artifact_listing</w:t>
            </w:r>
          </w:p>
        </w:tc>
        <w:tc>
          <w:tcPr/>
          <w:p>
            <w:pPr>
              <w:pStyle w:val="Compact"/>
              <w:jc w:val="right"/>
            </w:pPr>
            <w:r>
              <w:t xml:space="preserve">399,401</w:t>
            </w:r>
          </w:p>
        </w:tc>
        <w:tc>
          <w:tcPr/>
          <w:p>
            <w:pPr>
              <w:pStyle w:val="Compact"/>
              <w:jc w:val="right"/>
            </w:pPr>
            <w:r>
              <w:t xml:space="preserve">58,398.0</w:t>
            </w:r>
          </w:p>
        </w:tc>
      </w:tr>
      <w:tr>
        <w:tc>
          <w:tcPr/>
          <w:p>
            <w:pPr>
              <w:pStyle w:val="Compact"/>
            </w:pPr>
            <w:r>
              <w:rPr>
                <w:rStyle w:val="VerbatimChar"/>
              </w:rPr>
              <w:t xml:space="preserve">usenet_announce</w:t>
            </w:r>
          </w:p>
        </w:tc>
        <w:tc>
          <w:tcPr/>
          <w:p>
            <w:pPr>
              <w:pStyle w:val="Compact"/>
            </w:pPr>
            <w:r>
              <w:rPr>
                <w:rStyle w:val="VerbatimChar"/>
              </w:rPr>
              <w:t xml:space="preserve">dated_directory</w:t>
            </w:r>
          </w:p>
        </w:tc>
        <w:tc>
          <w:tcPr/>
          <w:p>
            <w:pPr>
              <w:pStyle w:val="Compact"/>
              <w:jc w:val="right"/>
            </w:pPr>
            <w:r>
              <w:t xml:space="preserve">106,915</w:t>
            </w:r>
          </w:p>
        </w:tc>
        <w:tc>
          <w:tcPr/>
          <w:p>
            <w:pPr>
              <w:pStyle w:val="Compact"/>
              <w:jc w:val="right"/>
            </w:pPr>
            <w:r>
              <w:t xml:space="preserve">52,774.6</w:t>
            </w:r>
          </w:p>
        </w:tc>
      </w:tr>
      <w:tr>
        <w:tc>
          <w:tcPr/>
          <w:p>
            <w:pPr>
              <w:pStyle w:val="Compact"/>
            </w:pPr>
            <w:r>
              <w:rPr>
                <w:rStyle w:val="VerbatimChar"/>
              </w:rPr>
              <w:t xml:space="preserve">iedr_register</w:t>
            </w:r>
          </w:p>
        </w:tc>
        <w:tc>
          <w:tcPr/>
          <w:p>
            <w:pPr>
              <w:pStyle w:val="Compact"/>
            </w:pPr>
            <w:r>
              <w:rPr>
                <w:rStyle w:val="VerbatimChar"/>
              </w:rPr>
              <w:t xml:space="preserve">artifact_listing</w:t>
            </w:r>
          </w:p>
        </w:tc>
        <w:tc>
          <w:tcPr/>
          <w:p>
            <w:pPr>
              <w:pStyle w:val="Compact"/>
              <w:jc w:val="right"/>
            </w:pPr>
            <w:r>
              <w:t xml:space="preserve">19,263</w:t>
            </w:r>
          </w:p>
        </w:tc>
        <w:tc>
          <w:tcPr/>
          <w:p>
            <w:pPr>
              <w:pStyle w:val="Compact"/>
              <w:jc w:val="right"/>
            </w:pPr>
            <w:r>
              <w:t xml:space="preserve">18,769.9</w:t>
            </w:r>
          </w:p>
        </w:tc>
      </w:tr>
      <w:tr>
        <w:tc>
          <w:tcPr/>
          <w:p>
            <w:pPr>
              <w:pStyle w:val="Compact"/>
            </w:pPr>
            <w:r>
              <w:rPr>
                <w:rStyle w:val="VerbatimChar"/>
              </w:rPr>
              <w:t xml:space="preserve">us_domain_delegated</w:t>
            </w:r>
          </w:p>
        </w:tc>
        <w:tc>
          <w:tcPr/>
          <w:p>
            <w:pPr>
              <w:pStyle w:val="Compact"/>
            </w:pPr>
            <w:r>
              <w:rPr>
                <w:rStyle w:val="VerbatimChar"/>
              </w:rPr>
              <w:t xml:space="preserve">artifact_listing</w:t>
            </w:r>
          </w:p>
        </w:tc>
        <w:tc>
          <w:tcPr/>
          <w:p>
            <w:pPr>
              <w:pStyle w:val="Compact"/>
              <w:jc w:val="right"/>
            </w:pPr>
            <w:r>
              <w:t xml:space="preserve">16,384</w:t>
            </w:r>
          </w:p>
        </w:tc>
        <w:tc>
          <w:tcPr/>
          <w:p>
            <w:pPr>
              <w:pStyle w:val="Compact"/>
              <w:jc w:val="right"/>
            </w:pPr>
            <w:r>
              <w:t xml:space="preserve">15,173.2</w:t>
            </w:r>
          </w:p>
        </w:tc>
      </w:tr>
      <w:tr>
        <w:tc>
          <w:tcPr/>
          <w:p>
            <w:pPr>
              <w:pStyle w:val="Compact"/>
            </w:pPr>
            <w:r>
              <w:rPr>
                <w:rStyle w:val="VerbatimChar"/>
              </w:rPr>
              <w:t xml:space="preserve">namewinner_expiring</w:t>
            </w:r>
          </w:p>
        </w:tc>
        <w:tc>
          <w:tcPr/>
          <w:p>
            <w:pPr>
              <w:pStyle w:val="Compact"/>
            </w:pPr>
            <w:r>
              <w:rPr>
                <w:rStyle w:val="VerbatimChar"/>
              </w:rPr>
              <w:t xml:space="preserve">artifact_listing</w:t>
            </w:r>
          </w:p>
        </w:tc>
        <w:tc>
          <w:tcPr/>
          <w:p>
            <w:pPr>
              <w:pStyle w:val="Compact"/>
              <w:jc w:val="right"/>
            </w:pPr>
            <w:r>
              <w:t xml:space="preserve">18,937</w:t>
            </w:r>
          </w:p>
        </w:tc>
        <w:tc>
          <w:tcPr/>
          <w:p>
            <w:pPr>
              <w:pStyle w:val="Compact"/>
              <w:jc w:val="right"/>
            </w:pPr>
            <w:r>
              <w:t xml:space="preserve">11,546.3</w:t>
            </w:r>
          </w:p>
        </w:tc>
      </w:tr>
      <w:tr>
        <w:tc>
          <w:tcPr/>
          <w:p>
            <w:pPr>
              <w:pStyle w:val="Compact"/>
            </w:pPr>
            <w:r>
              <w:rPr>
                <w:rStyle w:val="VerbatimChar"/>
              </w:rPr>
              <w:t xml:space="preserve">squidguard_2001_blacklist</w:t>
            </w:r>
          </w:p>
        </w:tc>
        <w:tc>
          <w:tcPr/>
          <w:p>
            <w:pPr>
              <w:pStyle w:val="Compact"/>
            </w:pPr>
            <w:r>
              <w:rPr>
                <w:rStyle w:val="VerbatimChar"/>
              </w:rPr>
              <w:t xml:space="preserve">artifact_listing</w:t>
            </w:r>
          </w:p>
        </w:tc>
        <w:tc>
          <w:tcPr/>
          <w:p>
            <w:pPr>
              <w:pStyle w:val="Compact"/>
              <w:jc w:val="right"/>
            </w:pPr>
            <w:r>
              <w:t xml:space="preserve">18,000</w:t>
            </w:r>
          </w:p>
        </w:tc>
        <w:tc>
          <w:tcPr/>
          <w:p>
            <w:pPr>
              <w:pStyle w:val="Compact"/>
              <w:jc w:val="right"/>
            </w:pPr>
            <w:r>
              <w:t xml:space="preserve">10,376.9</w:t>
            </w:r>
          </w:p>
        </w:tc>
      </w:tr>
      <w:tr>
        <w:tc>
          <w:tcPr/>
          <w:p>
            <w:pPr>
              <w:pStyle w:val="Compact"/>
            </w:pPr>
            <w:r>
              <w:rPr>
                <w:rStyle w:val="VerbatimChar"/>
              </w:rPr>
              <w:t xml:space="preserve">internic_zone</w:t>
            </w:r>
          </w:p>
        </w:tc>
        <w:tc>
          <w:tcPr/>
          <w:p>
            <w:pPr>
              <w:pStyle w:val="Compact"/>
            </w:pPr>
            <w:r>
              <w:rPr>
                <w:rStyle w:val="VerbatimChar"/>
              </w:rPr>
              <w:t xml:space="preserve">artifact_listing</w:t>
            </w:r>
          </w:p>
        </w:tc>
        <w:tc>
          <w:tcPr/>
          <w:p>
            <w:pPr>
              <w:pStyle w:val="Compact"/>
              <w:jc w:val="right"/>
            </w:pPr>
            <w:r>
              <w:t xml:space="preserve">12,503</w:t>
            </w:r>
          </w:p>
        </w:tc>
        <w:tc>
          <w:tcPr/>
          <w:p>
            <w:pPr>
              <w:pStyle w:val="Compact"/>
              <w:jc w:val="right"/>
            </w:pPr>
            <w:r>
              <w:t xml:space="preserve">8,993.1</w:t>
            </w:r>
          </w:p>
        </w:tc>
      </w:tr>
      <w:tr>
        <w:tc>
          <w:tcPr/>
          <w:p>
            <w:pPr>
              <w:pStyle w:val="Compact"/>
            </w:pPr>
            <w:r>
              <w:rPr>
                <w:rStyle w:val="VerbatimChar"/>
              </w:rPr>
              <w:t xml:space="preserve">can_domain_registry_notices</w:t>
            </w:r>
          </w:p>
        </w:tc>
        <w:tc>
          <w:tcPr/>
          <w:p>
            <w:pPr>
              <w:pStyle w:val="Compact"/>
            </w:pPr>
            <w:r>
              <w:rPr>
                <w:rStyle w:val="VerbatimChar"/>
              </w:rPr>
              <w:t xml:space="preserve">whois_creation</w:t>
            </w:r>
          </w:p>
        </w:tc>
        <w:tc>
          <w:tcPr/>
          <w:p>
            <w:pPr>
              <w:pStyle w:val="Compact"/>
              <w:jc w:val="right"/>
            </w:pPr>
            <w:r>
              <w:t xml:space="preserve">9,485</w:t>
            </w:r>
          </w:p>
        </w:tc>
        <w:tc>
          <w:tcPr/>
          <w:p>
            <w:pPr>
              <w:pStyle w:val="Compact"/>
              <w:jc w:val="right"/>
            </w:pPr>
            <w:r>
              <w:t xml:space="preserve">7,934.2</w:t>
            </w:r>
          </w:p>
        </w:tc>
      </w:tr>
      <w:tr>
        <w:tc>
          <w:tcPr/>
          <w:p>
            <w:pPr>
              <w:pStyle w:val="Compact"/>
            </w:pPr>
            <w:r>
              <w:rPr>
                <w:rStyle w:val="VerbatimChar"/>
              </w:rPr>
              <w:t xml:space="preserve">ukwa_geoindex</w:t>
            </w:r>
          </w:p>
        </w:tc>
        <w:tc>
          <w:tcPr/>
          <w:p>
            <w:pPr>
              <w:pStyle w:val="Compact"/>
            </w:pPr>
            <w:r>
              <w:rPr>
                <w:rStyle w:val="VerbatimChar"/>
              </w:rPr>
              <w:t xml:space="preserve">cdx_timestamp</w:t>
            </w:r>
          </w:p>
        </w:tc>
        <w:tc>
          <w:tcPr/>
          <w:p>
            <w:pPr>
              <w:pStyle w:val="Compact"/>
              <w:jc w:val="right"/>
            </w:pPr>
            <w:r>
              <w:t xml:space="preserve">4,591</w:t>
            </w:r>
          </w:p>
        </w:tc>
        <w:tc>
          <w:tcPr/>
          <w:p>
            <w:pPr>
              <w:pStyle w:val="Compact"/>
              <w:jc w:val="right"/>
            </w:pPr>
            <w:r>
              <w:t xml:space="preserve">4,493.0</w:t>
            </w:r>
          </w:p>
        </w:tc>
      </w:tr>
      <w:tr>
        <w:tc>
          <w:tcPr/>
          <w:p>
            <w:pPr>
              <w:pStyle w:val="Compact"/>
            </w:pPr>
            <w:r>
              <w:rPr>
                <w:rStyle w:val="VerbatimChar"/>
              </w:rPr>
              <w:t xml:space="preserve">usenet_address</w:t>
            </w:r>
          </w:p>
        </w:tc>
        <w:tc>
          <w:tcPr/>
          <w:p>
            <w:pPr>
              <w:pStyle w:val="Compact"/>
            </w:pPr>
            <w:r>
              <w:rPr>
                <w:rStyle w:val="VerbatimChar"/>
              </w:rPr>
              <w:t xml:space="preserve">dated_directory</w:t>
            </w:r>
          </w:p>
        </w:tc>
        <w:tc>
          <w:tcPr/>
          <w:p>
            <w:pPr>
              <w:pStyle w:val="Compact"/>
              <w:jc w:val="right"/>
            </w:pPr>
            <w:r>
              <w:t xml:space="preserve">5,119</w:t>
            </w:r>
          </w:p>
        </w:tc>
        <w:tc>
          <w:tcPr/>
          <w:p>
            <w:pPr>
              <w:pStyle w:val="Compact"/>
              <w:jc w:val="right"/>
            </w:pPr>
            <w:r>
              <w:t xml:space="preserve">3,811.2</w:t>
            </w:r>
          </w:p>
        </w:tc>
      </w:tr>
      <w:tr>
        <w:tc>
          <w:tcPr/>
          <w:p>
            <w:pPr>
              <w:pStyle w:val="Compact"/>
            </w:pPr>
            <w:r>
              <w:rPr>
                <w:rStyle w:val="VerbatimChar"/>
              </w:rPr>
              <w:t xml:space="preserve">usenet_bare</w:t>
            </w:r>
          </w:p>
        </w:tc>
        <w:tc>
          <w:tcPr/>
          <w:p>
            <w:pPr>
              <w:pStyle w:val="Compact"/>
            </w:pPr>
            <w:r>
              <w:rPr>
                <w:rStyle w:val="VerbatimChar"/>
              </w:rPr>
              <w:t xml:space="preserve">dated_directory</w:t>
            </w:r>
          </w:p>
        </w:tc>
        <w:tc>
          <w:tcPr/>
          <w:p>
            <w:pPr>
              <w:pStyle w:val="Compact"/>
              <w:jc w:val="right"/>
            </w:pPr>
            <w:r>
              <w:t xml:space="preserve">3,467</w:t>
            </w:r>
          </w:p>
        </w:tc>
        <w:tc>
          <w:tcPr/>
          <w:p>
            <w:pPr>
              <w:pStyle w:val="Compact"/>
              <w:jc w:val="right"/>
            </w:pPr>
            <w:r>
              <w:t xml:space="preserve">2,856.8</w:t>
            </w:r>
          </w:p>
        </w:tc>
      </w:tr>
      <w:tr>
        <w:tc>
          <w:tcPr/>
          <w:p>
            <w:pPr>
              <w:pStyle w:val="Compact"/>
            </w:pPr>
            <w:r>
              <w:rPr>
                <w:rStyle w:val="VerbatimChar"/>
              </w:rPr>
              <w:t xml:space="preserve">cctld_register_listing_inbody</w:t>
            </w:r>
          </w:p>
        </w:tc>
        <w:tc>
          <w:tcPr/>
          <w:p>
            <w:pPr>
              <w:pStyle w:val="Compact"/>
            </w:pPr>
            <w:r>
              <w:rPr>
                <w:rStyle w:val="VerbatimChar"/>
              </w:rPr>
              <w:t xml:space="preserve">artifact_listing</w:t>
            </w:r>
          </w:p>
        </w:tc>
        <w:tc>
          <w:tcPr/>
          <w:p>
            <w:pPr>
              <w:pStyle w:val="Compact"/>
              <w:jc w:val="right"/>
            </w:pPr>
            <w:r>
              <w:t xml:space="preserve">10,177</w:t>
            </w:r>
          </w:p>
        </w:tc>
        <w:tc>
          <w:tcPr/>
          <w:p>
            <w:pPr>
              <w:pStyle w:val="Compact"/>
              <w:jc w:val="right"/>
            </w:pPr>
            <w:r>
              <w:t xml:space="preserve">1,609.6</w:t>
            </w:r>
          </w:p>
        </w:tc>
      </w:tr>
      <w:tr>
        <w:tc>
          <w:tcPr/>
          <w:p>
            <w:pPr>
              <w:pStyle w:val="Compact"/>
            </w:pPr>
            <w:r>
              <w:rPr>
                <w:rStyle w:val="VerbatimChar"/>
              </w:rPr>
              <w:t xml:space="preserve">dartmouth_bfs_seed</w:t>
            </w:r>
          </w:p>
        </w:tc>
        <w:tc>
          <w:tcPr/>
          <w:p>
            <w:pPr>
              <w:pStyle w:val="Compact"/>
            </w:pPr>
            <w:r>
              <w:rPr>
                <w:rStyle w:val="VerbatimChar"/>
              </w:rPr>
              <w:t xml:space="preserve">cdx_timestamp</w:t>
            </w:r>
          </w:p>
        </w:tc>
        <w:tc>
          <w:tcPr/>
          <w:p>
            <w:pPr>
              <w:pStyle w:val="Compact"/>
              <w:jc w:val="right"/>
            </w:pPr>
            <w:r>
              <w:t xml:space="preserve">2,442</w:t>
            </w:r>
          </w:p>
        </w:tc>
        <w:tc>
          <w:tcPr/>
          <w:p>
            <w:pPr>
              <w:pStyle w:val="Compact"/>
              <w:jc w:val="right"/>
            </w:pPr>
            <w:r>
              <w:t xml:space="preserve">1,408.6</w:t>
            </w:r>
          </w:p>
        </w:tc>
      </w:tr>
      <w:tr>
        <w:tc>
          <w:tcPr/>
          <w:p>
            <w:pPr>
              <w:pStyle w:val="Compact"/>
            </w:pPr>
            <w:r>
              <w:rPr>
                <w:i/>
                <w:iCs/>
              </w:rPr>
              <w:t xml:space="preserve">5 further sources, each under 0.1% of the round</w:t>
            </w:r>
          </w:p>
        </w:tc>
        <w:tc>
          <w:tcPr/>
          <w:p>
            <w:pPr>
              <w:pStyle w:val="Compact"/>
            </w:pPr>
          </w:p>
        </w:tc>
        <w:tc>
          <w:tcPr/>
          <w:p>
            <w:pPr>
              <w:pStyle w:val="Compact"/>
              <w:jc w:val="right"/>
            </w:pPr>
            <w:r>
              <w:t xml:space="preserve">217</w:t>
            </w:r>
          </w:p>
        </w:tc>
        <w:tc>
          <w:tcPr/>
          <w:p>
            <w:pPr>
              <w:pStyle w:val="Compact"/>
              <w:jc w:val="right"/>
            </w:pPr>
            <w:r>
              <w:t xml:space="preserve">162.2</w:t>
            </w:r>
          </w:p>
        </w:tc>
      </w:tr>
      <w:tr>
        <w:tc>
          <w:tcPr/>
          <w:p>
            <w:pPr>
              <w:pStyle w:val="Compact"/>
            </w:pPr>
            <w:r>
              <w:rPr>
                <w:b/>
                <w:bCs/>
              </w:rPr>
              <w:t xml:space="preserve">Total</w:t>
            </w:r>
          </w:p>
        </w:tc>
        <w:tc>
          <w:tcPr/>
          <w:p>
            <w:pPr>
              <w:pStyle w:val="Compact"/>
            </w:pPr>
          </w:p>
        </w:tc>
        <w:tc>
          <w:tcPr/>
          <w:p>
            <w:pPr>
              <w:pStyle w:val="Compact"/>
              <w:jc w:val="right"/>
            </w:pPr>
            <w:r>
              <w:rPr>
                <w:b/>
                <w:bCs/>
              </w:rPr>
              <w:t xml:space="preserve">1,928,583</w:t>
            </w:r>
          </w:p>
        </w:tc>
        <w:tc>
          <w:tcPr/>
          <w:p>
            <w:pPr>
              <w:pStyle w:val="Compact"/>
              <w:jc w:val="right"/>
            </w:pPr>
            <w:r>
              <w:rPr>
                <w:b/>
                <w:bCs/>
              </w:rPr>
              <w:t xml:space="preserve">712,801.6</w:t>
            </w:r>
          </w:p>
        </w:tc>
      </w:tr>
    </w:tbl>
    <w:p>
      <w:pPr>
        <w:pStyle w:val="BodyText"/>
      </w:pPr>
      <w:r>
        <w:t xml:space="preserve">Every row is master-eligible. Separately,</w:t>
      </w:r>
      <w:r>
        <w:t xml:space="preserve"> </w:t>
      </w:r>
      <w:r>
        <w:rPr>
          <w:b/>
          <w:bCs/>
        </w:rPr>
        <w:t xml:space="preserve">2,380,575 domains carry no year-specific evidence</w:t>
      </w:r>
      <w:r>
        <w:t xml:space="preserve"> </w:t>
      </w:r>
      <w:r>
        <w:t xml:space="preserve">and</w:t>
      </w:r>
      <w:r>
        <w:t xml:space="preserve"> </w:t>
      </w:r>
      <w:r>
        <w:t xml:space="preserve">ship as</w:t>
      </w:r>
      <w:r>
        <w:t xml:space="preserve"> </w:t>
      </w:r>
      <w:r>
        <w:rPr>
          <w:rStyle w:val="VerbatimChar"/>
        </w:rPr>
        <w:t xml:space="preserve">candidates.txt</w:t>
      </w:r>
      <w:r>
        <w:t xml:space="preserve">, kept out of the annual files as you asked.</w:t>
      </w:r>
    </w:p>
    <w:p>
      <w:pPr>
        <w:pStyle w:val="BodyText"/>
      </w:pPr>
      <w:r>
        <w:rPr>
          <w:b/>
          <w:bCs/>
        </w:rPr>
        <w:t xml:space="preserve">Admitted this round, and the ground each was admitted on</w:t>
      </w:r>
      <w:r>
        <w:t xml:space="preserve"> </w:t>
      </w:r>
      <w:r>
        <w:t xml:space="preserve">(the full argument, and every rejected source beside it, is in</w:t>
      </w:r>
      <w:r>
        <w:t xml:space="preserve"> </w:t>
      </w:r>
      <w:r>
        <w:rPr>
          <w:rStyle w:val="VerbatimChar"/>
        </w:rPr>
        <w:t xml:space="preserve">sources.md</w:t>
      </w:r>
      <w:r>
        <w:t xml:space="preserve">):</w:t>
      </w:r>
      <w:r>
        <w:t xml:space="preserve"> </w:t>
      </w:r>
      <w:r>
        <w:rPr>
          <w:rStyle w:val="VerbatimChar"/>
          <w:b/>
          <w:bCs/>
        </w:rPr>
        <w:t xml:space="preserve">ripe_dbase_1999</w:t>
      </w:r>
      <w:r>
        <w:t xml:space="preserve">, the snapshot states its own generation instant, so a domain object in it is the registry's database contents at that instant; used with the RIPE NCC's written permission and read for the domain name only, no contact or personal data;</w:t>
      </w:r>
      <w:r>
        <w:t xml:space="preserve"> </w:t>
      </w:r>
      <w:r>
        <w:rPr>
          <w:rStyle w:val="VerbatimChar"/>
          <w:b/>
          <w:bCs/>
        </w:rPr>
        <w:t xml:space="preserve">ripe_dbase_changed</w:t>
      </w:r>
      <w:r>
        <w:t xml:space="preserve">, each registry object carries a dated</w:t>
      </w:r>
      <w:r>
        <w:t xml:space="preserve"> </w:t>
      </w:r>
      <w:r>
        <w:rPr>
          <w:rStyle w:val="VerbatimChar"/>
        </w:rPr>
        <w:t xml:space="preserve">changed:</w:t>
      </w:r>
      <w:r>
        <w:t xml:space="preserve"> </w:t>
      </w:r>
      <w:r>
        <w:t xml:space="preserve">line per update applied to it, and an object cannot be modified before it exists, so the line evidences the registration at its own date; this is what rule 6 means by continued registration needing its own record, and it reaches 1996-1998 which the snapshot's own date cannot. The top eight changer addresses are ccTLD registry role accounts, DENIC alone 49.4%, and only the date is read, never the address beside it;</w:t>
      </w:r>
      <w:r>
        <w:t xml:space="preserve"> </w:t>
      </w:r>
      <w:r>
        <w:rPr>
          <w:rStyle w:val="VerbatimChar"/>
          <w:b/>
          <w:bCs/>
        </w:rPr>
        <w:t xml:space="preserve">iedr_register</w:t>
      </w:r>
      <w:r>
        <w:t xml:space="preserve">, the registry regenerated its whole register as static pages, each carrying the instant a cron wrote it;</w:t>
      </w:r>
      <w:r>
        <w:t xml:space="preserve"> </w:t>
      </w:r>
      <w:r>
        <w:rPr>
          <w:rStyle w:val="VerbatimChar"/>
          <w:b/>
          <w:bCs/>
        </w:rPr>
        <w:t xml:space="preserve">us_domain_delegated</w:t>
      </w:r>
      <w:r>
        <w:t xml:space="preserve">, a delegated-zone list is the registry serving those names at the instant the edition is stamped, the same instrument as a zone file;</w:t>
      </w:r>
      <w:r>
        <w:t xml:space="preserve"> </w:t>
      </w:r>
      <w:r>
        <w:rPr>
          <w:rStyle w:val="VerbatimChar"/>
          <w:b/>
          <w:bCs/>
        </w:rPr>
        <w:t xml:space="preserve">squidguard_2001_blacklist</w:t>
      </w:r>
      <w:r>
        <w:t xml:space="preserve">, the compiler's header asserts a successful fetch, 510,389 of 654,820 links tested successfully, so a listed host answered when the robot called;</w:t>
      </w:r>
      <w:r>
        <w:t xml:space="preserve"> </w:t>
      </w:r>
      <w:r>
        <w:rPr>
          <w:rStyle w:val="VerbatimChar"/>
          <w:b/>
          <w:bCs/>
        </w:rPr>
        <w:t xml:space="preserve">internic_zone</w:t>
      </w:r>
      <w:r>
        <w:t xml:space="preserve">, the zone file's own SOA serial, which the registry wrote;</w:t>
      </w:r>
      <w:r>
        <w:t xml:space="preserve"> </w:t>
      </w:r>
      <w:r>
        <w:rPr>
          <w:rStyle w:val="VerbatimChar"/>
          <w:b/>
          <w:bCs/>
        </w:rPr>
        <w:t xml:space="preserve">ukwa_geoindex</w:t>
      </w:r>
      <w:r>
        <w:t xml:space="preserve">, a per-row capture timestamp, self-dating and unsplit;</w:t>
      </w:r>
      <w:r>
        <w:t xml:space="preserve"> </w:t>
      </w:r>
      <w:r>
        <w:rPr>
          <w:rStyle w:val="VerbatimChar"/>
          <w:b/>
          <w:bCs/>
        </w:rPr>
        <w:t xml:space="preserve">ukwa_link_source</w:t>
      </w:r>
      <w:r>
        <w:t xml:space="preserve">, the crawl year on each host link-graph row. The 1999 RIPE database snapshot is used with the written permission of the</w:t>
      </w:r>
      <w:r>
        <w:t xml:space="preserve"> </w:t>
      </w:r>
      <w:r>
        <w:rPr>
          <w:b/>
          <w:bCs/>
        </w:rPr>
        <w:t xml:space="preserve">RIPE NCC</w:t>
      </w:r>
      <w:r>
        <w:t xml:space="preserve">, gratefully acknowledged, and only the domain name is read from it.</w:t>
      </w:r>
    </w:p>
    <w:bookmarkEnd w:id="12"/>
    <w:bookmarkStart w:id="13" w:name="X70619d5b0981bc5d293ef1ddc7fcd0da083dced"/>
    <w:p>
      <w:pPr>
        <w:pStyle w:val="Heading2"/>
      </w:pPr>
      <w:r>
        <w:t xml:space="preserve">5. Archive execution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cdx_suffix</w:t>
            </w:r>
          </w:p>
        </w:tc>
        <w:tc>
          <w:tcPr/>
          <w:p>
            <w:pPr>
              <w:pStyle w:val="Compact"/>
              <w:jc w:val="right"/>
            </w:pPr>
            <w:r>
              <w:t xml:space="preserve">43</w:t>
            </w:r>
          </w:p>
        </w:tc>
        <w:tc>
          <w:tcPr/>
          <w:p>
            <w:pPr>
              <w:pStyle w:val="Compact"/>
              <w:jc w:val="right"/>
            </w:pPr>
            <w:r>
              <w:t xml:space="preserve">2,238,415</w:t>
            </w:r>
          </w:p>
        </w:tc>
        <w:tc>
          <w:tcPr/>
          <w:p>
            <w:pPr>
              <w:pStyle w:val="Compact"/>
              <w:jc w:val="right"/>
            </w:pPr>
            <w:r>
              <w:t xml:space="preserve">2,238,415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57,592</w:t>
            </w:r>
          </w:p>
        </w:tc>
        <w:tc>
          <w:tcPr/>
          <w:p>
            <w:pPr>
              <w:pStyle w:val="Compact"/>
              <w:jc w:val="right"/>
            </w:pPr>
            <w:r>
              <w:t xml:space="preserve">4,367,087</w:t>
            </w:r>
          </w:p>
        </w:tc>
      </w:tr>
      <w:tr>
        <w:tc>
          <w:tcPr/>
          <w:p>
            <w:pPr>
              <w:pStyle w:val="Compact"/>
            </w:pPr>
            <w:r>
              <w:rPr>
                <w:rStyle w:val="VerbatimChar"/>
              </w:rPr>
              <w:t xml:space="preserve">cdx_pool</w:t>
            </w:r>
          </w:p>
        </w:tc>
        <w:tc>
          <w:tcPr/>
          <w:p>
            <w:pPr>
              <w:pStyle w:val="Compact"/>
              <w:jc w:val="right"/>
            </w:pPr>
            <w:r>
              <w:t xml:space="preserve">252</w:t>
            </w:r>
          </w:p>
        </w:tc>
        <w:tc>
          <w:tcPr/>
          <w:p>
            <w:pPr>
              <w:pStyle w:val="Compact"/>
              <w:jc w:val="right"/>
            </w:pPr>
            <w:r>
              <w:t xml:space="preserve">151,890</w:t>
            </w:r>
          </w:p>
        </w:tc>
        <w:tc>
          <w:tcPr/>
          <w:p>
            <w:pPr>
              <w:pStyle w:val="Compact"/>
              <w:jc w:val="right"/>
            </w:pPr>
            <w:r>
              <w:t xml:space="preserve">133,339</w:t>
            </w:r>
          </w:p>
        </w:tc>
        <w:tc>
          <w:tcPr/>
          <w:p>
            <w:pPr>
              <w:pStyle w:val="Compact"/>
              <w:jc w:val="right"/>
            </w:pPr>
            <w:r>
              <w:t xml:space="preserve">87.8%</w:t>
            </w:r>
          </w:p>
        </w:tc>
        <w:tc>
          <w:tcPr/>
          <w:p>
            <w:pPr>
              <w:pStyle w:val="Compact"/>
              <w:jc w:val="right"/>
            </w:pPr>
            <w:r>
              <w:t xml:space="preserve">52.1%</w:t>
            </w:r>
          </w:p>
        </w:tc>
        <w:tc>
          <w:tcPr/>
          <w:p>
            <w:pPr>
              <w:pStyle w:val="Compact"/>
              <w:jc w:val="right"/>
            </w:pPr>
            <w:r>
              <w:t xml:space="preserve">133,840</w:t>
            </w:r>
          </w:p>
        </w:tc>
        <w:tc>
          <w:tcPr/>
          <w:p>
            <w:pPr>
              <w:pStyle w:val="Compact"/>
              <w:jc w:val="right"/>
            </w:pPr>
            <w:r>
              <w:t xml:space="preserve">103,671</w:t>
            </w:r>
          </w:p>
        </w:tc>
      </w:tr>
      <w:tr>
        <w:tc>
          <w:tcPr/>
          <w:p>
            <w:pPr>
              <w:pStyle w:val="Compact"/>
            </w:pPr>
            <w:r>
              <w:rPr>
                <w:rStyle w:val="VerbatimChar"/>
              </w:rPr>
              <w:t xml:space="preserve">cdx_q1</w:t>
            </w:r>
          </w:p>
        </w:tc>
        <w:tc>
          <w:tcPr/>
          <w:p>
            <w:pPr>
              <w:pStyle w:val="Compact"/>
              <w:jc w:val="right"/>
            </w:pPr>
            <w:r>
              <w:t xml:space="preserve">214</w:t>
            </w:r>
          </w:p>
        </w:tc>
        <w:tc>
          <w:tcPr/>
          <w:p>
            <w:pPr>
              <w:pStyle w:val="Compact"/>
              <w:jc w:val="right"/>
            </w:pPr>
            <w:r>
              <w:t xml:space="preserve">63,919</w:t>
            </w:r>
          </w:p>
        </w:tc>
        <w:tc>
          <w:tcPr/>
          <w:p>
            <w:pPr>
              <w:pStyle w:val="Compact"/>
              <w:jc w:val="right"/>
            </w:pPr>
            <w:r>
              <w:t xml:space="preserve">55,844</w:t>
            </w:r>
          </w:p>
        </w:tc>
        <w:tc>
          <w:tcPr/>
          <w:p>
            <w:pPr>
              <w:pStyle w:val="Compact"/>
              <w:jc w:val="right"/>
            </w:pPr>
            <w:r>
              <w:t xml:space="preserve">87.4%</w:t>
            </w:r>
          </w:p>
        </w:tc>
        <w:tc>
          <w:tcPr/>
          <w:p>
            <w:pPr>
              <w:pStyle w:val="Compact"/>
              <w:jc w:val="right"/>
            </w:pPr>
            <w:r>
              <w:t xml:space="preserve">71.9%</w:t>
            </w:r>
          </w:p>
        </w:tc>
        <w:tc>
          <w:tcPr/>
          <w:p>
            <w:pPr>
              <w:pStyle w:val="Compact"/>
              <w:jc w:val="right"/>
            </w:pPr>
            <w:r>
              <w:t xml:space="preserve">55,943</w:t>
            </w:r>
          </w:p>
        </w:tc>
        <w:tc>
          <w:tcPr/>
          <w:p>
            <w:pPr>
              <w:pStyle w:val="Compact"/>
              <w:jc w:val="right"/>
            </w:pPr>
            <w:r>
              <w:t xml:space="preserve">127,552</w:t>
            </w:r>
          </w:p>
        </w:tc>
      </w:tr>
      <w:tr>
        <w:tc>
          <w:tcPr/>
          <w:p>
            <w:pPr>
              <w:pStyle w:val="Compact"/>
            </w:pPr>
            <w:r>
              <w:rPr>
                <w:rStyle w:val="VerbatimChar"/>
              </w:rPr>
              <w:t xml:space="preserve">cdx_gap</w:t>
            </w:r>
          </w:p>
        </w:tc>
        <w:tc>
          <w:tcPr/>
          <w:p>
            <w:pPr>
              <w:pStyle w:val="Compact"/>
              <w:jc w:val="right"/>
            </w:pPr>
            <w:r>
              <w:t xml:space="preserve">104</w:t>
            </w:r>
          </w:p>
        </w:tc>
        <w:tc>
          <w:tcPr/>
          <w:p>
            <w:pPr>
              <w:pStyle w:val="Compact"/>
              <w:jc w:val="right"/>
            </w:pPr>
            <w:r>
              <w:t xml:space="preserve">41,816</w:t>
            </w:r>
          </w:p>
        </w:tc>
        <w:tc>
          <w:tcPr/>
          <w:p>
            <w:pPr>
              <w:pStyle w:val="Compact"/>
              <w:jc w:val="right"/>
            </w:pPr>
            <w:r>
              <w:t xml:space="preserve">35,964</w:t>
            </w:r>
          </w:p>
        </w:tc>
        <w:tc>
          <w:tcPr/>
          <w:p>
            <w:pPr>
              <w:pStyle w:val="Compact"/>
              <w:jc w:val="right"/>
            </w:pPr>
            <w:r>
              <w:t xml:space="preserve">86.0%</w:t>
            </w:r>
          </w:p>
        </w:tc>
        <w:tc>
          <w:tcPr/>
          <w:p>
            <w:pPr>
              <w:pStyle w:val="Compact"/>
              <w:jc w:val="right"/>
            </w:pPr>
            <w:r>
              <w:t xml:space="preserve">98.4%</w:t>
            </w:r>
          </w:p>
        </w:tc>
        <w:tc>
          <w:tcPr/>
          <w:p>
            <w:pPr>
              <w:pStyle w:val="Compact"/>
              <w:jc w:val="right"/>
            </w:pPr>
            <w:r>
              <w:t xml:space="preserve">36,355</w:t>
            </w:r>
          </w:p>
        </w:tc>
        <w:tc>
          <w:tcPr/>
          <w:p>
            <w:pPr>
              <w:pStyle w:val="Compact"/>
              <w:jc w:val="right"/>
            </w:pPr>
            <w:r>
              <w:t xml:space="preserve">134,864</w:t>
            </w:r>
          </w:p>
        </w:tc>
      </w:tr>
      <w:tr>
        <w:tc>
          <w:tcPr/>
          <w:p>
            <w:pPr>
              <w:pStyle w:val="Compact"/>
            </w:pPr>
            <w:r>
              <w:rPr>
                <w:rStyle w:val="VerbatimChar"/>
              </w:rPr>
              <w:t xml:space="preserve">cdx_q0</w:t>
            </w:r>
          </w:p>
        </w:tc>
        <w:tc>
          <w:tcPr/>
          <w:p>
            <w:pPr>
              <w:pStyle w:val="Compact"/>
              <w:jc w:val="right"/>
            </w:pPr>
            <w:r>
              <w:t xml:space="preserve">67</w:t>
            </w:r>
          </w:p>
        </w:tc>
        <w:tc>
          <w:tcPr/>
          <w:p>
            <w:pPr>
              <w:pStyle w:val="Compact"/>
              <w:jc w:val="right"/>
            </w:pPr>
            <w:r>
              <w:t xml:space="preserve">39,928</w:t>
            </w:r>
          </w:p>
        </w:tc>
        <w:tc>
          <w:tcPr/>
          <w:p>
            <w:pPr>
              <w:pStyle w:val="Compact"/>
              <w:jc w:val="right"/>
            </w:pPr>
            <w:r>
              <w:t xml:space="preserve">39,779</w:t>
            </w:r>
          </w:p>
        </w:tc>
        <w:tc>
          <w:tcPr/>
          <w:p>
            <w:pPr>
              <w:pStyle w:val="Compact"/>
              <w:jc w:val="right"/>
            </w:pPr>
            <w:r>
              <w:t xml:space="preserve">99.6%</w:t>
            </w:r>
          </w:p>
        </w:tc>
        <w:tc>
          <w:tcPr/>
          <w:p>
            <w:pPr>
              <w:pStyle w:val="Compact"/>
              <w:jc w:val="right"/>
            </w:pPr>
            <w:r>
              <w:t xml:space="preserve">71.3%</w:t>
            </w:r>
          </w:p>
        </w:tc>
        <w:tc>
          <w:tcPr/>
          <w:p>
            <w:pPr>
              <w:pStyle w:val="Compact"/>
              <w:jc w:val="right"/>
            </w:pPr>
            <w:r>
              <w:t xml:space="preserve">39,781</w:t>
            </w:r>
          </w:p>
        </w:tc>
        <w:tc>
          <w:tcPr/>
          <w:p>
            <w:pPr>
              <w:pStyle w:val="Compact"/>
              <w:jc w:val="right"/>
            </w:pPr>
            <w:r>
              <w:t xml:space="preserve">83,880</w:t>
            </w:r>
          </w:p>
        </w:tc>
      </w:tr>
      <w:tr>
        <w:tc>
          <w:tcPr/>
          <w:p>
            <w:pPr>
              <w:pStyle w:val="Compact"/>
            </w:pPr>
            <w:r>
              <w:rPr>
                <w:rStyle w:val="VerbatimChar"/>
              </w:rPr>
              <w:t xml:space="preserve">cdx_vedge</w:t>
            </w:r>
          </w:p>
        </w:tc>
        <w:tc>
          <w:tcPr/>
          <w:p>
            <w:pPr>
              <w:pStyle w:val="Compact"/>
              <w:jc w:val="right"/>
            </w:pPr>
            <w:r>
              <w:t xml:space="preserve">33</w:t>
            </w:r>
          </w:p>
        </w:tc>
        <w:tc>
          <w:tcPr/>
          <w:p>
            <w:pPr>
              <w:pStyle w:val="Compact"/>
              <w:jc w:val="right"/>
            </w:pPr>
            <w:r>
              <w:t xml:space="preserve">35,396</w:t>
            </w:r>
          </w:p>
        </w:tc>
        <w:tc>
          <w:tcPr/>
          <w:p>
            <w:pPr>
              <w:pStyle w:val="Compact"/>
              <w:jc w:val="right"/>
            </w:pPr>
            <w:r>
              <w:t xml:space="preserve">33,629</w:t>
            </w:r>
          </w:p>
        </w:tc>
        <w:tc>
          <w:tcPr/>
          <w:p>
            <w:pPr>
              <w:pStyle w:val="Compact"/>
              <w:jc w:val="right"/>
            </w:pPr>
            <w:r>
              <w:t xml:space="preserve">95.0%</w:t>
            </w:r>
          </w:p>
        </w:tc>
        <w:tc>
          <w:tcPr/>
          <w:p>
            <w:pPr>
              <w:pStyle w:val="Compact"/>
              <w:jc w:val="right"/>
            </w:pPr>
            <w:r>
              <w:t xml:space="preserve">76.3%</w:t>
            </w:r>
          </w:p>
        </w:tc>
        <w:tc>
          <w:tcPr/>
          <w:p>
            <w:pPr>
              <w:pStyle w:val="Compact"/>
              <w:jc w:val="right"/>
            </w:pPr>
            <w:r>
              <w:t xml:space="preserve">33,703</w:t>
            </w:r>
          </w:p>
        </w:tc>
        <w:tc>
          <w:tcPr/>
          <w:p>
            <w:pPr>
              <w:pStyle w:val="Compact"/>
              <w:jc w:val="right"/>
            </w:pPr>
            <w:r>
              <w:t xml:space="preserve">48,669</w:t>
            </w:r>
          </w:p>
        </w:tc>
      </w:tr>
      <w:tr>
        <w:tc>
          <w:tcPr/>
          <w:p>
            <w:pPr>
              <w:pStyle w:val="Compact"/>
            </w:pPr>
            <w:r>
              <w:rPr>
                <w:i/>
                <w:iCs/>
              </w:rPr>
              <w:t xml:space="preserve">13 further prefixes</w:t>
            </w:r>
          </w:p>
        </w:tc>
        <w:tc>
          <w:tcPr/>
          <w:p>
            <w:pPr>
              <w:pStyle w:val="Compact"/>
              <w:jc w:val="right"/>
            </w:pPr>
            <w:r>
              <w:t xml:space="preserve">241</w:t>
            </w:r>
          </w:p>
        </w:tc>
        <w:tc>
          <w:tcPr/>
          <w:p>
            <w:pPr>
              <w:pStyle w:val="Compact"/>
              <w:jc w:val="right"/>
            </w:pPr>
            <w:r>
              <w:t xml:space="preserve">131,144</w:t>
            </w:r>
          </w:p>
        </w:tc>
        <w:tc>
          <w:tcPr/>
          <w:p>
            <w:pPr>
              <w:pStyle w:val="Compact"/>
              <w:jc w:val="right"/>
            </w:pPr>
            <w:r>
              <w:t xml:space="preserve">118,628</w:t>
            </w:r>
          </w:p>
        </w:tc>
        <w:tc>
          <w:tcPr/>
          <w:p>
            <w:pPr>
              <w:pStyle w:val="Compact"/>
              <w:jc w:val="right"/>
            </w:pPr>
            <w:r>
              <w:t xml:space="preserve">90.5%</w:t>
            </w:r>
          </w:p>
        </w:tc>
        <w:tc>
          <w:tcPr/>
          <w:p>
            <w:pPr>
              <w:pStyle w:val="Compact"/>
            </w:pPr>
          </w:p>
        </w:tc>
        <w:tc>
          <w:tcPr/>
          <w:p>
            <w:pPr>
              <w:pStyle w:val="Compact"/>
              <w:jc w:val="right"/>
            </w:pPr>
            <w:r>
              <w:t xml:space="preserve">120,911</w:t>
            </w:r>
          </w:p>
        </w:tc>
        <w:tc>
          <w:tcPr/>
          <w:p>
            <w:pPr>
              <w:pStyle w:val="Compact"/>
              <w:jc w:val="right"/>
            </w:pPr>
            <w:r>
              <w:t xml:space="preserve">255,958</w:t>
            </w:r>
          </w:p>
        </w:tc>
      </w:tr>
      <w:tr>
        <w:tc>
          <w:tcPr/>
          <w:p>
            <w:pPr>
              <w:pStyle w:val="Compact"/>
            </w:pPr>
            <w:r>
              <w:rPr>
                <w:b/>
                <w:bCs/>
              </w:rPr>
              <w:t xml:space="preserve">All</w:t>
            </w:r>
          </w:p>
        </w:tc>
        <w:tc>
          <w:tcPr/>
          <w:p>
            <w:pPr>
              <w:pStyle w:val="Compact"/>
              <w:jc w:val="right"/>
            </w:pPr>
            <w:r>
              <w:rPr>
                <w:b/>
                <w:bCs/>
              </w:rPr>
              <w:t xml:space="preserve">954</w:t>
            </w:r>
          </w:p>
        </w:tc>
        <w:tc>
          <w:tcPr/>
          <w:p>
            <w:pPr>
              <w:pStyle w:val="Compact"/>
              <w:jc w:val="right"/>
            </w:pPr>
            <w:r>
              <w:rPr>
                <w:b/>
                <w:bCs/>
              </w:rPr>
              <w:t xml:space="preserve">2,702,508</w:t>
            </w:r>
          </w:p>
        </w:tc>
        <w:tc>
          <w:tcPr/>
          <w:p>
            <w:pPr>
              <w:pStyle w:val="Compact"/>
              <w:jc w:val="right"/>
            </w:pPr>
            <w:r>
              <w:rPr>
                <w:b/>
                <w:bCs/>
              </w:rPr>
              <w:t xml:space="preserve">2,655,598</w:t>
            </w:r>
          </w:p>
        </w:tc>
        <w:tc>
          <w:tcPr/>
          <w:p>
            <w:pPr>
              <w:pStyle w:val="Compact"/>
              <w:jc w:val="right"/>
            </w:pPr>
            <w:r>
              <w:rPr>
                <w:b/>
                <w:bCs/>
              </w:rPr>
              <w:t xml:space="preserve">98.3%</w:t>
            </w:r>
          </w:p>
        </w:tc>
        <w:tc>
          <w:tcPr/>
          <w:p>
            <w:pPr>
              <w:pStyle w:val="Compact"/>
              <w:jc w:val="right"/>
            </w:pPr>
            <w:r>
              <w:rPr>
                <w:b/>
                <w:bCs/>
              </w:rPr>
              <w:t xml:space="preserve">95.7%</w:t>
            </w:r>
          </w:p>
        </w:tc>
        <w:tc>
          <w:tcPr/>
          <w:p>
            <w:pPr>
              <w:pStyle w:val="Compact"/>
              <w:jc w:val="right"/>
            </w:pPr>
            <w:r>
              <w:rPr>
                <w:b/>
                <w:bCs/>
              </w:rPr>
              <w:t xml:space="preserve">430,582</w:t>
            </w:r>
          </w:p>
        </w:tc>
        <w:tc>
          <w:tcPr/>
          <w:p>
            <w:pPr>
              <w:pStyle w:val="Compact"/>
              <w:jc w:val="right"/>
            </w:pPr>
            <w:r>
              <w:rPr>
                <w:b/>
                <w:bCs/>
              </w:rPr>
              <w:t xml:space="preserve">5,121,681</w:t>
            </w:r>
          </w:p>
        </w:tc>
      </w:tr>
    </w:tbl>
    <w:p>
      <w:pPr>
        <w:pStyle w:val="BodyText"/>
      </w:pPr>
      <w:r>
        <w:rPr>
          <w:b/>
          <w:bCs/>
        </w:rPr>
        <w:t xml:space="preserve">Strategy.</w:t>
      </w:r>
      <w:r>
        <w:t xml:space="preserve"> </w:t>
      </w:r>
      <w:r>
        <w:t xml:space="preserve">One query per domain against the Wayback CDX index, filtered to in-window captures, written to an append-only journal that is ingested only once complete, so a killed batch loses no answered query.</w:t>
      </w:r>
      <w:r>
        <w:t xml:space="preserve"> </w:t>
      </w:r>
      <w:r>
        <w:rPr>
          <w:b/>
          <w:bCs/>
        </w:rPr>
        <w:t xml:space="preserve">Errors:</w:t>
      </w:r>
      <w:r>
        <w:t xml:space="preserve"> </w:t>
      </w:r>
      <w:r>
        <w:t xml:space="preserve">of 2,702,508 queries 2,655,598 were answered (98.3%); HTTP-level failures are 3,139 (0.12%), being 0 rate limits (429), 2,155 server errors and 984 refusals (403), while</w:t>
      </w:r>
      <w:r>
        <w:t xml:space="preserve"> </w:t>
      </w:r>
      <w:r>
        <w:rPr>
          <w:b/>
          <w:bCs/>
        </w:rPr>
        <w:t xml:space="preserve">transport-level failures are 43,771 (1.62%)</w:t>
      </w:r>
      <w:r>
        <w:t xml:space="preserve">, 31,197 refused or reset and 12,574 timed out.</w:t>
      </w:r>
      <w:r>
        <w:t xml:space="preserve"> </w:t>
      </w:r>
      <w:r>
        <w:rPr>
          <w:b/>
          <w:bCs/>
        </w:rPr>
        <w:t xml:space="preserve">The binding constraint is not a status code we could obey but the connection being dropped before a status exists.</w:t>
      </w:r>
      <w:r>
        <w:t xml:space="preserve"> </w:t>
      </w:r>
      <w:r>
        <w:rPr>
          <w:b/>
          <w:bCs/>
        </w:rPr>
        <w:t xml:space="preserve">Handling:</w:t>
      </w:r>
      <w:r>
        <w:t xml:space="preserve"> </w:t>
      </w:r>
      <w:r>
        <w:t xml:space="preserve">rate limits and server errors retry with exponential backoff honouring</w:t>
      </w:r>
      <w:r>
        <w:t xml:space="preserve"> </w:t>
      </w:r>
      <w:r>
        <w:rPr>
          <w:rStyle w:val="VerbatimChar"/>
        </w:rPr>
        <w:t xml:space="preserve">Retry-After</w:t>
      </w:r>
      <w:r>
        <w:t xml:space="preserve">; refusals and timeouts retry with a widening delay and are then requeued, so no domain is lost to one failure; a 403 is a permanent answer for that host and is not retried.</w:t>
      </w:r>
    </w:p>
    <w:bookmarkEnd w:id="13"/>
    <w:bookmarkStart w:id="14" w:name="Xbb315aeb333eb0565d3b529e4ef40e0a9fbbb66"/>
    <w:p>
      <w:pPr>
        <w:pStyle w:val="Heading2"/>
      </w:pPr>
      <w:r>
        <w:t xml:space="preserve">6. Discovery method, and what this round learned</w:t>
      </w:r>
    </w:p>
    <w:p>
      <w:pPr>
        <w:pStyle w:val="FirstParagraph"/>
      </w:pPr>
      <w:r>
        <w:t xml:space="preserve">Collectors hold absolute epoch deadlines and outlive any session; the agent hunts and prices sources</w:t>
      </w:r>
      <w:r>
        <w:t xml:space="preserve"> </w:t>
      </w:r>
      <w:r>
        <w:t xml:space="preserve">and never writes a year itself. The gains came less from new hosts than from four measurements that</w:t>
      </w:r>
      <w:r>
        <w:t xml:space="preserve"> </w:t>
      </w:r>
      <w:r>
        <w:t xml:space="preserve">changed which sources are worth opening.</w:t>
      </w:r>
      <w:r>
        <w:t xml:space="preserve"> </w:t>
      </w:r>
      <w:r>
        <w:rPr>
          <w:rStyle w:val="VerbatimChar"/>
        </w:rPr>
        <w:t xml:space="preserve">experience-summary.md</w:t>
      </w:r>
      <w:r>
        <w:t xml:space="preserve"> </w:t>
      </w:r>
      <w:r>
        <w:t xml:space="preserve">carries the full working.</w:t>
      </w:r>
    </w:p>
    <w:p>
      <w:pPr>
        <w:pStyle w:val="Compact"/>
        <w:numPr>
          <w:ilvl w:val="0"/>
          <w:numId w:val="1001"/>
        </w:numPr>
      </w:pPr>
      <w:r>
        <w:rPr>
          <w:b/>
          <w:bCs/>
        </w:rPr>
        <w:t xml:space="preserve">Aim at 2001, not 1996.</w:t>
      </w:r>
      <w:r>
        <w:t xml:space="preserve"> </w:t>
      </w:r>
      <w:r>
        <w:t xml:space="preserve">The store holds</w:t>
      </w:r>
      <w:r>
        <w:t xml:space="preserve"> </w:t>
      </w:r>
      <w:r>
        <w:rPr>
          <w:b/>
          <w:bCs/>
        </w:rPr>
        <w:t xml:space="preserve">6,708,320 domains at 2000 missing 2001</w:t>
      </w:r>
      <w:r>
        <w:t xml:space="preserve">, against</w:t>
      </w:r>
      <w:r>
        <w:t xml:space="preserve"> </w:t>
      </w:r>
      <w:r>
        <w:t xml:space="preserve">103,953 for the 1996-to-1997 gap.</w:t>
      </w:r>
      <w:r>
        <w:t xml:space="preserve"> </w:t>
      </w:r>
      <w:r>
        <w:rPr>
          <w:rStyle w:val="VerbatimChar"/>
        </w:rPr>
        <w:t xml:space="preserve">P(store lacks 2001 | domain held)</w:t>
      </w:r>
      <w:r>
        <w:t xml:space="preserve"> </w:t>
      </w:r>
      <w:r>
        <w:t xml:space="preserve">is 0.611</w:t>
      </w:r>
      <w:r>
        <w:t xml:space="preserve"> </w:t>
      </w:r>
      <w:r>
        <w:rPr>
          <w:rStyle w:val="VerbatimChar"/>
        </w:rPr>
        <w:t xml:space="preserve">.com</w:t>
      </w:r>
      <w:r>
        <w:t xml:space="preserve">, 0.653</w:t>
      </w:r>
      <w:r>
        <w:t xml:space="preserve"> </w:t>
      </w:r>
      <w:r>
        <w:rPr>
          <w:rStyle w:val="VerbatimChar"/>
        </w:rPr>
        <w:t xml:space="preserve">.net</w:t>
      </w:r>
      <w:r>
        <w:t xml:space="preserve">,</w:t>
      </w:r>
      <w:r>
        <w:t xml:space="preserve"> </w:t>
      </w:r>
      <w:r>
        <w:t xml:space="preserve">0.568</w:t>
      </w:r>
      <w:r>
        <w:t xml:space="preserve"> </w:t>
      </w:r>
      <w:r>
        <w:rPr>
          <w:rStyle w:val="VerbatimChar"/>
        </w:rPr>
        <w:t xml:space="preserve">.org</w:t>
      </w:r>
      <w:r>
        <w:t xml:space="preserve">, 0.309</w:t>
      </w:r>
      <w:r>
        <w:t xml:space="preserve"> </w:t>
      </w:r>
      <w:r>
        <w:rPr>
          <w:rStyle w:val="VerbatimChar"/>
        </w:rPr>
        <w:t xml:space="preserve">.uk</w:t>
      </w:r>
      <w:r>
        <w:t xml:space="preserve">, so</w:t>
      </w:r>
      <w:r>
        <w:t xml:space="preserve"> </w:t>
      </w:r>
      <w:r>
        <w:rPr>
          <w:b/>
          <w:bCs/>
        </w:rPr>
        <w:t xml:space="preserve">one already-held</w:t>
      </w:r>
      <w:r>
        <w:rPr>
          <w:b/>
          <w:bCs/>
        </w:rPr>
        <w:t xml:space="preserve"> </w:t>
      </w:r>
      <w:r>
        <w:rPr>
          <w:rStyle w:val="VerbatimChar"/>
          <w:b/>
          <w:bCs/>
        </w:rPr>
        <w:t xml:space="preserve">.com</w:t>
      </w:r>
      <w:r>
        <w:rPr>
          <w:b/>
          <w:bCs/>
        </w:rPr>
        <w:t xml:space="preserve"> </w:t>
      </w:r>
      <w:r>
        <w:rPr>
          <w:b/>
          <w:bCs/>
        </w:rPr>
        <w:t xml:space="preserve">name in a 2001-dated artifact is worth 0.386</w:t>
      </w:r>
      <w:r>
        <w:rPr>
          <w:b/>
          <w:bCs/>
        </w:rPr>
        <w:t xml:space="preserve"> </w:t>
      </w:r>
      <w:r>
        <w:rPr>
          <w:b/>
          <w:bCs/>
        </w:rPr>
        <w:t xml:space="preserve">equivalent-English and about 2,600 such names clear 1,000</w:t>
      </w:r>
      <w:r>
        <w:t xml:space="preserve">: 32x below the curated-directory floor,</w:t>
      </w:r>
      <w:r>
        <w:t xml:space="preserve"> </w:t>
      </w:r>
      <w:r>
        <w:t xml:space="preserve">which was measured on artifacts dated in years already covered.</w:t>
      </w:r>
    </w:p>
    <w:p>
      <w:pPr>
        <w:pStyle w:val="Compact"/>
        <w:numPr>
          <w:ilvl w:val="0"/>
          <w:numId w:val="1001"/>
        </w:numPr>
      </w:pPr>
      <w:r>
        <w:rPr>
          <w:b/>
          <w:bCs/>
        </w:rPr>
        <w:t xml:space="preserve">Novelty is a cost; the screen is held AND missing this year.</w:t>
      </w:r>
      <w:r>
        <w:t xml:space="preserve"> </w:t>
      </w:r>
      <w:r>
        <w:t xml:space="preserve">So</w:t>
      </w:r>
      <w:r>
        <w:t xml:space="preserve"> </w:t>
      </w:r>
      <w:r>
        <w:rPr>
          <w:b/>
          <w:bCs/>
        </w:rPr>
        <w:t xml:space="preserve">crawling kills discovery but</w:t>
      </w:r>
      <w:r>
        <w:rPr>
          <w:b/>
          <w:bCs/>
        </w:rPr>
        <w:t xml:space="preserve"> </w:t>
      </w:r>
      <w:r>
        <w:rPr>
          <w:b/>
          <w:bCs/>
        </w:rPr>
        <w:t xml:space="preserve">not completeness</w:t>
      </w:r>
      <w:r>
        <w:t xml:space="preserve">: a 2000-dated blacklist paid 18 equivalent-English because its names already</w:t>
      </w:r>
      <w:r>
        <w:t xml:space="preserve"> </w:t>
      </w:r>
      <w:r>
        <w:t xml:space="preserve">carried 2000, while the 2001 edition of the same list paid</w:t>
      </w:r>
      <w:r>
        <w:t xml:space="preserve"> </w:t>
      </w:r>
      <w:r>
        <w:rPr>
          <w:b/>
          <w:bCs/>
        </w:rPr>
        <w:t xml:space="preserve">10,736</w:t>
      </w:r>
      <w:r>
        <w:t xml:space="preserve">, being 84.8% known but only</w:t>
      </w:r>
      <w:r>
        <w:t xml:space="preserve"> </w:t>
      </w:r>
      <w:r>
        <w:t xml:space="preserve">57.9% held at 2001.</w:t>
      </w:r>
    </w:p>
    <w:p>
      <w:pPr>
        <w:pStyle w:val="Compact"/>
        <w:numPr>
          <w:ilvl w:val="0"/>
          <w:numId w:val="1001"/>
        </w:numPr>
      </w:pPr>
      <w:r>
        <w:rPr>
          <w:b/>
          <w:bCs/>
        </w:rPr>
        <w:t xml:space="preserve">Compute headroom from the adjacent year only.</w:t>
      </w:r>
      <w:r>
        <w:t xml:space="preserve"> </w:t>
      </w:r>
      <w:r>
        <w:t xml:space="preserve">A gap between a domain's last held year and the</w:t>
      </w:r>
      <w:r>
        <w:t xml:space="preserve"> </w:t>
      </w:r>
      <w:r>
        <w:t xml:space="preserve">target is evidence of death, not of missing data: of 9,680</w:t>
      </w:r>
      <w:r>
        <w:t xml:space="preserve"> </w:t>
      </w:r>
      <w:r>
        <w:rPr>
          <w:rStyle w:val="VerbatimChar"/>
        </w:rPr>
        <w:t xml:space="preserve">.us</w:t>
      </w:r>
      <w:r>
        <w:t xml:space="preserve"> </w:t>
      </w:r>
      <w:r>
        <w:t xml:space="preserve">names missing 2001,</w:t>
      </w:r>
      <w:r>
        <w:t xml:space="preserve"> </w:t>
      </w:r>
      <w:r>
        <w:rPr>
          <w:b/>
          <w:bCs/>
        </w:rPr>
        <w:t xml:space="preserve">6,948 were</w:t>
      </w:r>
      <w:r>
        <w:rPr>
          <w:b/>
          <w:bCs/>
        </w:rPr>
        <w:t xml:space="preserve"> </w:t>
      </w:r>
      <w:r>
        <w:rPr>
          <w:b/>
          <w:bCs/>
        </w:rPr>
        <w:t xml:space="preserve">last seen in July 1997</w:t>
      </w:r>
      <w:r>
        <w:t xml:space="preserve">. "Held any year, missing Y" is contaminated; "held Y-1, missing Y" is not.</w:t>
      </w:r>
    </w:p>
    <w:p>
      <w:pPr>
        <w:pStyle w:val="Compact"/>
        <w:numPr>
          <w:ilvl w:val="0"/>
          <w:numId w:val="1001"/>
        </w:numPr>
      </w:pPr>
      <w:r>
        <w:rPr>
          <w:b/>
          <w:bCs/>
        </w:rPr>
        <w:t xml:space="preserve">Density and authority are two independent screens.</w:t>
      </w:r>
      <w:r>
        <w:t xml:space="preserve"> </w:t>
      </w:r>
      <w:r>
        <w:t xml:space="preserve">One parliamentary corpus yielded 5 URLs in</w:t>
      </w:r>
      <w:r>
        <w:t xml:space="preserve"> </w:t>
      </w:r>
      <w:r>
        <w:t xml:space="preserve">3.26M words; grey literature passes that screen at</w:t>
      </w:r>
      <w:r>
        <w:t xml:space="preserve"> </w:t>
      </w:r>
      <w:r>
        <w:rPr>
          <w:b/>
          <w:bCs/>
        </w:rPr>
        <w:t xml:space="preserve">221x the rate</w:t>
      </w:r>
      <w:r>
        <w:t xml:space="preserve"> </w:t>
      </w:r>
      <w:r>
        <w:t xml:space="preserve">and then fails the second at</w:t>
      </w:r>
      <w:r>
        <w:t xml:space="preserve"> </w:t>
      </w:r>
      <w:r>
        <w:t xml:space="preserve">93.0% already held, because programme reports print the URLs of institutions we already hold.</w:t>
      </w:r>
    </w:p>
    <w:p>
      <w:pPr>
        <w:pStyle w:val="FirstParagraph"/>
      </w:pPr>
      <w:r>
        <w:rPr>
          <w:b/>
          <w:bCs/>
        </w:rPr>
        <w:t xml:space="preserve">The method that generalised</w:t>
      </w:r>
      <w:r>
        <w:t xml:space="preserve"> </w:t>
      </w:r>
      <w:r>
        <w:t xml:space="preserve">was asking what</w:t>
      </w:r>
      <w:r>
        <w:t xml:space="preserve"> </w:t>
      </w:r>
      <w:r>
        <w:rPr>
          <w:i/>
          <w:iCs/>
        </w:rPr>
        <w:t xml:space="preserve">kind</w:t>
      </w:r>
      <w:r>
        <w:t xml:space="preserve"> </w:t>
      </w:r>
      <w:r>
        <w:t xml:space="preserve">of artifact an organisation of that era</w:t>
      </w:r>
      <w:r>
        <w:t xml:space="preserve"> </w:t>
      </w:r>
      <w:r>
        <w:t xml:space="preserve">produced, then what else sat in the same directory: that found the</w:t>
      </w:r>
      <w:r>
        <w:t xml:space="preserve"> </w:t>
      </w:r>
      <w:r>
        <w:rPr>
          <w:rStyle w:val="VerbatimChar"/>
        </w:rPr>
        <w:t xml:space="preserve">.ie</w:t>
      </w:r>
      <w:r>
        <w:t xml:space="preserve"> </w:t>
      </w:r>
      <w:r>
        <w:t xml:space="preserve">register, the InterNIC 1997</w:t>
      </w:r>
      <w:r>
        <w:t xml:space="preserve"> </w:t>
      </w:r>
      <w:r>
        <w:t xml:space="preserve">zone files, the JISC UK per-year index and a US Domain delegation list.</w:t>
      </w:r>
      <w:r>
        <w:t xml:space="preserve"> </w:t>
      </w:r>
      <w:r>
        <w:rPr>
          <w:b/>
          <w:bCs/>
        </w:rPr>
        <w:t xml:space="preserve">Negative results are</w:t>
      </w:r>
      <w:r>
        <w:rPr>
          <w:b/>
          <w:bCs/>
        </w:rPr>
        <w:t xml:space="preserve"> </w:t>
      </w:r>
      <w:r>
        <w:rPr>
          <w:b/>
          <w:bCs/>
        </w:rPr>
        <w:t xml:space="preserve">first-class.</w:t>
      </w:r>
      <w:r>
        <w:t xml:space="preserve"> </w:t>
      </w:r>
      <w:r>
        <w:rPr>
          <w:b/>
          <w:bCs/>
        </w:rPr>
        <w:t xml:space="preserve">251 source families have been searched and recorded</w:t>
      </w:r>
      <w:r>
        <w:t xml:space="preserve">, 43 developed far enough to earn their own section and 208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 Every rejected source is in</w:t>
      </w:r>
      <w:r>
        <w:t xml:space="preserve"> </w:t>
      </w:r>
      <w:r>
        <w:rPr>
          <w:rStyle w:val="VerbatimChar"/>
        </w:rPr>
        <w:t xml:space="preserve">sources.md</w:t>
      </w:r>
      <w:r>
        <w:t xml:space="preserve"> </w:t>
      </w:r>
      <w:r>
        <w:t xml:space="preserve">with its evidence type,</w:t>
      </w:r>
      <w:r>
        <w:t xml:space="preserve"> </w:t>
      </w:r>
      <w:r>
        <w:t xml:space="preserve">location, timestamp, extraction method and the measurement that closed it.</w:t>
      </w:r>
    </w:p>
    <w:bookmarkEnd w:id="14"/>
    <w:bookmarkStart w:id="15" w:name="Xec9a23721ceac841eb7a3db7e47e7065498d269"/>
    <w:p>
      <w:pPr>
        <w:pStyle w:val="Heading2"/>
      </w:pPr>
      <w:r>
        <w:t xml:space="preserve">7. Limitations, and whether further expansion is worthwhile</w:t>
      </w:r>
    </w:p>
    <w:p>
      <w:pPr>
        <w:pStyle w:val="FirstParagraph"/>
      </w:pPr>
      <w:r>
        <w:rPr>
          <w:b/>
          <w:bCs/>
        </w:rPr>
        <w:t xml:space="preserve">Both routes err toward under-claiming.</w:t>
      </w:r>
      <w:r>
        <w:t xml:space="preserve"> </w:t>
      </w:r>
      <w:r>
        <w:t xml:space="preserve">A capture proves presence and never absence, so a year</w:t>
      </w:r>
      <w:r>
        <w:t xml:space="preserve"> </w:t>
      </w:r>
      <w:r>
        <w:t xml:space="preserve">with no capture is unevidenced rather than empty, and a creation date attests one year only. Neither</w:t>
      </w:r>
      <w:r>
        <w:t xml:space="preserve"> </w:t>
      </w:r>
      <w:r>
        <w:t xml:space="preserve">can invent a year; the mistake they can make is omission.</w:t>
      </w:r>
      <w:r>
        <w:t xml:space="preserve"> </w:t>
      </w:r>
      <w:r>
        <w:rPr>
          <w:b/>
          <w:bCs/>
        </w:rPr>
        <w:t xml:space="preserve">Three limits no amount of work fixes.</w:t>
      </w:r>
      <w:r>
        <w:t xml:space="preserve"> </w:t>
      </w:r>
      <w:r>
        <w:t xml:space="preserve">A</w:t>
      </w:r>
      <w:r>
        <w:t xml:space="preserve"> </w:t>
      </w:r>
      <w:r>
        <w:t xml:space="preserve">material share of archive requests fail at transport level rather than with a status code, which is</w:t>
      </w:r>
      <w:r>
        <w:t xml:space="preserve"> </w:t>
      </w:r>
      <w:r>
        <w:t xml:space="preserve">throttling seen from the other side of the socket. The corroboration split asks whether a domain is</w:t>
      </w:r>
      <w:r>
        <w:t xml:space="preserve"> </w:t>
      </w:r>
      <w:r>
        <w:t xml:space="preserve">dated somewhere, never whether a mention was genuine, so invented-but-plausible prose is the one shape</w:t>
      </w:r>
      <w:r>
        <w:t xml:space="preserve"> </w:t>
      </w:r>
      <w:r>
        <w:t xml:space="preserve">it does not stop, which is why both routes here are self-dating. And host survival correlates with</w:t>
      </w:r>
      <w:r>
        <w:t xml:space="preserve"> </w:t>
      </w:r>
      <w:r>
        <w:t xml:space="preserve">refusal: the mirrors that still run do so because an institution kept paying, and those operators are</w:t>
      </w:r>
      <w:r>
        <w:t xml:space="preserve"> </w:t>
      </w:r>
      <w:r>
        <w:t xml:space="preserve">the population now adding blanket</w:t>
      </w:r>
      <w:r>
        <w:t xml:space="preserve"> </w:t>
      </w:r>
      <w:r>
        <w:rPr>
          <w:rStyle w:val="VerbatimChar"/>
        </w:rPr>
        <w:t xml:space="preserve">Disallow</w:t>
      </w:r>
      <w:r>
        <w:t xml:space="preserve"> </w:t>
      </w:r>
      <w:r>
        <w:t xml:space="preserve">rules.</w:t>
      </w:r>
    </w:p>
    <w:p>
      <w:pPr>
        <w:pStyle w:val="BodyText"/>
      </w:pPr>
      <w:r>
        <w:rPr>
          <w:b/>
          <w:bCs/>
        </w:rPr>
        <w:t xml:space="preserve">Worth expanding, in order.</w:t>
      </w:r>
      <w:r>
        <w:t xml:space="preserve"> </w:t>
      </w:r>
      <w:r>
        <w:t xml:space="preserve">Bulk dated corpora first, at two orders of magnitude more net-new pairs</w:t>
      </w:r>
      <w:r>
        <w:t xml:space="preserve"> </w:t>
      </w:r>
      <w:r>
        <w:t xml:space="preserve">per megabyte than prose. Registry datasets publishing creation dates second, the route that reaches</w:t>
      </w:r>
      <w:r>
        <w:t xml:space="preserve"> </w:t>
      </w:r>
      <w:r>
        <w:t xml:space="preserve">2001 where archives are thin. Re-auditing material already on disk third.</w:t>
      </w:r>
      <w:r>
        <w:t xml:space="preserve"> </w:t>
      </w:r>
      <w:r>
        <w:rPr>
          <w:b/>
          <w:bCs/>
        </w:rPr>
        <w:t xml:space="preserve">Not worth expanding</w:t>
      </w:r>
      <w:r>
        <w:t xml:space="preserve">, each</w:t>
      </w:r>
      <w:r>
        <w:t xml:space="preserve"> </w:t>
      </w:r>
      <w:r>
        <w:t xml:space="preserve">closed with numbers this round: academic repositories and DOI datasets, national web-archive indexes,</w:t>
      </w:r>
      <w:r>
        <w:t xml:space="preserve"> </w:t>
      </w:r>
      <w:r>
        <w:t xml:space="preserve">preserved CD-ROM media, trade directories of internet businesses, and prose corpora of any kind.</w:t>
      </w:r>
    </w:p>
    <w:bookmarkEnd w:id="15"/>
    <w:bookmarkStart w:id="16" w:name="Xa860f5fc05f32f1e17fd7da08cb6b7683f62b81"/>
    <w:p>
      <w:pPr>
        <w:pStyle w:val="Heading2"/>
      </w:pPr>
      <w:r>
        <w:t xml:space="preserve">8. The merge, the overlap and the reconciliation</w:t>
      </w:r>
    </w:p>
    <w:p>
      <w:pPr>
        <w:pStyle w:val="FirstParagraph"/>
      </w:pPr>
      <w:r>
        <w:rPr>
          <w:b/>
          <w:bCs/>
        </w:rPr>
        <w:t xml:space="preserve">Computed here, not described.</w:t>
      </w:r>
      <w:r>
        <w:t xml:space="preserve"> </w:t>
      </w:r>
      <w:r>
        <w:rPr>
          <w:rStyle w:val="VerbatimChar"/>
        </w:rPr>
        <w:t xml:space="preserve">merge_against_baseline.py</w:t>
      </w:r>
      <w:r>
        <w:t xml:space="preserve"> </w:t>
      </w:r>
      <w:r>
        <w:t xml:space="preserve">unions these</w:t>
      </w:r>
      <w:r>
        <w:t xml:space="preserve"> </w:t>
      </w:r>
      <w:r>
        <w:t xml:space="preserve">additions into the current baseline, deduplicated on the lowercased line within</w:t>
      </w:r>
      <w:r>
        <w:t xml:space="preserve"> </w:t>
      </w:r>
      <w:r>
        <w:t xml:space="preserve">each year, and scores every file with your own calculator. Per-year form in</w:t>
      </w:r>
      <w:r>
        <w:t xml:space="preserve"> </w:t>
      </w:r>
      <w:r>
        <w:rPr>
          <w:rStyle w:val="VerbatimChar"/>
        </w:rPr>
        <w:t xml:space="preserve">audit/merge_stats_ark_*.csv</w:t>
      </w:r>
      <w:r>
        <w:t xml:space="preserve">, in your column names so the two audits diff directly.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merged260821</w:t>
            </w:r>
          </w:p>
        </w:tc>
        <w:tc>
          <w:tcPr/>
          <w:p>
            <w:pPr>
              <w:pStyle w:val="Compact"/>
              <w:jc w:val="right"/>
            </w:pPr>
            <w:r>
              <w:t xml:space="preserve">25,064,981</w:t>
            </w:r>
          </w:p>
        </w:tc>
        <w:tc>
          <w:tcPr/>
          <w:p>
            <w:pPr>
              <w:pStyle w:val="Compact"/>
              <w:jc w:val="right"/>
            </w:pPr>
            <w:r>
              <w:t xml:space="preserve">13,362,368.8792</w:t>
            </w:r>
          </w:p>
        </w:tc>
      </w:tr>
      <w:tr>
        <w:tc>
          <w:tcPr/>
          <w:p>
            <w:pPr>
              <w:pStyle w:val="Compact"/>
            </w:pPr>
            <w:r>
              <w:t xml:space="preserve">submitted</w:t>
            </w:r>
          </w:p>
        </w:tc>
        <w:tc>
          <w:tcPr/>
          <w:p>
            <w:pPr>
              <w:pStyle w:val="Compact"/>
              <w:jc w:val="right"/>
            </w:pPr>
            <w:r>
              <w:t xml:space="preserve">769,438</w:t>
            </w:r>
          </w:p>
        </w:tc>
        <w:tc>
          <w:tcPr/>
          <w:p>
            <w:pPr>
              <w:pStyle w:val="Compact"/>
            </w:pPr>
          </w:p>
        </w:tc>
      </w:tr>
      <w:tr>
        <w:tc>
          <w:tcPr/>
          <w:p>
            <w:pPr>
              <w:pStyle w:val="Compact"/>
            </w:pPr>
            <w:r>
              <w:t xml:space="preserve">already in the baseline</w:t>
            </w:r>
          </w:p>
        </w:tc>
        <w:tc>
          <w:tcPr/>
          <w:p>
            <w:pPr>
              <w:pStyle w:val="Compact"/>
              <w:jc w:val="right"/>
            </w:pPr>
            <w:r>
              <w:t xml:space="preserve">0</w:t>
            </w:r>
          </w:p>
        </w:tc>
        <w:tc>
          <w:tcPr/>
          <w:p>
            <w:pPr>
              <w:pStyle w:val="Compact"/>
            </w:pPr>
          </w:p>
        </w:tc>
      </w:tr>
      <w:tr>
        <w:tc>
          <w:tcPr/>
          <w:p>
            <w:pPr>
              <w:pStyle w:val="Compact"/>
            </w:pPr>
            <w:r>
              <w:rPr>
                <w:b/>
                <w:bCs/>
              </w:rPr>
              <w:t xml:space="preserve">accepted increment</w:t>
            </w:r>
          </w:p>
        </w:tc>
        <w:tc>
          <w:tcPr/>
          <w:p>
            <w:pPr>
              <w:pStyle w:val="Compact"/>
              <w:jc w:val="right"/>
            </w:pPr>
            <w:r>
              <w:rPr>
                <w:b/>
                <w:bCs/>
              </w:rPr>
              <w:t xml:space="preserve">769,438</w:t>
            </w:r>
          </w:p>
        </w:tc>
        <w:tc>
          <w:tcPr/>
          <w:p>
            <w:pPr>
              <w:pStyle w:val="Compact"/>
              <w:jc w:val="right"/>
            </w:pPr>
            <w:r>
              <w:rPr>
                <w:b/>
                <w:bCs/>
              </w:rPr>
              <w:t xml:space="preserve">488,722.0745</w:t>
            </w:r>
          </w:p>
        </w:tc>
      </w:tr>
      <w:tr>
        <w:tc>
          <w:tcPr/>
          <w:p>
            <w:pPr>
              <w:pStyle w:val="Compact"/>
            </w:pPr>
            <w:r>
              <w:t xml:space="preserve">post-merge total</w:t>
            </w:r>
          </w:p>
        </w:tc>
        <w:tc>
          <w:tcPr/>
          <w:p>
            <w:pPr>
              <w:pStyle w:val="Compact"/>
              <w:jc w:val="right"/>
            </w:pPr>
            <w:r>
              <w:t xml:space="preserve">25,834,419</w:t>
            </w:r>
          </w:p>
        </w:tc>
        <w:tc>
          <w:tcPr/>
          <w:p>
            <w:pPr>
              <w:pStyle w:val="Compact"/>
              <w:jc w:val="right"/>
            </w:pPr>
            <w:r>
              <w:t xml:space="preserve">13,851,090.9537</w:t>
            </w:r>
          </w:p>
        </w:tc>
      </w:tr>
    </w:tbl>
    <w:p>
      <w:pPr>
        <w:pStyle w:val="BodyText"/>
      </w:pPr>
      <w:r>
        <w:rPr>
          <w:b/>
          <w:bCs/>
        </w:rPr>
        <w:t xml:space="preserve">22 of 22 reconciliation checks pass</w:t>
      </w:r>
      <w:r>
        <w:t xml:space="preserve">, all arithmetic identities,</w:t>
      </w:r>
      <w:r>
        <w:t xml:space="preserve"> </w:t>
      </w:r>
      <w:r>
        <w:t xml:space="preserve">so a failure would be a defect rather than a finding: per year that</w:t>
      </w:r>
      <w:r>
        <w:t xml:space="preserve"> </w:t>
      </w:r>
      <w:r>
        <w:rPr>
          <w:rStyle w:val="VerbatimChar"/>
        </w:rPr>
        <w:t xml:space="preserve">baseline_unique + accepted_new == merged_unique</w:t>
      </w:r>
      <w:r>
        <w:t xml:space="preserve"> </w:t>
      </w:r>
      <w:r>
        <w:t xml:space="preserve">and</w:t>
      </w:r>
      <w:r>
        <w:t xml:space="preserve"> </w:t>
      </w:r>
      <w:r>
        <w:rPr>
          <w:rStyle w:val="VerbatimChar"/>
        </w:rPr>
        <w:t xml:space="preserve">already_in_baseline + accepted_new == submitted_unique</w:t>
      </w:r>
      <w:r>
        <w:t xml:space="preserve">, that the per-year</w:t>
      </w:r>
      <w:r>
        <w:t xml:space="preserve"> </w:t>
      </w:r>
      <w:r>
        <w:t xml:space="preserve">increments sum to the headline figure, and that a freshly measured baseline</w:t>
      </w:r>
      <w:r>
        <w:t xml:space="preserve"> </w:t>
      </w:r>
      <w:r>
        <w:t xml:space="preserve">reproduces the totals this round was measured against. Each is listed with its</w:t>
      </w:r>
      <w:r>
        <w:t xml:space="preserve"> </w:t>
      </w:r>
      <w:r>
        <w:t xml:space="preserve">verdict in</w:t>
      </w:r>
      <w:r>
        <w:t xml:space="preserve"> </w:t>
      </w:r>
      <w:r>
        <w:rPr>
          <w:rStyle w:val="VerbatimChar"/>
        </w:rPr>
        <w:t xml:space="preserve">audit/merge_audit_ark_*.json</w:t>
      </w:r>
      <w:r>
        <w:t xml:space="preserve">.</w:t>
      </w:r>
    </w:p>
    <w:bookmarkEnd w:id="16"/>
    <w:bookmarkStart w:id="17" w:name="X8529bcd92c1d78bcbe2d3eb29b1475114e5f12a"/>
    <w:p>
      <w:pPr>
        <w:pStyle w:val="Heading2"/>
      </w:pPr>
      <w:r>
        <w:t xml:space="preserve">9. Reproduction, and the four requested artifacts</w:t>
      </w:r>
    </w:p>
    <w:p>
      <w:pPr>
        <w:pStyle w:val="FirstParagraph"/>
      </w:pPr>
      <w:r>
        <w:rPr>
          <w:rStyle w:val="VerbatimChar"/>
        </w:rPr>
        <w:t xml:space="preserve">README.md</w:t>
      </w:r>
      <w:r>
        <w:t xml:space="preserve"> </w:t>
      </w:r>
      <w:r>
        <w:t xml:space="preserve">in the archive gives the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 lists</w:t>
      </w:r>
      <w:r>
        <w:t xml:space="preserve"> </w:t>
      </w:r>
      <w:r>
        <w:t xml:space="preserve">and this round's net-new records,</w:t>
      </w:r>
      <w:r>
        <w:t xml:space="preserve"> </w:t>
      </w:r>
      <w:r>
        <w:rPr>
          <w:rStyle w:val="VerbatimChar"/>
        </w:rPr>
        <w:t xml:space="preserve">candidates.txt</w:t>
      </w:r>
      <w:r>
        <w:t xml:space="preserve"> </w:t>
      </w:r>
      <w:r>
        <w:t xml:space="preserve">the undated names,</w:t>
      </w:r>
      <w:r>
        <w:t xml:space="preserve"> </w:t>
      </w:r>
      <w:r>
        <w:rPr>
          <w:rStyle w:val="VerbatimChar"/>
        </w:rPr>
        <w:t xml:space="preserve">provenance/*.parquet</w:t>
      </w:r>
      <w:r>
        <w:t xml:space="preserve"> </w:t>
      </w:r>
      <w:r>
        <w:t xml:space="preserve">every</w:t>
      </w:r>
      <w:r>
        <w:t xml:space="preserve"> </w:t>
      </w:r>
      <w:r>
        <w:t xml:space="preserve">(domain, year) joined to the evidence row justifying it. A fresh copy of this archive was extracted and put through the route above before sending. Checksums</w:t>
      </w:r>
      <w:r>
        <w:t xml:space="preserve"> </w:t>
      </w:r>
      <w:r>
        <w:t xml:space="preserve">and all four checks in</w:t>
      </w:r>
      <w:r>
        <w:t xml:space="preserve"> </w:t>
      </w:r>
      <w:r>
        <w:rPr>
          <w:rStyle w:val="VerbatimChar"/>
        </w:rPr>
        <w:t xml:space="preserve">verify.sh</w:t>
      </w:r>
      <w:r>
        <w:t xml:space="preserve"> </w:t>
      </w:r>
      <w:r>
        <w:t xml:space="preserve">pass,</w:t>
      </w:r>
      <w:r>
        <w:t xml:space="preserve"> </w:t>
      </w:r>
      <w:r>
        <w:rPr>
          <w:rStyle w:val="VerbatimChar"/>
        </w:rPr>
        <w:t xml:space="preserve">trace.py</w:t>
      </w:r>
      <w:r>
        <w:t xml:space="preserve"> </w:t>
      </w:r>
      <w:r>
        <w:t xml:space="preserve">resolves, the rebuild from</w:t>
      </w:r>
      <w:r>
        <w:t xml:space="preserve"> </w:t>
      </w:r>
      <w:r>
        <w:rPr>
          <w:rStyle w:val="VerbatimChar"/>
        </w:rPr>
        <w:t xml:space="preserve">provenance/</w:t>
      </w:r>
      <w:r>
        <w:t xml:space="preserve"> </w:t>
      </w:r>
      <w:r>
        <w:t xml:space="preserve">returns</w:t>
      </w:r>
      <w:r>
        <w:t xml:space="preserve"> </w:t>
      </w:r>
      <w:r>
        <w:t xml:space="preserve">every per-year count exactly with all eleven invariants passing, and all fourteen result files come back</w:t>
      </w:r>
      <w:r>
        <w:t xml:space="preserve"> </w:t>
      </w:r>
      <w:r>
        <w:t xml:space="preserve">byte-identical. Tier 3 was not run: it is a roughly 50 GB download and two of this project's own</w:t>
      </w:r>
      <w:r>
        <w:t xml:space="preserve"> </w:t>
      </w:r>
      <w:r>
        <w:t xml:space="preserve">collectors were querying the Internet Archive at the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asked for</w:t>
            </w:r>
          </w:p>
        </w:tc>
        <w:tc>
          <w:tcPr/>
          <w:p>
            <w:pPr>
              <w:pStyle w:val="Compact"/>
            </w:pPr>
            <w:r>
              <w:t xml:space="preserve">where it is</w:t>
            </w:r>
          </w:p>
        </w:tc>
      </w:tr>
      <w:tr>
        <w:tc>
          <w:tcPr/>
          <w:p>
            <w:pPr>
              <w:pStyle w:val="Compact"/>
            </w:pPr>
            <w:r>
              <w:rPr>
                <w:b/>
                <w:bCs/>
              </w:rPr>
              <w:t xml:space="preserve">D1</w:t>
            </w:r>
          </w:p>
        </w:tc>
        <w:tc>
          <w:tcPr/>
          <w:p>
            <w:pPr>
              <w:pStyle w:val="Compact"/>
            </w:pPr>
            <w:r>
              <w:t xml:space="preserve">runnable code, dependencies, instructions</w:t>
            </w:r>
          </w:p>
        </w:tc>
        <w:tc>
          <w:tcPr/>
          <w:p>
            <w:pPr>
              <w:pStyle w:val="Compact"/>
            </w:pPr>
            <w:r>
              <w:rPr>
                <w:rStyle w:val="VerbatimChar"/>
              </w:rPr>
              <w:t xml:space="preserve">source/source.tar.gz</w:t>
            </w:r>
            <w:r>
              <w:t xml:space="preserve"> </w:t>
            </w:r>
            <w:r>
              <w:t xml:space="preserve">at the commit in</w:t>
            </w:r>
            <w:r>
              <w:t xml:space="preserve"> </w:t>
            </w:r>
            <w:r>
              <w:rPr>
                <w:rStyle w:val="VerbatimChar"/>
              </w:rPr>
              <w:t xml:space="preserve">MANIFEST.txt</w:t>
            </w:r>
            <w:r>
              <w:t xml:space="preserve">, with</w:t>
            </w:r>
            <w:r>
              <w:t xml:space="preserve"> </w:t>
            </w:r>
            <w:r>
              <w:rPr>
                <w:rStyle w:val="VerbatimChar"/>
              </w:rPr>
              <w:t xml:space="preserve">pyproject.toml</w:t>
            </w:r>
            <w:r>
              <w:t xml:space="preserve"> </w:t>
            </w:r>
            <w:r>
              <w:t xml:space="preserve">and</w:t>
            </w:r>
            <w:r>
              <w:t xml:space="preserve"> </w:t>
            </w:r>
            <w:r>
              <w:rPr>
                <w:rStyle w:val="VerbatimChar"/>
              </w:rPr>
              <w:t xml:space="preserve">uv.lock</w:t>
            </w:r>
            <w:r>
              <w:t xml:space="preserve">; its</w:t>
            </w:r>
            <w:r>
              <w:t xml:space="preserve"> </w:t>
            </w:r>
            <w:r>
              <w:rPr>
                <w:rStyle w:val="VerbatimChar"/>
              </w:rPr>
              <w:t xml:space="preserve">README.md</w:t>
            </w:r>
            <w:r>
              <w:t xml:space="preserve"> </w:t>
            </w:r>
            <w:r>
              <w:t xml:space="preserve">names what every command should print</w:t>
            </w:r>
          </w:p>
        </w:tc>
      </w:tr>
      <w:tr>
        <w:tc>
          <w:tcPr/>
          <w:p>
            <w:pPr>
              <w:pStyle w:val="Compact"/>
            </w:pPr>
            <w:r>
              <w:rPr>
                <w:b/>
                <w:bCs/>
              </w:rPr>
              <w:t xml:space="preserve">D2</w:t>
            </w:r>
          </w:p>
        </w:tc>
        <w:tc>
          <w:tcPr/>
          <w:p>
            <w:pPr>
              <w:pStyle w:val="Compact"/>
            </w:pPr>
            <w:r>
              <w:t xml:space="preserve">experience summary</w:t>
            </w:r>
          </w:p>
        </w:tc>
        <w:tc>
          <w:tcPr/>
          <w:p>
            <w:pPr>
              <w:pStyle w:val="Compact"/>
            </w:pPr>
            <w:r>
              <w:rPr>
                <w:rStyle w:val="VerbatimChar"/>
              </w:rPr>
              <w:t xml:space="preserve">experience-summary.md</w:t>
            </w:r>
            <w:r>
              <w:t xml:space="preserve">, distilled from</w:t>
            </w:r>
            <w:r>
              <w:t xml:space="preserve"> </w:t>
            </w:r>
            <w:r>
              <w:rPr>
                <w:rStyle w:val="VerbatimChar"/>
              </w:rPr>
              <w:t xml:space="preserve">sources.md</w:t>
            </w:r>
            <w:r>
              <w:t xml:space="preserve">, which carries every rejection with the measurement that closed it</w:t>
            </w:r>
          </w:p>
        </w:tc>
      </w:tr>
      <w:tr>
        <w:tc>
          <w:tcPr/>
          <w:p>
            <w:pPr>
              <w:pStyle w:val="Compact"/>
            </w:pPr>
            <w:r>
              <w:rPr>
                <w:b/>
                <w:bCs/>
              </w:rPr>
              <w:t xml:space="preserve">D3</w:t>
            </w:r>
          </w:p>
        </w:tc>
        <w:tc>
          <w:tcPr/>
          <w:p>
            <w:pPr>
              <w:pStyle w:val="Compact"/>
            </w:pPr>
            <w:r>
              <w:t xml:space="preserve">merge and dedup code, overlap, reconciliation</w:t>
            </w:r>
          </w:p>
        </w:tc>
        <w:tc>
          <w:tcPr/>
          <w:p>
            <w:pPr>
              <w:pStyle w:val="Compact"/>
            </w:pPr>
            <w:r>
              <w:t xml:space="preserve">section 8,</w:t>
            </w:r>
            <w:r>
              <w:t xml:space="preserve"> </w:t>
            </w:r>
            <w:r>
              <w:rPr>
                <w:rStyle w:val="VerbatimChar"/>
              </w:rPr>
              <w:t xml:space="preserve">source/scripts/merge_against_baseline.py</w:t>
            </w:r>
            <w:r>
              <w:t xml:space="preserve">, output in</w:t>
            </w:r>
            <w:r>
              <w:t xml:space="preserve"> </w:t>
            </w:r>
            <w:r>
              <w:rPr>
                <w:rStyle w:val="VerbatimChar"/>
              </w:rPr>
              <w:t xml:space="preserve">audit/</w:t>
            </w:r>
          </w:p>
        </w:tc>
      </w:tr>
      <w:tr>
        <w:tc>
          <w:tcPr/>
          <w:p>
            <w:pPr>
              <w:pStyle w:val="Compact"/>
            </w:pPr>
            <w:r>
              <w:rPr>
                <w:b/>
                <w:bCs/>
              </w:rPr>
              <w:t xml:space="preserve">D4</w:t>
            </w:r>
          </w:p>
        </w:tc>
        <w:tc>
          <w:tcPr/>
          <w:p>
            <w:pPr>
              <w:pStyle w:val="Compact"/>
            </w:pPr>
            <w:r>
              <w:t xml:space="preserve">runnable metric code and its explanation</w:t>
            </w:r>
          </w:p>
        </w:tc>
        <w:tc>
          <w:tcPr/>
          <w:p>
            <w:pPr>
              <w:pStyle w:val="Compact"/>
            </w:pPr>
            <w:r>
              <w:rPr>
                <w:rStyle w:val="VerbatimChar"/>
              </w:rPr>
              <w:t xml:space="preserve">equivalent_english_domain_calculator/</w:t>
            </w:r>
            <w:r>
              <w:t xml:space="preserve">, your own program vendored unmodified, explained in</w:t>
            </w:r>
            <w:r>
              <w:t xml:space="preserve"> </w:t>
            </w:r>
            <w:r>
              <w:rPr>
                <w:rStyle w:val="VerbatimChar"/>
              </w:rPr>
              <w:t xml:space="preserve">metric-explained.md</w:t>
            </w:r>
          </w:p>
        </w:tc>
      </w:tr>
    </w:tbl>
    <w:p>
      <w:pPr>
        <w:pStyle w:val="BodyText"/>
      </w:pPr>
      <w:r>
        <w:rPr>
          <w:rStyle w:val="VerbatimChar"/>
        </w:rPr>
        <w:t xml:space="preserve">verify.sh</w:t>
      </w:r>
      <w:r>
        <w:t xml:space="preserve"> </w:t>
      </w:r>
      <w:r>
        <w:t xml:space="preserve">checks all four inside a fresh extraction, so none can ship unmet.</w:t>
      </w:r>
    </w:p>
    <w:bookmarkEnd w:id="17"/>
    <w:bookmarkEnd w:id="18"/>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2026-08-26T19:48:50Z</dcterms:created>
  <dcterms:modified xsi:type="dcterms:W3CDTF">2026-08-26T19:48:50Z</dcterms:modified>
</cp:coreProperties>
</file>

<file path=docProps/custom.xml><?xml version="1.0" encoding="utf-8"?>
<Properties xmlns="http://schemas.openxmlformats.org/officeDocument/2006/custom-properties" xmlns:vt="http://schemas.openxmlformats.org/officeDocument/2006/docPropsVTypes"/>
</file>