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2,838,715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1,697,224.8585</w:t>
            </w:r>
          </w:p>
        </w:tc>
      </w:tr>
      <w:tr>
        <w:tc>
          <w:tcPr/>
          <w:p>
            <w:pPr>
              <w:pStyle w:val="Compact"/>
            </w:pPr>
            <w:r>
              <w:t xml:space="preserve">5. Equivalent-English growth rate</w:t>
            </w:r>
          </w:p>
        </w:tc>
        <w:tc>
          <w:tcPr/>
          <w:p>
            <w:pPr>
              <w:pStyle w:val="Compact"/>
              <w:jc w:val="right"/>
            </w:pPr>
            <w:r>
              <w:rPr>
                <w:b/>
                <w:bCs/>
              </w:rPr>
              <w:t xml:space="preserve">20.3337%</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increment covers 2,666,850 distinct domains, of which</w:t>
      </w:r>
      <w:r>
        <w:t xml:space="preserve"> </w:t>
      </w:r>
      <w:r>
        <w:rPr>
          <w:b/>
          <w:bCs/>
        </w:rPr>
        <w:t xml:space="preserve">1,790,892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63,164</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230,192</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283,156</w:t>
            </w:r>
          </w:p>
        </w:tc>
        <w:tc>
          <w:tcPr/>
          <w:p>
            <w:pPr>
              <w:pStyle w:val="Compact"/>
              <w:jc w:val="right"/>
            </w:pPr>
            <w:r>
              <w:t xml:space="preserve">4,837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513,761</w:t>
            </w:r>
          </w:p>
        </w:tc>
        <w:tc>
          <w:tcPr/>
          <w:p>
            <w:pPr>
              <w:pStyle w:val="Compact"/>
              <w:jc w:val="right"/>
            </w:pPr>
            <w:r>
              <w:t xml:space="preserve">16,602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765,559</w:t>
            </w:r>
          </w:p>
        </w:tc>
        <w:tc>
          <w:tcPr/>
          <w:p>
            <w:pPr>
              <w:pStyle w:val="Compact"/>
              <w:jc w:val="right"/>
            </w:pPr>
            <w:r>
              <w:t xml:space="preserve">27,144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982,883</w:t>
            </w:r>
          </w:p>
        </w:tc>
        <w:tc>
          <w:tcPr/>
          <w:p>
            <w:pPr>
              <w:pStyle w:val="Compact"/>
              <w:jc w:val="right"/>
            </w:pPr>
            <w:r>
              <w:t xml:space="preserve">225,540 (22.9%)</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2,838,715</w:t>
            </w:r>
          </w:p>
        </w:tc>
        <w:tc>
          <w:tcPr/>
          <w:p>
            <w:pPr>
              <w:pStyle w:val="Compact"/>
              <w:jc w:val="right"/>
            </w:pPr>
            <w:r>
              <w:rPr>
                <w:b/>
                <w:bCs/>
              </w:rPr>
              <w:t xml:space="preserve">274,451 (9.7%)</w:t>
            </w:r>
          </w:p>
        </w:tc>
      </w:tr>
    </w:tbl>
    <w:p>
      <w:pPr>
        <w:pStyle w:val="BodyText"/>
      </w:pPr>
      <w:r>
        <w:t xml:space="preserve">The baseline column counts registered domains, so it reads lower than the raw lines of line 1; both</w:t>
      </w:r>
      <w:r>
        <w:t xml:space="preserve"> </w:t>
      </w:r>
      <w:r>
        <w:t xml:space="preserve">describe the same six files.</w:t>
      </w:r>
    </w:p>
    <w:p>
      <w:pPr>
        <w:pStyle w:val="BodyText"/>
      </w:pPr>
      <w:r>
        <w:rPr>
          <w:b/>
          <w:bCs/>
        </w:rPr>
        <w:t xml:space="preserve">Cumulative.</w:t>
      </w:r>
      <w:r>
        <w:t xml:space="preserve"> </w:t>
      </w:r>
      <w:r>
        <w:t xml:space="preserve">Across the four rounds shipped so far this project has added 5,366,454 domain-year records worth 3,149,000.6140 equivalent-English, which is</w:t>
      </w:r>
      <w:r>
        <w:t xml:space="preserve"> </w:t>
      </w:r>
      <w:r>
        <w:rPr>
          <w:b/>
          <w:bCs/>
        </w:rPr>
        <w:t xml:space="preserve">37.7269%</w:t>
      </w:r>
      <w:r>
        <w:t xml:space="preserve"> </w:t>
      </w:r>
      <w:r>
        <w:t xml:space="preserve">of the 8,346,839.3737 the corpus holds today.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rPr>
                <w:b/>
                <w:bCs/>
              </w:rPr>
              <w:t xml:space="preserve">5, this one</w:t>
            </w:r>
          </w:p>
        </w:tc>
        <w:tc>
          <w:tcPr/>
          <w:p>
            <w:pPr>
              <w:pStyle w:val="Compact"/>
              <w:jc w:val="right"/>
            </w:pPr>
            <w:r>
              <w:rPr>
                <w:b/>
                <w:bCs/>
              </w:rPr>
              <w:t xml:space="preserve">2,838,715</w:t>
            </w:r>
          </w:p>
        </w:tc>
        <w:tc>
          <w:tcPr/>
          <w:p>
            <w:pPr>
              <w:pStyle w:val="Compact"/>
              <w:jc w:val="right"/>
            </w:pPr>
            <w:r>
              <w:rPr>
                <w:b/>
                <w:bCs/>
              </w:rPr>
              <w:t xml:space="preserve">1,697,224.8585</w:t>
            </w:r>
          </w:p>
        </w:tc>
      </w:tr>
      <w:tr>
        <w:tc>
          <w:tcPr/>
          <w:p>
            <w:pPr>
              <w:pStyle w:val="Compact"/>
            </w:pPr>
            <w:r>
              <w:rPr>
                <w:b/>
                <w:bCs/>
              </w:rPr>
              <w:t xml:space="preserve">Total</w:t>
            </w:r>
          </w:p>
        </w:tc>
        <w:tc>
          <w:tcPr/>
          <w:p>
            <w:pPr>
              <w:pStyle w:val="Compact"/>
              <w:jc w:val="right"/>
            </w:pPr>
            <w:r>
              <w:rPr>
                <w:b/>
                <w:bCs/>
              </w:rPr>
              <w:t xml:space="preserve">5,366,454</w:t>
            </w:r>
          </w:p>
        </w:tc>
        <w:tc>
          <w:tcPr/>
          <w:p>
            <w:pPr>
              <w:pStyle w:val="Compact"/>
              <w:jc w:val="right"/>
            </w:pPr>
            <w:r>
              <w:rPr>
                <w:b/>
                <w:bCs/>
              </w:rPr>
              <w:t xml:space="preserve">3,149,000.6140</w:t>
            </w:r>
          </w:p>
        </w:tc>
      </w:tr>
    </w:tbl>
    <w:p>
      <w:r>
        <w:pict>
          <v:rect style="width:0;height:1.5pt" o:hralign="center" o:hrstd="t" o:hr="t"/>
        </w:pict>
      </w:r>
    </w:p>
    <w:bookmarkEnd w:id="9"/>
    <w:bookmarkStart w:id="10" w:name="X6b9014d666cd71203f633ea8fb2d2a84759fddd"/>
    <w:p>
      <w:pPr>
        <w:pStyle w:val="Heading2"/>
      </w:pPr>
      <w:r>
        <w:t xml:space="preserve">2. What was added, and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Internet Archive's own capture census, a 2017 Dartmouth/NBER release</w:t>
            </w:r>
          </w:p>
        </w:tc>
        <w:tc>
          <w:tcPr/>
          <w:p>
            <w:pPr>
              <w:pStyle w:val="Compact"/>
            </w:pPr>
            <w:r>
              <w:t xml:space="preserve">the archive's count of captures it holds for that host in that calendar year</w:t>
            </w:r>
          </w:p>
        </w:tc>
        <w:tc>
          <w:tcPr/>
          <w:p>
            <w:pPr>
              <w:pStyle w:val="Compact"/>
              <w:jc w:val="right"/>
            </w:pPr>
            <w:r>
              <w:t xml:space="preserve">227,273</w:t>
            </w:r>
          </w:p>
        </w:tc>
      </w:tr>
      <w:tr>
        <w:tc>
          <w:tcPr/>
          <w:p>
            <w:pPr>
              <w:pStyle w:val="Compact"/>
            </w:pPr>
            <w:r>
              <w:t xml:space="preserve">a published compilation of registry creation dates over 171M domains</w:t>
            </w:r>
          </w:p>
        </w:tc>
        <w:tc>
          <w:tcPr/>
          <w:p>
            <w:pPr>
              <w:pStyle w:val="Compact"/>
            </w:pPr>
            <w:r>
              <w:t xml:space="preserve">the registry's own creation date, which dates that year and no other</w:t>
            </w:r>
          </w:p>
        </w:tc>
        <w:tc>
          <w:tcPr/>
          <w:p>
            <w:pPr>
              <w:pStyle w:val="Compact"/>
              <w:jc w:val="right"/>
            </w:pPr>
            <w:r>
              <w:t xml:space="preserve">2,165,506</w:t>
            </w:r>
          </w:p>
        </w:tc>
      </w:tr>
      <w:tr>
        <w:tc>
          <w:tcPr/>
          <w:p>
            <w:pPr>
              <w:pStyle w:val="Compact"/>
            </w:pPr>
            <w:r>
              <w:t xml:space="preserve">the UK Web Archive host link graph, already held since July</w:t>
            </w:r>
          </w:p>
        </w:tc>
        <w:tc>
          <w:tcPr/>
          <w:p>
            <w:pPr>
              <w:pStyle w:val="Compact"/>
            </w:pPr>
            <w:r>
              <w:t xml:space="preserve">the crawl date on the link record</w:t>
            </w:r>
          </w:p>
        </w:tc>
        <w:tc>
          <w:tcPr/>
          <w:p>
            <w:pPr>
              <w:pStyle w:val="Compact"/>
              <w:jc w:val="right"/>
            </w:pPr>
            <w:r>
              <w:t xml:space="preserve">92,646</w:t>
            </w:r>
          </w:p>
        </w:tc>
      </w:tr>
      <w:tr>
        <w:tc>
          <w:tcPr/>
          <w:p>
            <w:pPr>
              <w:pStyle w:val="Compact"/>
            </w:pPr>
            <w:r>
              <w:t xml:space="preserve">the January 1997 Internet Domain Survey, recovered from a dead host</w:t>
            </w:r>
          </w:p>
        </w:tc>
        <w:tc>
          <w:tcPr/>
          <w:p>
            <w:pPr>
              <w:pStyle w:val="Compact"/>
            </w:pPr>
            <w:r>
              <w:t xml:space="preserve">the survey edition date</w:t>
            </w:r>
          </w:p>
        </w:tc>
        <w:tc>
          <w:tcPr/>
          <w:p>
            <w:pPr>
              <w:pStyle w:val="Compact"/>
              <w:jc w:val="right"/>
            </w:pPr>
            <w:r>
              <w:t xml:space="preserve">115,104</w:t>
            </w:r>
          </w:p>
        </w:tc>
      </w:tr>
    </w:tbl>
    <w:p>
      <w:pPr>
        <w:pStyle w:val="BodyText"/>
      </w:pPr>
      <w:r>
        <w:rPr>
          <w:rStyle w:val="VerbatimChar"/>
        </w:rPr>
        <w:t xml:space="preserve">sources.md</w:t>
      </w:r>
      <w:r>
        <w:t xml:space="preserve">, shipped beside this report, carries the full entry for each: acquisition command, date</w:t>
      </w:r>
      <w:r>
        <w:t xml:space="preserve"> </w:t>
      </w:r>
      <w:r>
        <w:t xml:space="preserve">semantics, measured yield, caveats.</w:t>
      </w:r>
    </w:p>
    <w:p>
      <w:pPr>
        <w:pStyle w:val="BodyText"/>
      </w:pPr>
      <w:r>
        <w:rPr>
          <w:b/>
          <w:bCs/>
        </w:rPr>
        <w:t xml:space="preserve">Both new sources were verified before admission.</w:t>
      </w:r>
      <w:r>
        <w:t xml:space="preserve"> </w:t>
      </w:r>
      <w:r>
        <w:t xml:space="preserve">The capture census agrees with our own independent</w:t>
      </w:r>
      <w:r>
        <w:t xml:space="preserve"> </w:t>
      </w:r>
      <w:r>
        <w:t xml:space="preserve">CDX querying of the live archive on</w:t>
      </w:r>
      <w:r>
        <w:t xml:space="preserve"> </w:t>
      </w:r>
      <w:r>
        <w:rPr>
          <w:b/>
          <w:bCs/>
        </w:rPr>
        <w:t xml:space="preserve">138,760 (domain, year) pairs</w:t>
      </w:r>
      <w:r>
        <w:t xml:space="preserve">, including exact</w:t>
      </w:r>
      <w:r>
        <w:t xml:space="preserve"> </w:t>
      </w:r>
      <w:r>
        <w:t xml:space="preserve">same-day agreement on single-capture years. The registry dates were tested against a constraint nobody</w:t>
      </w:r>
      <w:r>
        <w:t xml:space="preserve"> </w:t>
      </w:r>
      <w:r>
        <w:t xml:space="preserve">encoded: a TLD cannot predate its own delegation, and across the six delegated in 2001 the file holds</w:t>
      </w:r>
      <w:r>
        <w:t xml:space="preserve"> </w:t>
      </w:r>
      <w:r>
        <w:t xml:space="preserve">21,698 in-window rows and</w:t>
      </w:r>
      <w:r>
        <w:t xml:space="preserve"> </w:t>
      </w:r>
      <w:r>
        <w:rPr>
          <w:b/>
          <w:bCs/>
        </w:rPr>
        <w:t xml:space="preserve">zero</w:t>
      </w:r>
      <w:r>
        <w:t xml:space="preserve"> </w:t>
      </w:r>
      <w:r>
        <w:t xml:space="preserve">dated before 2001.</w:t>
      </w:r>
    </w:p>
    <w:p>
      <w:pPr>
        <w:pStyle w:val="BodyText"/>
      </w:pPr>
      <w:r>
        <w:t xml:space="preserve">One caveat on checking the census yourself:</w:t>
      </w:r>
      <w:r>
        <w:t xml:space="preserve"> </w:t>
      </w:r>
      <w:r>
        <w:rPr>
          <w:b/>
          <w:bCs/>
        </w:rPr>
        <w:t xml:space="preserve">the archive.org item it came from stopped serving the day</w:t>
      </w:r>
      <w:r>
        <w:rPr>
          <w:b/>
          <w:bCs/>
        </w:rPr>
        <w:t xml:space="preserve"> </w:t>
      </w:r>
      <w:r>
        <w:rPr>
          <w:b/>
          <w:bCs/>
        </w:rPr>
        <w:t xml:space="preserve">after we downloaded it</w:t>
      </w:r>
      <w:r>
        <w:t xml:space="preserve">, so use the live Wayback URL each record carries instead;</w:t>
      </w:r>
      <w:r>
        <w:t xml:space="preserve"> </w:t>
      </w:r>
      <w:r>
        <w:rPr>
          <w:rStyle w:val="VerbatimChar"/>
        </w:rPr>
        <w:t xml:space="preserve">sources.md</w:t>
      </w:r>
      <w:r>
        <w:t xml:space="preserve"> </w:t>
      </w:r>
      <w:r>
        <w:t xml:space="preserve">has the</w:t>
      </w:r>
      <w:r>
        <w:t xml:space="preserve"> </w:t>
      </w:r>
      <w:r>
        <w:t xml:space="preserve">detail.</w:t>
      </w:r>
    </w:p>
    <w:p>
      <w:pPr>
        <w:pStyle w:val="BodyText"/>
      </w:pPr>
      <w:r>
        <w:rPr>
          <w:b/>
          <w:bCs/>
        </w:rPr>
        <w:t xml:space="preserve">The largest contributor carries the narrowest evidence, and is under-claimed deliberately.</w:t>
      </w:r>
      <w:r>
        <w:t xml:space="preserve"> </w:t>
      </w:r>
      <w:r>
        <w:t xml:space="preserve">A</w:t>
      </w:r>
      <w:r>
        <w:t xml:space="preserve"> </w:t>
      </w:r>
      <w:r>
        <w:t xml:space="preserve">creation date attests registration, not activity, and only for one year. A domain registered in 1997</w:t>
      </w:r>
      <w:r>
        <w:t xml:space="preserve"> </w:t>
      </w:r>
      <w:r>
        <w:t xml:space="preserve">and live until 2001 gets 1997 from this route alone; the other four years must be earned from a capture</w:t>
      </w:r>
      <w:r>
        <w:t xml:space="preserve"> </w:t>
      </w:r>
      <w:r>
        <w:t xml:space="preserve">or a survey. The parser emits one evidence row for one year, so a second cannot be written.</w:t>
      </w:r>
    </w:p>
    <w:p>
      <w:r>
        <w:pict>
          <v:rect style="width:0;height:1.5pt" o:hralign="center" o:hrstd="t" o:hr="t"/>
        </w:pict>
      </w:r>
    </w:p>
    <w:bookmarkEnd w:id="10"/>
    <w:bookmarkStart w:id="11" w:name="Xe43e5d609466207d1dd3dbe06d1d10756c2fd7b"/>
    <w:p>
      <w:pPr>
        <w:pStyle w:val="Heading2"/>
      </w:pPr>
      <w:r>
        <w:t xml:space="preserve">3. Source contribution statistics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2,165,506</w:t>
            </w:r>
          </w:p>
        </w:tc>
        <w:tc>
          <w:tcPr/>
          <w:p>
            <w:pPr>
              <w:pStyle w:val="Compact"/>
              <w:jc w:val="right"/>
            </w:pPr>
            <w:r>
              <w:t xml:space="preserve">1,241,811.6</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88,643</w:t>
            </w:r>
          </w:p>
        </w:tc>
        <w:tc>
          <w:tcPr/>
          <w:p>
            <w:pPr>
              <w:pStyle w:val="Compact"/>
              <w:jc w:val="right"/>
            </w:pPr>
            <w:r>
              <w:t xml:space="preserve">54,714.0</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44,629</w:t>
            </w:r>
          </w:p>
        </w:tc>
        <w:tc>
          <w:tcPr/>
          <w:p>
            <w:pPr>
              <w:pStyle w:val="Compact"/>
              <w:jc w:val="right"/>
            </w:pPr>
            <w:r>
              <w:t xml:space="preserve">38,756.4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2,838,715</w:t>
            </w:r>
          </w:p>
        </w:tc>
        <w:tc>
          <w:tcPr/>
          <w:p>
            <w:pPr>
              <w:pStyle w:val="Compact"/>
              <w:jc w:val="right"/>
            </w:pPr>
            <w:r>
              <w:rPr>
                <w:b/>
                <w:bCs/>
              </w:rPr>
              <w:t xml:space="preserve">1,697,224.9</w:t>
            </w:r>
          </w:p>
        </w:tc>
      </w:tr>
    </w:tbl>
    <w:p>
      <w:pPr>
        <w:pStyle w:val="BodyText"/>
      </w:pPr>
      <w:r>
        <w:t xml:space="preserve">Every row above is master, so eligible for the annual files. Separately,</w:t>
      </w:r>
      <w:r>
        <w:t xml:space="preserve"> </w:t>
      </w:r>
      <w:r>
        <w:rPr>
          <w:b/>
          <w:bCs/>
        </w:rPr>
        <w:t xml:space="preserve">2,450,244 domains have no</w:t>
      </w:r>
      <w:r>
        <w:rPr>
          <w:b/>
          <w:bCs/>
        </w:rPr>
        <w:t xml:space="preserve"> </w:t>
      </w:r>
      <w:r>
        <w:rPr>
          <w:b/>
          <w:bCs/>
        </w:rPr>
        <w:t xml:space="preserve">year-specific evidence</w:t>
      </w:r>
      <w:r>
        <w:t xml:space="preserve"> </w:t>
      </w:r>
      <w:r>
        <w:t xml:space="preserve">and ship as</w:t>
      </w:r>
      <w:r>
        <w:t xml:space="preserve"> </w:t>
      </w:r>
      <w:r>
        <w:rPr>
          <w:rStyle w:val="VerbatimChar"/>
        </w:rPr>
        <w:t xml:space="preserve">candidates.txt</w:t>
      </w:r>
      <w:r>
        <w:t xml:space="preserve">, kept out of the annual masters.</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rPr>
          <w:rStyle w:val="VerbatimChar"/>
        </w:rPr>
        <w:t xml:space="preserve">ark cdx</w:t>
      </w:r>
      <w:r>
        <w:t xml:space="preserve">, this project's client for the public Wayback CDX API, over two disjoint populations on two</w:t>
      </w:r>
      <w:r>
        <w:t xml:space="preserve"> </w:t>
      </w:r>
      <w:r>
        <w:t xml:space="preserve">machines: the VPS works bracketed gaps as a completeness baseline, the local engine works the candidate</w:t>
      </w:r>
      <w:r>
        <w:t xml:space="preserve"> </w:t>
      </w:r>
      <w:r>
        <w:t xml:space="preserve">pool beside the discovery loop feeding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162</w:t>
            </w:r>
          </w:p>
        </w:tc>
        <w:tc>
          <w:tcPr/>
          <w:p>
            <w:pPr>
              <w:pStyle w:val="Compact"/>
              <w:jc w:val="right"/>
            </w:pPr>
            <w:r>
              <w:t xml:space="preserve">105,687</w:t>
            </w:r>
          </w:p>
        </w:tc>
        <w:tc>
          <w:tcPr/>
          <w:p>
            <w:pPr>
              <w:pStyle w:val="Compact"/>
              <w:jc w:val="right"/>
            </w:pPr>
            <w:r>
              <w:t xml:space="preserve">89,390</w:t>
            </w:r>
          </w:p>
        </w:tc>
        <w:tc>
          <w:tcPr/>
          <w:p>
            <w:pPr>
              <w:pStyle w:val="Compact"/>
              <w:jc w:val="right"/>
            </w:pPr>
            <w:r>
              <w:t xml:space="preserve">84.6%</w:t>
            </w:r>
          </w:p>
        </w:tc>
        <w:tc>
          <w:tcPr/>
          <w:p>
            <w:pPr>
              <w:pStyle w:val="Compact"/>
              <w:jc w:val="right"/>
            </w:pPr>
            <w:r>
              <w:t xml:space="preserve">44.6%</w:t>
            </w:r>
          </w:p>
        </w:tc>
        <w:tc>
          <w:tcPr/>
          <w:p>
            <w:pPr>
              <w:pStyle w:val="Compact"/>
              <w:jc w:val="right"/>
            </w:pPr>
            <w:r>
              <w:t xml:space="preserve">90,100</w:t>
            </w:r>
          </w:p>
        </w:tc>
        <w:tc>
          <w:tcPr/>
          <w:p>
            <w:pPr>
              <w:pStyle w:val="Compact"/>
              <w:jc w:val="right"/>
            </w:pPr>
            <w:r>
              <w:t xml:space="preserve">57,882</w:t>
            </w:r>
          </w:p>
        </w:tc>
      </w:tr>
      <w:tr>
        <w:tc>
          <w:tcPr/>
          <w:p>
            <w:pPr>
              <w:pStyle w:val="Compact"/>
            </w:pPr>
            <w:r>
              <w:rPr>
                <w:rStyle w:val="VerbatimChar"/>
              </w:rPr>
              <w:t xml:space="preserve">cdx_q1</w:t>
            </w:r>
          </w:p>
        </w:tc>
        <w:tc>
          <w:tcPr/>
          <w:p>
            <w:pPr>
              <w:pStyle w:val="Compact"/>
              <w:jc w:val="right"/>
            </w:pPr>
            <w:r>
              <w:t xml:space="preserve">212</w:t>
            </w:r>
          </w:p>
        </w:tc>
        <w:tc>
          <w:tcPr/>
          <w:p>
            <w:pPr>
              <w:pStyle w:val="Compact"/>
              <w:jc w:val="right"/>
            </w:pPr>
            <w:r>
              <w:t xml:space="preserve">63,441</w:t>
            </w:r>
          </w:p>
        </w:tc>
        <w:tc>
          <w:tcPr/>
          <w:p>
            <w:pPr>
              <w:pStyle w:val="Compact"/>
              <w:jc w:val="right"/>
            </w:pPr>
            <w:r>
              <w:t xml:space="preserve">55,504</w:t>
            </w:r>
          </w:p>
        </w:tc>
        <w:tc>
          <w:tcPr/>
          <w:p>
            <w:pPr>
              <w:pStyle w:val="Compact"/>
              <w:jc w:val="right"/>
            </w:pPr>
            <w:r>
              <w:t xml:space="preserve">87.5%</w:t>
            </w:r>
          </w:p>
        </w:tc>
        <w:tc>
          <w:tcPr/>
          <w:p>
            <w:pPr>
              <w:pStyle w:val="Compact"/>
              <w:jc w:val="right"/>
            </w:pPr>
            <w:r>
              <w:t xml:space="preserve">71.9%</w:t>
            </w:r>
          </w:p>
        </w:tc>
        <w:tc>
          <w:tcPr/>
          <w:p>
            <w:pPr>
              <w:pStyle w:val="Compact"/>
              <w:jc w:val="right"/>
            </w:pPr>
            <w:r>
              <w:t xml:space="preserve">55,648</w:t>
            </w:r>
          </w:p>
        </w:tc>
        <w:tc>
          <w:tcPr/>
          <w:p>
            <w:pPr>
              <w:pStyle w:val="Compact"/>
              <w:jc w:val="right"/>
            </w:pPr>
            <w:r>
              <w:t xml:space="preserve">126,557</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b/>
                <w:bCs/>
              </w:rPr>
              <w:t xml:space="preserve">All</w:t>
            </w:r>
          </w:p>
        </w:tc>
        <w:tc>
          <w:tcPr/>
          <w:p>
            <w:pPr>
              <w:pStyle w:val="Compact"/>
              <w:jc w:val="right"/>
            </w:pPr>
            <w:r>
              <w:rPr>
                <w:b/>
                <w:bCs/>
              </w:rPr>
              <w:t xml:space="preserve">668</w:t>
            </w:r>
          </w:p>
        </w:tc>
        <w:tc>
          <w:tcPr/>
          <w:p>
            <w:pPr>
              <w:pStyle w:val="Compact"/>
              <w:jc w:val="right"/>
            </w:pPr>
            <w:r>
              <w:rPr>
                <w:b/>
                <w:bCs/>
              </w:rPr>
              <w:t xml:space="preserve">301,065</w:t>
            </w:r>
          </w:p>
        </w:tc>
        <w:tc>
          <w:tcPr/>
          <w:p>
            <w:pPr>
              <w:pStyle w:val="Compact"/>
              <w:jc w:val="right"/>
            </w:pPr>
            <w:r>
              <w:rPr>
                <w:b/>
                <w:bCs/>
              </w:rPr>
              <w:t xml:space="preserve">260,962</w:t>
            </w:r>
          </w:p>
        </w:tc>
        <w:tc>
          <w:tcPr/>
          <w:p>
            <w:pPr>
              <w:pStyle w:val="Compact"/>
              <w:jc w:val="right"/>
            </w:pPr>
            <w:r>
              <w:rPr>
                <w:b/>
                <w:bCs/>
              </w:rPr>
              <w:t xml:space="preserve">86.7%</w:t>
            </w:r>
          </w:p>
        </w:tc>
        <w:tc>
          <w:tcPr/>
          <w:p>
            <w:pPr>
              <w:pStyle w:val="Compact"/>
              <w:jc w:val="right"/>
            </w:pPr>
            <w:r>
              <w:rPr>
                <w:b/>
                <w:bCs/>
              </w:rPr>
              <w:t xml:space="preserve">69.3%</w:t>
            </w:r>
          </w:p>
        </w:tc>
        <w:tc>
          <w:tcPr/>
          <w:p>
            <w:pPr>
              <w:pStyle w:val="Compact"/>
              <w:jc w:val="right"/>
            </w:pPr>
            <w:r>
              <w:rPr>
                <w:b/>
                <w:bCs/>
              </w:rPr>
              <w:t xml:space="preserve">262,525</w:t>
            </w:r>
          </w:p>
        </w:tc>
        <w:tc>
          <w:tcPr/>
          <w:p>
            <w:pPr>
              <w:pStyle w:val="Compact"/>
              <w:jc w:val="right"/>
            </w:pPr>
            <w:r>
              <w:rPr>
                <w:b/>
                <w:bCs/>
              </w:rPr>
              <w:t xml:space="preserve">535,031</w:t>
            </w:r>
          </w:p>
        </w:tc>
      </w:tr>
    </w:tbl>
    <w:p>
      <w:pPr>
        <w:pStyle w:val="BodyText"/>
      </w:pPr>
      <w:r>
        <w:t xml:space="preserve">Of 301,065 queries, 260,962 were answered (86.7%). The 40,103 that were not divide into two kinds, and the smaller kind is the one usually discussed.</w:t>
      </w:r>
      <w:r>
        <w:t xml:space="preserve"> </w:t>
      </w:r>
      <w:r>
        <w:rPr>
          <w:b/>
          <w:bCs/>
        </w:rPr>
        <w:t xml:space="preserve">HTTP-level errors are 2,905 (0.96%)</w:t>
      </w:r>
      <w:r>
        <w:t xml:space="preserve">: 0 rate limits (429), 2,129 server errors (500, 502, 503, 504) and 776 refusals (403).</w:t>
      </w:r>
      <w:r>
        <w:t xml:space="preserve"> </w:t>
      </w:r>
      <w:r>
        <w:rPr>
          <w:b/>
          <w:bCs/>
        </w:rPr>
        <w:t xml:space="preserve">Transport-level failures are 37,198 (12.36%)</w:t>
      </w:r>
      <w:r>
        <w:t xml:space="preserve">: 27,775 connections refused or reset and 9,423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An interrupted batch is republished rather than lost, so a stopped run costs only the queries it had not</w:t>
      </w:r>
      <w:r>
        <w:t xml:space="preserve"> </w:t>
      </w:r>
      <w:r>
        <w:t xml:space="preserve">yet made.</w:t>
      </w:r>
    </w:p>
    <w:p>
      <w:pPr>
        <w:pStyle w:val="BodyText"/>
      </w:pPr>
      <w:r>
        <w:rPr>
          <w:b/>
          <w:bCs/>
        </w:rPr>
        <w:t xml:space="preserve">Still worth expanding, but no longer the binding constraint.</w:t>
      </w:r>
      <w:r>
        <w:t xml:space="preserve"> </w:t>
      </w:r>
      <w:r>
        <w:t xml:space="preserve">Roughly 2.5 million candidate names sit</w:t>
      </w:r>
      <w:r>
        <w:t xml:space="preserve"> </w:t>
      </w:r>
      <w:r>
        <w:t xml:space="preserve">unqueried against engines clearing a few hundred requests an hour, so the queue was never the limit this</w:t>
      </w:r>
      <w:r>
        <w:t xml:space="preserve"> </w:t>
      </w:r>
      <w:r>
        <w:t xml:space="preserve">round. That is what redirected it toward bulk dated corpora.</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rPr>
          <w:b/>
          <w:bCs/>
        </w:rPr>
        <w:t xml:space="preserve">The useful finding this round is a negative one about our own strategy.</w:t>
      </w:r>
      <w:r>
        <w:t xml:space="preserve"> </w:t>
      </w:r>
      <w:r>
        <w:t xml:space="preserve">Collection had been</w:t>
      </w:r>
      <w:r>
        <w:t xml:space="preserve"> </w:t>
      </w:r>
      <w:r>
        <w:t xml:space="preserve">optimised against request throughput at a single archive. When</w:t>
      </w:r>
      <w:r>
        <w:t xml:space="preserve"> </w:t>
      </w:r>
      <w:r>
        <w:rPr>
          <w:rStyle w:val="VerbatimChar"/>
        </w:rPr>
        <w:t xml:space="preserve">merged260815</w:t>
      </w:r>
      <w:r>
        <w:t xml:space="preserve"> </w:t>
      </w:r>
      <w:r>
        <w:t xml:space="preserve">arrived carrying another</w:t>
      </w:r>
      <w:r>
        <w:t xml:space="preserve"> </w:t>
      </w:r>
      <w:r>
        <w:t xml:space="preserve">contributor's UMN DRUM delivery, its shape was the lesson: one bulk dated corpus was worth roughly</w:t>
      </w:r>
      <w:r>
        <w:t xml:space="preserve"> </w:t>
      </w:r>
      <w:r>
        <w:t xml:space="preserve">twenty times our previous round of per-domain querying, because such a corpus does not have that</w:t>
      </w:r>
      <w:r>
        <w:t xml:space="preserve"> </w:t>
      </w:r>
      <w:r>
        <w:t xml:space="preserve">constraint at all. Re-aiming the search at that shape produced sections 2 and 3.</w:t>
      </w:r>
    </w:p>
    <w:p>
      <w:pPr>
        <w:pStyle w:val="BodyText"/>
      </w:pPr>
      <w:r>
        <w:rPr>
          <w:b/>
          <w:bCs/>
        </w:rPr>
        <w:t xml:space="preserve">That is now a ranking rule rather than an anecdote.</w:t>
      </w:r>
      <w:r>
        <w:t xml:space="preserve"> </w:t>
      </w:r>
      <w:r>
        <w:t xml:space="preserve">Sources are priced by yield per byte before a</w:t>
      </w:r>
      <w:r>
        <w:t xml:space="preserve"> </w:t>
      </w:r>
      <w:r>
        <w:t xml:space="preserve">collector is written: the capture census measured</w:t>
      </w:r>
      <w:r>
        <w:t xml:space="preserve"> </w:t>
      </w:r>
      <w:r>
        <w:rPr>
          <w:b/>
          <w:bCs/>
        </w:rPr>
        <w:t xml:space="preserve">997 net-new pairs per megabyte</w:t>
      </w:r>
      <w:r>
        <w:t xml:space="preserve"> </w:t>
      </w:r>
      <w:r>
        <w:t xml:space="preserve">against</w:t>
      </w:r>
      <w:r>
        <w:t xml:space="preserve"> </w:t>
      </w:r>
      <w:r>
        <w:rPr>
          <w:b/>
          <w:bCs/>
        </w:rPr>
        <w:t xml:space="preserve">15.5</w:t>
      </w:r>
      <w:r>
        <w:t xml:space="preserve"> </w:t>
      </w:r>
      <w:r>
        <w:t xml:space="preserve">for a Usenet sample, a 64x difference that no amount of extra querying closes. The same measurement</w:t>
      </w:r>
      <w:r>
        <w:t xml:space="preserve"> </w:t>
      </w:r>
      <w:r>
        <w:t xml:space="preserve">retired a route we had been developing: seeding link-looking pages rather than home pages harvested 391</w:t>
      </w:r>
      <w:r>
        <w:t xml:space="preserve"> </w:t>
      </w:r>
      <w:r>
        <w:t xml:space="preserve">domains against 53, a 7.4x improvement, yet yielded only 5 net-new, because 386 were already held and</w:t>
      </w:r>
      <w:r>
        <w:t xml:space="preserve"> </w:t>
      </w:r>
      <w:r>
        <w:t xml:space="preserve">already dated. Page-by-page expansion is therefore now outranked by bulk link graphs, and the negative</w:t>
      </w:r>
      <w:r>
        <w:t xml:space="preserve"> </w:t>
      </w:r>
      <w:r>
        <w:t xml:space="preserve">result is recorded so it is not rediscovered.</w:t>
      </w:r>
    </w:p>
    <w:p>
      <w:pPr>
        <w:pStyle w:val="BodyText"/>
      </w:pPr>
      <w:r>
        <w:rPr>
          <w:b/>
          <w:bCs/>
        </w:rPr>
        <w:t xml:space="preserve">The machinery enforcing this is as documented in previous rounds</w:t>
      </w:r>
      <w:r>
        <w:t xml:space="preserve"> </w:t>
      </w:r>
      <w:r>
        <w:t xml:space="preserve">and ships in the archive. One note</w:t>
      </w:r>
      <w:r>
        <w:t xml:space="preserve"> </w:t>
      </w:r>
      <w:r>
        <w:t xml:space="preserve">on how it behaved: both new sources had to clear the human gate before a single row could date a year,</w:t>
      </w:r>
      <w:r>
        <w:t xml:space="preserve"> </w:t>
      </w:r>
      <w:r>
        <w:t xml:space="preserve">on a machine-generated request built from a seeded-random sample with live links and the measured</w:t>
      </w:r>
      <w:r>
        <w:t xml:space="preserve"> </w:t>
      </w:r>
      <w:r>
        <w:t xml:space="preserve">counterfactual, so the decision rested on external evidence rather than on the agent's argument.</w:t>
      </w:r>
    </w:p>
    <w:p>
      <w:pPr>
        <w:pStyle w:val="BodyText"/>
      </w:pPr>
      <w:r>
        <w:rPr>
          <w:b/>
          <w:bCs/>
        </w:rPr>
        <w:t xml:space="preserve">Negative results are first-class.</w:t>
      </w:r>
      <w:r>
        <w:t xml:space="preserve"> </w:t>
      </w:r>
      <w:r>
        <w:rPr>
          <w:b/>
          <w:bCs/>
        </w:rPr>
        <w:t xml:space="preserve">118 source families have been searched and recorded</w:t>
      </w:r>
      <w:r>
        <w:t xml:space="preserve">, 27 developed far enough to earn their own section and 91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t xml:space="preserve">The capture census is a 2017 snapshot, so its counts are a floor on what the archive holds now. The</w:t>
      </w:r>
      <w:r>
        <w:t xml:space="preserve"> </w:t>
      </w:r>
      <w:r>
        <w:t xml:space="preserve">registry compilation covers domains still registered in December 2024, so it is survivorship-biased: a</w:t>
      </w:r>
      <w:r>
        <w:t xml:space="preserve"> </w:t>
      </w:r>
      <w:r>
        <w:t xml:space="preserve">name created in 1998, dropped, and re-registered in 2015 reads 2015 and falls out of the window. The</w:t>
      </w:r>
      <w:r>
        <w:t xml:space="preserve"> </w:t>
      </w:r>
      <w:r>
        <w:t xml:space="preserve">direction of error is loss, and the reverse cannot happen.</w:t>
      </w:r>
    </w:p>
    <w:p>
      <w:pPr>
        <w:pStyle w:val="BodyText"/>
      </w:pPr>
      <w:r>
        <w:rPr>
          <w:b/>
          <w:bCs/>
        </w:rPr>
        <w:t xml:space="preserve">Worth expanding, in order.</w:t>
      </w:r>
      <w:r>
        <w:t xml:space="preserve"> </w:t>
      </w:r>
      <w:r>
        <w:t xml:space="preserve">Bulk dated corpora first, since one such file outweighed a whole round of</w:t>
      </w:r>
      <w:r>
        <w:t xml:space="preserve"> </w:t>
      </w:r>
      <w:r>
        <w:t xml:space="preserve">querying and two more were found here. National web archive link graphs second, where the year</w:t>
      </w:r>
      <w:r>
        <w:t xml:space="preserve"> </w:t>
      </w:r>
      <w:r>
        <w:t xml:space="preserve">association is explicit and the weight is high:</w:t>
      </w:r>
      <w:r>
        <w:t xml:space="preserve"> </w:t>
      </w:r>
      <w:r>
        <w:rPr>
          <w:rStyle w:val="VerbatimChar"/>
        </w:rPr>
        <w:t xml:space="preserve">ukwa_link_source</w:t>
      </w:r>
      <w:r>
        <w:t xml:space="preserve"> </w:t>
      </w:r>
      <w:r>
        <w:t xml:space="preserve">returned a mean of 0.9803, the best</w:t>
      </w:r>
      <w:r>
        <w:t xml:space="preserve"> </w:t>
      </w:r>
      <w:r>
        <w:t xml:space="preserve">of any source, because such a graph is almost entirely</w:t>
      </w:r>
      <w:r>
        <w:t xml:space="preserve"> </w:t>
      </w:r>
      <w:r>
        <w:rPr>
          <w:rStyle w:val="VerbatimChar"/>
        </w:rPr>
        <w:t xml:space="preserve">.uk</w:t>
      </w:r>
      <w:r>
        <w:t xml:space="preserve">. Per-domain CDX querying third, bounded by</w:t>
      </w:r>
      <w:r>
        <w:t xml:space="preserve"> </w:t>
      </w:r>
      <w:r>
        <w:t xml:space="preserve">request rate rather than by candidates. Not worth expanding: the closed families in</w:t>
      </w:r>
      <w:r>
        <w:t xml:space="preserve"> </w:t>
      </w:r>
      <w:r>
        <w:rPr>
          <w:rStyle w:val="VerbatimChar"/>
        </w:rPr>
        <w:t xml:space="preserve">sources.md</w:t>
      </w:r>
      <w:r>
        <w:t xml:space="preserve">, each</w:t>
      </w:r>
      <w:r>
        <w:t xml:space="preserve"> </w:t>
      </w:r>
      <w:r>
        <w:t xml:space="preserve">recorded with the measurement that closed it.</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full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w:t>
      </w:r>
      <w:r>
        <w:t xml:space="preserve"> </w:t>
      </w:r>
      <w:r>
        <w:t xml:space="preserve">lists and 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w:t>
      </w:r>
      <w:r>
        <w:t xml:space="preserve"> </w:t>
      </w:r>
      <w:r>
        <w:rPr>
          <w:rStyle w:val="VerbatimChar"/>
        </w:rPr>
        <w:t xml:space="preserve">journals/</w:t>
      </w:r>
      <w:r>
        <w:t xml:space="preserve"> </w:t>
      </w:r>
      <w:r>
        <w:t xml:space="preserve">the</w:t>
      </w:r>
      <w:r>
        <w:t xml:space="preserve"> </w:t>
      </w:r>
      <w:r>
        <w:t xml:space="preserve">raw per-source records, and</w:t>
      </w:r>
      <w:r>
        <w:t xml:space="preserve"> </w:t>
      </w:r>
      <w:r>
        <w:rPr>
          <w:rStyle w:val="VerbatimChar"/>
        </w:rPr>
        <w:t xml:space="preserve">source/source.tar.gz</w:t>
      </w:r>
      <w:r>
        <w:t xml:space="preserve"> </w:t>
      </w:r>
      <w:r>
        <w:t xml:space="preserve">the repository 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ten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2026-08-17T09:24:52Z</dcterms:created>
  <dcterms:modified xsi:type="dcterms:W3CDTF">2026-08-17T09:24:52Z</dcterms:modified>
</cp:coreProperties>
</file>

<file path=docProps/custom.xml><?xml version="1.0" encoding="utf-8"?>
<Properties xmlns="http://schemas.openxmlformats.org/officeDocument/2006/custom-properties" xmlns:vt="http://schemas.openxmlformats.org/officeDocument/2006/docPropsVTypes"/>
</file>