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6,020,366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3,427,607.1175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19.2881%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328,764.8318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5,396,446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3,098,842.2857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17.4380%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113,128.7747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523,957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3,666,851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313,548.7414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7,233,236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507,443.2189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1,532,153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12,264,741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859,744.1483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2,244,465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13,281,500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1,581,100.1377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5,396,446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39,869,292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3,427,607.1175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50.7108%</w:t>
      </w:r>
      <w:r>
        <w:t xml:space="preserve">: the sum of the increases you awarded (1.659986%, 10.730988%, 14.901054%, 4.130718%) plus this round's 19.2881%,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989,027 EE, 1,337,673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328,764.8318 EE, 623,920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21 small dated artifacts (40,343).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1,337,673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989,027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further sources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6,020,366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3,427,607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90.3%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of the round's finds are the loop's.</w:t>
      </w:r>
      <w:r>
        <w:t xml:space="preserve"> </w:t>
      </w:r>
      <w:r>
        <w:t xml:space="preserve">The hostname-grain re-read (item 1 above) was among</w:t>
      </w:r>
      <w:r>
        <w:t xml:space="preserve"> </w:t>
      </w:r>
      <w:r>
        <w:t xml:space="preserve">the generator's first seven proposals. 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4), for ~88,000 EE. Rule learned: a partitioned corpus is measured per</w:t>
      </w:r>
      <w:r>
        <w:t xml:space="preserve"> </w:t>
      </w:r>
      <w:r>
        <w:t xml:space="preserve">partition, never argued about.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find admitted under that rule is a column this project had discarded on purpose.</w:t>
      </w:r>
      <w:r>
        <w:t xml:space="preserve"> </w:t>
      </w:r>
      <w:r>
        <w:t xml:space="preserve">A registry zone file is two hostname corpora: the owner of an NS record is the delegation, the</w:t>
      </w:r>
      <w:r>
        <w:t xml:space="preserve"> </w:t>
      </w:r>
      <w:r>
        <w:t xml:space="preserve">right-hand side is the nameserver serving it. At registrable grain the right-hand side was</w:t>
      </w:r>
      <w:r>
        <w:t xml:space="preserve"> </w:t>
      </w:r>
      <w:r>
        <w:t xml:space="preserve">measured and closed at 63 pairs, because</w:t>
      </w:r>
      <w:r>
        <w:t xml:space="preserve"> 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</w:t>
      </w:r>
      <w:r>
        <w:t xml:space="preserve"> </w:t>
      </w:r>
      <w:r>
        <w:t xml:space="preserve">holds. At hostname grain the same 21,498 hosts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own 1997 file:</w:t>
      </w:r>
      <w:r>
        <w:t xml:space="preserve"> </w:t>
      </w:r>
      <w:r>
        <w:rPr>
          <w:b/>
          <w:bCs/>
        </w:rPr>
        <w:t xml:space="preserve">19,211 records and 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inside the payload, no</w:t>
      </w:r>
      <w:r>
        <w:t xml:space="preserve"> </w:t>
      </w:r>
      <w:r>
        <w:t xml:space="preserve">new request. The lens it opens: nameservers, mail exchangers and mirrors are the hosts a web</w:t>
      </w:r>
      <w:r>
        <w:t xml:space="preserve"> </w:t>
      </w:r>
      <w:r>
        <w:t xml:space="preserve">crawler never fetches, so DNS-side and mail-side artifacts over held registrables are the</w:t>
      </w:r>
      <w:r>
        <w:t xml:space="preserve"> </w:t>
      </w:r>
      <w:r>
        <w:t xml:space="preserve">hostname unit's natural source even where their registrables are saturated.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471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61 developed, 410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6,020,366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3,427,607.1175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39,869,292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21,198,196.0201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6,020,366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2026-09-01T23:34:00Z</dcterms:created>
  <dcterms:modified xsi:type="dcterms:W3CDTF">2026-09-01T23:34:00Z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