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Additions to the 1996-2001 annual lists, measured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. Every figure is generated</w:t>
      </w:r>
      <w:r>
        <w:t xml:space="preserve"> </w:t>
      </w:r>
      <w:r>
        <w:t xml:space="preserve">from the evidence store, so no table here can disagree with the files shipped beside it. This is a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holds the per-source receipts,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the yields and</w:t>
      </w:r>
      <w:r>
        <w:t xml:space="preserve"> </w:t>
      </w:r>
      <w:r>
        <w:t xml:space="preserve">directions,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the reproduction route,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 </w:t>
      </w:r>
      <w:r>
        <w:t xml:space="preserve">the metric.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76.9268%</w:t>
            </w:r>
          </w:p>
        </w:tc>
      </w:tr>
    </w:tbl>
    <w:p>
      <w:pPr>
        <w:pStyle w:val="BodyText"/>
      </w:pPr>
      <w:r>
        <w:t xml:space="preserve">625,385 records (329,397.2492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the unit you asked me to</w:t>
      </w:r>
      <w:r>
        <w:t xml:space="preserve"> </w:t>
      </w:r>
      <w:r>
        <w:t xml:space="preserve">prioritize; 25,598,889 (13,340,945.5808 EE) are valid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</w:t>
      </w:r>
      <w:r>
        <w:t xml:space="preserve"> </w:t>
      </w:r>
      <w:r>
        <w:t xml:space="preserve">disjoint in every year, neither is in the baseline, your validator rejects none of them, and the</w:t>
      </w:r>
      <w:r>
        <w:t xml:space="preserve"> </w:t>
      </w:r>
      <w:r>
        <w:t xml:space="preserve">second set can be merged or discarded as a block.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7,742,554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4,156,305.3362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10,781,639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5,263,433.0010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999,412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574,071.3613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828,029.6155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1,661,393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937,279.6350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2,955,872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1,911,223.8810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25,598,889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Score, by both rules in your brief.</w:t>
      </w:r>
      <w:r>
        <w:t xml:space="preserve"> </w:t>
      </w:r>
      <w:r>
        <w:t xml:space="preserve">Cumulative verified percentage</w:t>
      </w:r>
      <w:r>
        <w:t xml:space="preserve"> </w:t>
      </w:r>
      <w:r>
        <w:rPr>
          <w:b/>
          <w:bCs/>
        </w:rPr>
        <w:t xml:space="preserve">125.7295%</w:t>
      </w:r>
      <w:r>
        <w:t xml:space="preserve">, time-weighted</w:t>
      </w:r>
      <w:r>
        <w:t xml:space="preserve"> </w:t>
      </w:r>
      <w:r>
        <w:rPr>
          <w:b/>
          <w:bCs/>
        </w:rPr>
        <w:t xml:space="preserve">S = 919.90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10 p/t</w:t>
      </w:r>
      <w:r>
        <w:t xml:space="preserve">, this round counted at its own unverified 76.9268%. Per round (1: 17.3800% / 5d = 34.76; 3: 1.6600% / 1d = 16.60; 4: 10.7310% / 6d = 17.88; 5: 14.9011% / 2d = 74.51; 6: 4.1307% / 6d = 6.88; 7: 76.9268% / 1d = 769.27), round 1 on records. The elapsed days are reconstructed from your release and receipt timestamps: they reproduce the S = 6.88 you quoted for round 6, but the set is yours to confirm.</w:t>
      </w:r>
    </w:p>
    <w:bookmarkEnd w:id="9"/>
    <w:bookmarkStart w:id="10" w:name="what-one-hostname-record-is"/>
    <w:p>
      <w:pPr>
        <w:pStyle w:val="Heading2"/>
      </w:pPr>
      <w:r>
        <w:t xml:space="preserve">2. What one hostname record is</w:t>
      </w:r>
    </w:p>
    <w:p>
      <w:pPr>
        <w:pStyle w:val="FirstParagraph"/>
      </w:pPr>
      <w:r>
        <w:t xml:space="preserve">Three conditions, all enforced in code (</w:t>
      </w:r>
      <w:r>
        <w:rPr>
          <w:rStyle w:val="VerbatimChar"/>
        </w:rPr>
        <w:t xml:space="preserve">source/src/ark/hostnames.py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), not by</w:t>
      </w:r>
      <w:r>
        <w:t xml:space="preserve"> </w:t>
      </w:r>
      <w:r>
        <w:t xml:space="preserve">convention: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1123 valid</w:t>
      </w:r>
      <w:r>
        <w:t xml:space="preserve">: letters, digits and hyphens only, no leading or trailing hyphen in a label,</w:t>
      </w:r>
      <w:r>
        <w:t xml:space="preserve"> </w:t>
      </w:r>
      <w:r>
        <w:t xml:space="preserve">at least two labels. Underscore names, IP literals and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 are refused.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Strictly beneath a registrable this project already holds for that same year.</w:t>
      </w:r>
      <w:r>
        <w:t xml:space="preserve"> </w:t>
      </w:r>
      <w:r>
        <w:t xml:space="preserve">The parent is</w:t>
      </w:r>
      <w:r>
        <w:t xml:space="preserve"> </w:t>
      </w:r>
      <w:r>
        <w:t xml:space="preserve">a foreign key, so a hostname cannot exist here without its registrable existing there, and a</w:t>
      </w:r>
      <w:r>
        <w:t xml:space="preserve"> </w:t>
      </w:r>
      <w:r>
        <w:t xml:space="preserve">bare registrable is never a hostname record. No 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machine-written observation in that year</w:t>
      </w:r>
      <w:r>
        <w:t xml:space="preserve">, on that exact host.</w:t>
      </w:r>
    </w:p>
    <w:bookmarkEnd w:id="10"/>
    <w:bookmarkStart w:id="11" w:name="X129a351a9c58e00ca012770ca5a0b43844665d7"/>
    <w:p>
      <w:pPr>
        <w:pStyle w:val="Heading2"/>
      </w:pPr>
      <w:r>
        <w:t xml:space="preserve">3. What is new this round, and why it is admissible</w:t>
      </w:r>
    </w:p>
    <w:p>
      <w:pPr>
        <w:pStyle w:val="FirstParagraph"/>
      </w:pPr>
      <w:r>
        <w:t xml:space="preserve">One idea, applied to seven artifact families:</w:t>
      </w:r>
      <w:r>
        <w:t xml:space="preserve"> </w:t>
      </w:r>
      <w:r>
        <w:rPr>
          <w:b/>
          <w:bCs/>
        </w:rPr>
        <w:t xml:space="preserve">when you accepted hostnames, the payload was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of an artifact already on disk that the registrable unit had discarded.</w:t>
      </w:r>
      <w:r>
        <w:t xml:space="preserve"> </w:t>
      </w:r>
      <w:r>
        <w:t xml:space="preserve">Five of the seven</w:t>
      </w:r>
      <w:r>
        <w:t xml:space="preserve"> </w:t>
      </w:r>
      <w:r>
        <w:t xml:space="preserve">needed no new request, and most carried a written closure from an earlier 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4125"/>
        <w:gridCol w:w="742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ISC Internet Domain Survey host files</w:t>
            </w:r>
          </w:p>
        </w:tc>
        <w:tc>
          <w:tcPr/>
          <w:p>
            <w:pPr>
              <w:pStyle w:val="Compact"/>
            </w:pPr>
            <w:r>
              <w:t xml:space="preserve">the survey's</w:t>
            </w:r>
            <w:r>
              <w:t xml:space="preserve"> </w:t>
            </w:r>
            <w:r>
              <w:rPr>
                <w:rStyle w:val="VerbatimChar"/>
              </w:rPr>
              <w:t xml:space="preserve">YYMM</w:t>
            </w:r>
            <w:r>
              <w:t xml:space="preserve"> </w:t>
            </w:r>
            <w:r>
              <w:t xml:space="preserve">edition code in the artifact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18,117,395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9,167,369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NYPW TimeMaps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domain-wide CDX sweeps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Early Web index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USFEDGOV merged indexes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RIPE</w:t>
            </w:r>
            <w:r>
              <w:t xml:space="preserve"> </w:t>
            </w:r>
            <w:r>
              <w:rPr>
                <w:rStyle w:val="VerbatimChar"/>
              </w:rPr>
              <w:t xml:space="preserve">nserver:</w:t>
            </w:r>
            <w:r>
              <w:t xml:space="preserve"> </w:t>
            </w: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the dump's generation stamp and each object's</w:t>
            </w:r>
            <w:r>
              <w:t xml:space="preserve"> </w:t>
            </w:r>
            <w:r>
              <w:rPr>
                <w:rStyle w:val="VerbatimChar"/>
              </w:rPr>
              <w:t xml:space="preserve">changed: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all lanes</w:t>
            </w:r>
          </w:p>
        </w:tc>
        <w:tc>
          <w:tcPr/>
          <w:p>
            <w:pPr>
              <w:pStyle w:val="Compact"/>
            </w:pPr>
            <w:r>
              <w:t xml:space="preserve">per record in</w:t>
            </w:r>
            <w:r>
              <w:t xml:space="preserve"> </w:t>
            </w:r>
            <w:r>
              <w:rPr>
                <w:rStyle w:val="VerbatimChar"/>
              </w:rPr>
              <w:t xml:space="preserve">additions/evidence_manifest.csv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329,397.2492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year;</w:t>
      </w:r>
      <w:r>
        <w:t xml:space="preserve"> </w:t>
      </w:r>
      <w:r>
        <w:t xml:space="preserve">each class was already master-eligible for those exact bytes; the terms were read in full before</w:t>
      </w:r>
      <w:r>
        <w:t xml:space="preserve"> </w:t>
      </w:r>
      <w:r>
        <w:t xml:space="preserve">each fetch. On the survey you ruled in writing on 2026-07-24 that a dated DNS survey may enter the</w:t>
      </w:r>
      <w:r>
        <w:t xml:space="preserve"> </w:t>
      </w:r>
      <w:r>
        <w:t xml:space="preserve">annual files directly. Route, licence and per-TLD yield per source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disclosures decide what the hostname half is worth</w:t>
      </w:r>
      <w:r>
        <w:t xml:space="preserve">, each one filter on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: 65% of the largest source's records</w:t>
      </w:r>
      <w:r>
        <w:t xml:space="preserve"> </w:t>
      </w:r>
      <w:r>
        <w:t xml:space="preserve">are dialup or numbered workstation names (</w:t>
      </w:r>
      <w:r>
        <w:rPr>
          <w:rStyle w:val="VerbatimChar"/>
        </w:rPr>
        <w:t xml:space="preserve">pc50.btbcs.bt.co.uk</w:t>
      </w:r>
      <w:r>
        <w:t xml:space="preserve">), which answered its reverse-DNS</w:t>
      </w:r>
      <w:r>
        <w:t xml:space="preserve"> </w:t>
      </w:r>
      <w:r>
        <w:t xml:space="preserve">walk in the month it stamps and pass your validity rule but are not sites; and 26.1% of all</w:t>
      </w:r>
      <w:r>
        <w:t xml:space="preserve"> </w:t>
      </w:r>
      <w:r>
        <w:t xml:space="preserve">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registrables you already hold, full weight under the rule as written</w:t>
      </w:r>
      <w:r>
        <w:t xml:space="preserve"> </w:t>
      </w:r>
      <w:r>
        <w:t xml:space="preserve">and nothing if your calculator normalises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away.</w:t>
      </w:r>
    </w:p>
    <w:p>
      <w:pPr>
        <w:pStyle w:val="BodyText"/>
      </w:pPr>
      <w:r>
        <w:t xml:space="preserve">The evidentiary standard is unchanged: one record is one machine-written observation of that name in</w:t>
      </w:r>
      <w:r>
        <w:t xml:space="preserve"> </w:t>
      </w:r>
      <w:r>
        <w:t xml:space="preserve">that year,</w:t>
      </w:r>
      <w:r>
        <w:t xml:space="preserve"> </w:t>
      </w:r>
      <w:r>
        <w:rPr>
          <w:rStyle w:val="VerbatimChar"/>
        </w:rPr>
        <w:t xml:space="preserve">evidence_id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 on both units, fifteen invariants enforce it</w:t>
      </w:r>
      <w:r>
        <w:t xml:space="preserve"> </w:t>
      </w:r>
      <w:r>
        <w:t xml:space="preserve">before every commit and inside the archive,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year, human-typed names take</w:t>
      </w:r>
      <w:r>
        <w:t xml:space="preserve"> </w:t>
      </w:r>
      <w:r>
        <w:t xml:space="preserve">the corroboration split, and a creation date attests its own year only. 2,419,436 domains carry</w:t>
      </w:r>
      <w:r>
        <w:t xml:space="preserve"> </w:t>
      </w:r>
      <w:r>
        <w:t xml:space="preserve">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and reach no annual file.</w:t>
      </w:r>
    </w:p>
    <w:bookmarkEnd w:id="11"/>
    <w:bookmarkStart w:id="12" w:name="what-became-autonomous-since-round-6"/>
    <w:p>
      <w:pPr>
        <w:pStyle w:val="Heading2"/>
      </w:pPr>
      <w:r>
        <w:t xml:space="preserve">4. What became autonomous since round 6</w:t>
      </w:r>
    </w:p>
    <w:p>
      <w:pPr>
        <w:pStyle w:val="FirstParagraph"/>
      </w:pPr>
      <w:r>
        <w:t xml:space="preserve">Round 6 ran unattended for hours but a person judged every source. This round the loop closes, and</w:t>
      </w:r>
      <w:r>
        <w:t xml:space="preserve"> </w:t>
      </w:r>
      <w:r>
        <w:t xml:space="preserve">its code, prompts, policy and full hypothesis register with every verdict ship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scheduled workflows on a self-hosted runner</w:t>
      </w:r>
      <w:r>
        <w:t xml:space="preserve">: a generator writes hypotheses, each with a</w:t>
      </w:r>
      <w:r>
        <w:t xml:space="preserve"> </w:t>
      </w:r>
      <w:r>
        <w:t xml:space="preserve">yield floor and a kill screen; researcher waves test them in parallel; a re-opener re-reads closed</w:t>
      </w:r>
      <w:r>
        <w:t xml:space="preserve"> </w:t>
      </w:r>
      <w:r>
        <w:t xml:space="preserve">verdicts when a screen changes; an improver changes one prompt or model knob per pull request so</w:t>
      </w:r>
      <w:r>
        <w:t xml:space="preserve"> </w:t>
      </w:r>
      <w:r>
        <w:t xml:space="preserve">effects stay attributable.</w:t>
      </w:r>
      <w:r>
        <w:t xml:space="preserve"> </w:t>
      </w:r>
      <w:r>
        <w:rPr>
          <w:b/>
          <w:bCs/>
        </w:rPr>
        <w:t xml:space="preserve">494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66 developed, 428 evaluated and closed with the measurement that closed them, so the same ground is not broken twice.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Admission without a human, under a rule fixed in advance</w:t>
      </w:r>
      <w:r>
        <w:t xml:space="preserve">: a source banks only if its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 and the invariants pass. Eight sources banked that way this round; two parked for a</w:t>
      </w:r>
      <w:r>
        <w:t xml:space="preserve"> </w:t>
      </w:r>
      <w:r>
        <w:t xml:space="preserve">written decision, one on terms and one on a class question. No agent may write the store: a</w:t>
      </w:r>
      <w:r>
        <w:t xml:space="preserve"> </w:t>
      </w:r>
      <w:r>
        <w:t xml:space="preserve">separate admitter re-derives every figure locally first, and two agent-reported figures lost to</w:t>
      </w:r>
      <w:r>
        <w:t xml:space="preserve"> </w:t>
      </w:r>
      <w:r>
        <w:t xml:space="preserve">that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re-opener earned its lane</w:t>
      </w:r>
      <w:r>
        <w:t xml:space="preserve">: it recovered the NYPW TimeMaps from a 14 EE closure by</w:t>
      </w:r>
      <w:r>
        <w:t xml:space="preserve"> </w:t>
      </w:r>
      <w:r>
        <w:t xml:space="preserve">measuring the ingest ledger per folder (year rows per million: 2000 ~24,000, 1999 ~10,000, 2001</w:t>
      </w:r>
      <w:r>
        <w:t xml:space="preserve"> </w:t>
      </w:r>
      <w:r>
        <w:t xml:space="preserve">exactly 4), ~88,000 EE that a human closure had written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CDX execution</w:t>
      </w:r>
      <w:r>
        <w:t xml:space="preserve">: two clients at most, honest User-Agent, two seconds between requests,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honoured, absolute deadlines that outlive a session.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which is why the same bytes could be re-read under the new unit. A</w:t>
      </w:r>
      <w:r>
        <w:t xml:space="preserve"> </w:t>
      </w:r>
      <w:r>
        <w:t xml:space="preserve">page costs about the same at 200 index blocks as at 10,000, so the sweep walks 10,000-block pages;</w:t>
      </w:r>
      <w:r>
        <w:t xml:space="preserve"> </w:t>
      </w:r>
      <w:r>
        <w:t xml:space="preserve">one outage refused thirteen parents and they were requeued, not skipped. Per-domain gap queries</w:t>
      </w:r>
      <w:r>
        <w:t xml:space="preserve"> </w:t>
      </w:r>
      <w:r>
        <w:t xml:space="preserve">contributed 92,479 registrable pairs.</w:t>
      </w:r>
    </w:p>
    <w:bookmarkEnd w:id="12"/>
    <w:bookmarkStart w:id="13" w:name="limitations-and-where-the-room-is"/>
    <w:p>
      <w:pPr>
        <w:pStyle w:val="Heading2"/>
      </w:pPr>
      <w:r>
        <w:t xml:space="preserve">5. Limitations, and where the room is</w:t>
      </w:r>
    </w:p>
    <w:p>
      <w:pPr>
        <w:pStyle w:val="FirstParagraph"/>
      </w:pPr>
      <w:r>
        <w:t xml:space="preserve">A capture proves presence and never absence, so a year without one is unevidenced rather than empty,</w:t>
      </w:r>
      <w:r>
        <w:t xml:space="preserve"> </w:t>
      </w:r>
      <w:r>
        <w:t xml:space="preserve">and both dating routes therefore err toward omission. The exception is the counting unit itself: a</w:t>
      </w:r>
      <w:r>
        <w:t xml:space="preserve"> </w:t>
      </w:r>
      <w:r>
        <w:t xml:space="preserve">hostname is valid under your rule and a reverse-DNS walk resolves dialup ports as readily as web</w:t>
      </w:r>
      <w:r>
        <w:t xml:space="preserve"> </w:t>
      </w:r>
      <w:r>
        <w:t xml:space="preserve">servers, which is disclosed per source above rather than argued about. The units ship separately, so</w:t>
      </w:r>
      <w:r>
        <w:t xml:space="preserve"> </w:t>
      </w:r>
      <w:r>
        <w:t xml:space="preserve">dropping the hostname files leaves the registrable round intact at 329,397.2492 EE.</w:t>
      </w:r>
    </w:p>
    <w:p>
      <w:pPr>
        <w:pStyle w:val="BodyText"/>
      </w:pPr>
      <w:r>
        <w:t xml:space="preserve">Worth expanding, in order: the same one-level-down reading of every other banked artifact that names</w:t>
      </w:r>
      <w:r>
        <w:t xml:space="preserve"> </w:t>
      </w:r>
      <w:r>
        <w:t xml:space="preserve">hosts, since DNS, mail and mirror rosters hold hosts a web crawler never fetched; the second-level</w:t>
      </w:r>
      <w:r>
        <w:t xml:space="preserve"> </w:t>
      </w:r>
      <w:r>
        <w:t xml:space="preserve">suffix namespaces 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</w:t>
      </w:r>
      <w:r>
        <w:t xml:space="preserve"> </w:t>
      </w:r>
      <w:r>
        <w:t xml:space="preserve">ranked subdomain platforms still queued, resumable from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</w:t>
      </w:r>
      <w:r>
        <w:t xml:space="preserve"> </w:t>
      </w:r>
      <w:r>
        <w:t xml:space="preserve">Measured and closed: prose corpora, academic repositories, CD-ROM media, FTP mirrors, trade</w:t>
      </w:r>
      <w:r>
        <w:t xml:space="preserve"> </w:t>
      </w:r>
      <w:r>
        <w:t xml:space="preserve">directories. The figures behind each verdict are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3"/>
    <w:bookmarkStart w:id="14" w:name="merge-overlap-and-reconciliation-d3"/>
    <w:p>
      <w:pPr>
        <w:pStyle w:val="Heading2"/>
      </w:pPr>
      <w:r>
        <w:t xml:space="preserve">6.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31,440,931.7326</w:t>
            </w:r>
          </w:p>
        </w:tc>
      </w:tr>
    </w:tbl>
    <w:p>
      <w:pPr>
        <w:pStyle w:val="BodyText"/>
      </w:pPr>
      <w:r>
        <w:t xml:space="preserve">Overlap with the baseline is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26,224,274 submitted count once, and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4"/>
    <w:bookmarkStart w:id="15" w:name="reproduction-and-the-four-artifacts"/>
    <w:p>
      <w:pPr>
        <w:pStyle w:val="Heading2"/>
      </w:pPr>
      <w:r>
        <w:t xml:space="preserve">7. Reproduction, and the four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runnable code, dependencies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</w:t>
      </w:r>
      <w:r>
        <w:t xml:space="preserve"> </w:t>
      </w:r>
      <w:r>
        <w:t xml:space="preserve">with the 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6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unmodified,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5"/>
    <w:bookmarkEnd w:id="16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2026-09-02T08:22:51Z</dcterms:created>
  <dcterms:modified xsi:type="dcterms:W3CDTF">2026-09-02T08:22:51Z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