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Increment to the 1996-2001 annual lists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, scored with your calculator. Every</w:t>
      </w:r>
      <w:r>
        <w:t xml:space="preserve"> </w:t>
      </w:r>
      <w:r>
        <w:t xml:space="preserve">figure is generated from the evidence store when the archive is built.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7,400,658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4,183,364.4129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23.5409%</w:t>
            </w:r>
          </w:p>
        </w:tc>
      </w:tr>
    </w:tbl>
    <w:p>
      <w:pPr>
        <w:pStyle w:val="BodyText"/>
      </w:pPr>
      <w:r>
        <w:t xml:space="preserve">Two units, both at your calculator's counting unit (one distinct valid hostname per year at its</w:t>
      </w:r>
      <w:r>
        <w:t xml:space="preserve"> </w:t>
      </w:r>
      <w:r>
        <w:t xml:space="preserve">TLD's English share), disjoint, both absent from the baseline, no record rejected by your validator: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1857"/>
        <w:gridCol w:w="977"/>
        <w:gridCol w:w="1368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the prioritized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additions/NNNN.txt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625,374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329,386.4981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hostnames beneath registrables, accepted 2026-09-01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hostnames/NNNN_hostnames.txt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6,775,284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3,853,977.9148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21.6874%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450"/>
        <w:gridCol w:w="1338"/>
        <w:gridCol w:w="1338"/>
        <w:gridCol w:w="1450"/>
        <w:gridCol w:w="1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979,994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161,191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1,150,054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100,624.7475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245,209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2,424,556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151,361.2055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3,119,897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995,182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4,138,104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570,533.5160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6,345,942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1,428,657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7,821,374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808,583.3813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10,705,102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1,555,403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12,288,125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873,333.3752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10,536,760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2,389,642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13,427,371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1,678,928.1874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625,374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6,775,284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41,249,584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4,183,364.4129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score 54.9637%</w:t>
      </w:r>
      <w:r>
        <w:t xml:space="preserve">: the sum of the increases you awarded (1.659986%, 10.730988%, 14.901054%, 4.130718%) plus this round's 23.5409%, as your update log of 2026-08-18 defines it. Round 1 is held out: awarded on records, before the equivalent-English metric.</w:t>
      </w:r>
    </w:p>
    <w:bookmarkEnd w:id="9"/>
    <w:bookmarkStart w:id="10" w:name="what-the-increment-is"/>
    <w:p>
      <w:pPr>
        <w:pStyle w:val="Heading2"/>
      </w:pPr>
      <w:r>
        <w:t xml:space="preserve">2. What the increment is</w:t>
      </w:r>
    </w:p>
    <w:p>
      <w:pPr>
        <w:pStyle w:val="FirstParagraph"/>
      </w:pPr>
      <w:r>
        <w:t xml:space="preserve">Three things, largest first: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 corpora already on disk, re-read at hostname grain: 2,097,955 EE,</w:t>
      </w:r>
      <w:r>
        <w:rPr>
          <w:b/>
          <w:bCs/>
        </w:rPr>
        <w:t xml:space="preserve"> </w:t>
      </w:r>
      <w:r>
        <w:rPr>
          <w:b/>
          <w:bCs/>
        </w:rPr>
        <w:t xml:space="preserve">4,039,562 records from the NYPW TimeMaps and 631,148 EE, 1,163,616</w:t>
      </w:r>
      <w:r>
        <w:rPr>
          <w:b/>
          <w:bCs/>
        </w:rPr>
        <w:t xml:space="preserve"> </w:t>
      </w:r>
      <w:r>
        <w:rPr>
          <w:b/>
          <w:bCs/>
        </w:rPr>
        <w:t xml:space="preserve">records from IA's Early Web index.</w:t>
      </w:r>
      <w:r>
        <w:t xml:space="preserve"> </w:t>
      </w:r>
      <w:r>
        <w:t xml:space="preserve">Until you accepted hostnames the pipeline collapsed every</w:t>
      </w:r>
      <w:r>
        <w:t xml:space="preserve"> </w:t>
      </w:r>
      <w:r>
        <w:t xml:space="preserve">host to its registrable, so the NYPW TimeMaps (34 parts, CC BY 4.0), the 224 Early Web CDX</w:t>
      </w:r>
      <w:r>
        <w:t xml:space="preserve"> </w:t>
      </w:r>
      <w:r>
        <w:t xml:space="preserve">parts and 180 domain-wide CDX journals stood recorded as spent or worth 0. The same bytes,</w:t>
      </w:r>
      <w:r>
        <w:t xml:space="preserve"> </w:t>
      </w:r>
      <w:r>
        <w:t xml:space="preserve">re-read under the new unit, are the largest source of the round, with no new request. One</w:t>
      </w:r>
      <w:r>
        <w:t xml:space="preserve"> </w:t>
      </w:r>
      <w:r>
        <w:t xml:space="preserve">disclosure decides what the Early Web half is worth: nearly all of its records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a registrable you already hold in that year, because your own files carry the</w:t>
      </w:r>
      <w:r>
        <w:t xml:space="preserve"> </w:t>
      </w:r>
      <w:r>
        <w:t xml:space="preserve">non-</w:t>
      </w:r>
      <w:r>
        <w:rPr>
          <w:rStyle w:val="VerbatimChar"/>
        </w:rPr>
        <w:t xml:space="preserve">www.</w:t>
      </w:r>
      <w:r>
        <w:t xml:space="preserve"> </w:t>
      </w:r>
      <w:r>
        <w:t xml:space="preserve">hosts by name and almost no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ones. A third IA index, the USFEDGOV-EXTRACT-2001</w:t>
      </w:r>
      <w:r>
        <w:t xml:space="preserve"> </w:t>
      </w:r>
      <w:r>
        <w:t xml:space="preserve">merged CDX, adds 21,926 EE over 22,417 federal hosts at 2001 from one</w:t>
      </w:r>
      <w:r>
        <w:t xml:space="preserve"> </w:t>
      </w:r>
      <w:r>
        <w:t xml:space="preserve">bulk download.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Domain-wide CDX sweeps over subdomain platforms: 1,075,867 EE, 1,472,929</w:t>
      </w:r>
      <w:r>
        <w:rPr>
          <w:b/>
          <w:bCs/>
        </w:rPr>
        <w:t xml:space="preserve"> </w:t>
      </w:r>
      <w:r>
        <w:rPr>
          <w:b/>
          <w:bCs/>
        </w:rPr>
        <w:t xml:space="preserve">records.</w:t>
      </w:r>
      <w:r>
        <w:t xml:space="preserve"> </w:t>
      </w:r>
      <w:r>
        <w:rPr>
          <w:rStyle w:val="VerbatimChar"/>
        </w:rPr>
        <w:t xml:space="preserve">matchType=domain</w:t>
      </w:r>
      <w:r>
        <w:t xml:space="preserve">, 1996-2001, over the parents your own benchmark proves dense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rank_platform_parents.py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leads at 157,790 sub-hosts held, then</w:t>
      </w:r>
      <w:r>
        <w:t xml:space="preserve"> </w:t>
      </w:r>
      <w:r>
        <w:rPr>
          <w:rStyle w:val="VerbatimChar"/>
        </w:rPr>
        <w:t xml:space="preserve">demon.co.uk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freeserve.co.uk</w:t>
      </w:r>
      <w:r>
        <w:t xml:space="preserve">). This is the workflow your 0901 update describes; each parent is resumable</w:t>
      </w:r>
      <w:r>
        <w:t xml:space="preserve"> </w:t>
      </w:r>
      <w:r>
        <w:t xml:space="preserve">from the saturation ledger.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Registrable domains, the prioritized unit: 329,386.4981 EE, 625,374 records.</w:t>
      </w:r>
      <w:r>
        <w:t xml:space="preserve"> </w:t>
      </w:r>
      <w:r>
        <w:t xml:space="preserve">NYPW TimeMaps</w:t>
      </w:r>
      <w:r>
        <w:t xml:space="preserve"> </w:t>
      </w:r>
      <w:r>
        <w:t xml:space="preserve">reopened and measured partition by partition (150,468 EE, after a 14 EE closure on the</w:t>
      </w:r>
      <w:r>
        <w:t xml:space="preserve"> </w:t>
      </w:r>
      <w:r>
        <w:t xml:space="preserve">1996 folder), per-domain CDX queries over bracketed gaps (66,566), three Usenet lanes</w:t>
      </w:r>
      <w:r>
        <w:t xml:space="preserve"> </w:t>
      </w:r>
      <w:r>
        <w:t xml:space="preserve">(71,388) and 24 small dated artifacts (40,964). 46,766 of</w:t>
      </w:r>
      <w:r>
        <w:t xml:space="preserve"> </w:t>
      </w:r>
      <w:r>
        <w:t xml:space="preserve">these domains appear in none of your six files in any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1,472,929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1,075,867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early_web_hostgrain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1,163,616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631,148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143,789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66,566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 further sources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235,260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128,809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7,400,658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4,183,364</w:t>
            </w:r>
          </w:p>
        </w:tc>
      </w:tr>
    </w:tbl>
    <w:p>
      <w:pPr>
        <w:pStyle w:val="BodyText"/>
      </w:pPr>
      <w:r>
        <w:t xml:space="preserve">Every source has its own entry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link, acquisition route, what dates one item, yield,</w:t>
      </w:r>
      <w:r>
        <w:t xml:space="preserve"> </w:t>
      </w:r>
      <w:r>
        <w:t xml:space="preserve">and for closed families the measurement that closed them. Per-source figures with files and</w:t>
      </w:r>
      <w:r>
        <w:t xml:space="preserve"> </w:t>
      </w:r>
      <w:r>
        <w:t xml:space="preserve">evidence rows are in</w:t>
      </w:r>
      <w:r>
        <w:t xml:space="preserve"> </w:t>
      </w:r>
      <w:r>
        <w:rPr>
          <w:rStyle w:val="VerbatimChar"/>
        </w:rPr>
        <w:t xml:space="preserve">audit/source_contribution.csv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90.2% of the 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a registrable. They are distinct</w:t>
      </w:r>
      <w:r>
        <w:t xml:space="preserve"> </w:t>
      </w:r>
      <w:r>
        <w:t xml:space="preserve">valid hostnames under your rule and sit in their own files, so they merge or drop as a block.</w:t>
      </w:r>
    </w:p>
    <w:bookmarkEnd w:id="10"/>
    <w:bookmarkStart w:id="11" w:name="evidentiary-standard"/>
    <w:p>
      <w:pPr>
        <w:pStyle w:val="Heading2"/>
      </w:pPr>
      <w:r>
        <w:t xml:space="preserve">3. Evidentiary standard</w:t>
      </w:r>
    </w:p>
    <w:p>
      <w:pPr>
        <w:pStyle w:val="Compact"/>
        <w:numPr>
          <w:ilvl w:val="0"/>
          <w:numId w:val="1002"/>
        </w:numPr>
      </w:pPr>
      <w:r>
        <w:t xml:space="preserve">One record is one machine-written observation of that name in that year. For capture-backed</w:t>
      </w:r>
      <w:r>
        <w:t xml:space="preserve"> </w:t>
      </w:r>
      <w:r>
        <w:t xml:space="preserve">sources it is the Internet Archive's 14-digit timestamp of a capture on that exact host, quoted</w:t>
      </w:r>
      <w:r>
        <w:t xml:space="preserve"> </w:t>
      </w:r>
      <w:r>
        <w:t xml:space="preserve">with its replay URL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so any line can be opened.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domain_year.evidence_id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hostname_year.evidence_id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keys: no year</w:t>
      </w:r>
      <w:r>
        <w:t xml:space="preserve"> </w:t>
      </w:r>
      <w:r>
        <w:t xml:space="preserve">without an observation. Fifteen invariants check this before every commit and inside the archive.</w:t>
      </w:r>
    </w:p>
    <w:p>
      <w:pPr>
        <w:pStyle w:val="Compact"/>
        <w:numPr>
          <w:ilvl w:val="0"/>
          <w:numId w:val="1002"/>
        </w:numPr>
      </w:pPr>
      <w:r>
        <w:t xml:space="preserve">Master-eligible classes:</w:t>
      </w:r>
      <w:r>
        <w:t xml:space="preserve"> </w:t>
      </w:r>
      <w:r>
        <w:rPr>
          <w:rStyle w:val="VerbatimChar"/>
        </w:rPr>
        <w:t xml:space="preserve">artifact_listing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cdx_timestamp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dated_directory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whois_creation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year. Anything a human typed</w:t>
      </w:r>
      <w:r>
        <w:t xml:space="preserve"> </w:t>
      </w:r>
      <w:r>
        <w:t xml:space="preserve">needs a second source to date that domain first. A creation date attests its own year only.</w:t>
      </w:r>
    </w:p>
    <w:p>
      <w:pPr>
        <w:pStyle w:val="Compact"/>
        <w:numPr>
          <w:ilvl w:val="0"/>
          <w:numId w:val="1002"/>
        </w:numPr>
      </w:pPr>
      <w:r>
        <w:t xml:space="preserve">A hostname must sit beneath a held registrable, be RFC 1123 valid, and its parent earns the same</w:t>
      </w:r>
      <w:r>
        <w:t xml:space="preserve"> </w:t>
      </w:r>
      <w:r>
        <w:t xml:space="preserve">year from the same 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2,419,437 domains carry no year evidence</w:t>
      </w:r>
      <w:r>
        <w:t xml:space="preserve"> </w:t>
      </w:r>
      <w:r>
        <w:t xml:space="preserve">and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none in an annual</w:t>
      </w:r>
      <w:r>
        <w:t xml:space="preserve"> </w:t>
      </w:r>
      <w:r>
        <w:t xml:space="preserve">file; 588,081 of them are under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.mil</w:t>
      </w:r>
      <w:r>
        <w:t xml:space="preserve">.</w:t>
      </w:r>
    </w:p>
    <w:bookmarkEnd w:id="11"/>
    <w:bookmarkStart w:id="12" w:name="autonomous-research-this-round"/>
    <w:p>
      <w:pPr>
        <w:pStyle w:val="Heading2"/>
      </w:pPr>
      <w:r>
        <w:t xml:space="preserve">4. Autonomous research this round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loop runs unattended.</w:t>
      </w:r>
      <w:r>
        <w:t xml:space="preserve"> </w:t>
      </w:r>
      <w:r>
        <w:t xml:space="preserve">Scheduled workflows on a self-hosted runner: a generator proposes</w:t>
      </w:r>
      <w:r>
        <w:t xml:space="preserve"> </w:t>
      </w:r>
      <w:r>
        <w:t xml:space="preserve">hypotheses, researcher waves test them in parallel and price each against the store, a re-opener</w:t>
      </w:r>
      <w:r>
        <w:t xml:space="preserve"> </w:t>
      </w:r>
      <w:r>
        <w:t xml:space="preserve">re-reads closed verdicts whenever a screen changes, and an improver tunes one prompt or model</w:t>
      </w:r>
      <w:r>
        <w:t xml:space="preserve"> </w:t>
      </w:r>
      <w:r>
        <w:t xml:space="preserve">knob per pull request from per-run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Three of the round's finds are the loop's.</w:t>
      </w:r>
      <w:r>
        <w:t xml:space="preserve"> </w:t>
      </w:r>
      <w:r>
        <w:t xml:space="preserve">The hostname-grain re-read (item 1 above) was</w:t>
      </w:r>
      <w:r>
        <w:t xml:space="preserve"> </w:t>
      </w:r>
      <w:r>
        <w:t xml:space="preserve">among the generator's first seven proposals. The re-opener recovered the NYPW TimeMaps from a</w:t>
      </w:r>
      <w:r>
        <w:t xml:space="preserve"> </w:t>
      </w:r>
      <w:r>
        <w:t xml:space="preserve">14 EE closure by measuring the ingest ledger per folder (year rows per million: 2000 ~24,000,</w:t>
      </w:r>
      <w:r>
        <w:t xml:space="preserve"> </w:t>
      </w:r>
      <w:r>
        <w:t xml:space="preserve">1999 ~10,000, 2001 exactly 4), for ~88,000 EE. A researcher wave found the first source admitted</w:t>
      </w:r>
      <w:r>
        <w:t xml:space="preserve"> </w:t>
      </w:r>
      <w:r>
        <w:t xml:space="preserve">without a human, 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Admission without a human, under a standing rule.</w:t>
      </w:r>
      <w:r>
        <w:t xml:space="preserve"> </w:t>
      </w:r>
      <w:r>
        <w:t xml:space="preserve">A source banks when its evidence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full, and the invariants pass. Anything else parks until a written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first such admission is a column this project had discarded on purpose.</w:t>
      </w:r>
      <w:r>
        <w:t xml:space="preserve"> </w:t>
      </w:r>
      <w:r>
        <w:t xml:space="preserve">A zone file's</w:t>
      </w:r>
      <w:r>
        <w:t xml:space="preserve"> </w:t>
      </w:r>
      <w:r>
        <w:t xml:space="preserve">NS records name two hosts: the delegation and the nameserver serving it. At registrable grain the</w:t>
      </w:r>
      <w:r>
        <w:t xml:space="preserve"> </w:t>
      </w:r>
      <w:r>
        <w:t xml:space="preserve">nameserver side closed at 63 pairs (</w:t>
      </w:r>
      <w:r>
        <w:rPr>
          <w:rStyle w:val="VerbatimChar"/>
        </w:rPr>
        <w:t xml:space="preserve">ns1.psi.net</w:t>
      </w:r>
      <w:r>
        <w:t xml:space="preserve"> </w:t>
      </w:r>
      <w:r>
        <w:t xml:space="preserve">collapses to an operator every crawl holds).</w:t>
      </w:r>
      <w:r>
        <w:t xml:space="preserve"> </w:t>
      </w:r>
      <w:r>
        <w:t xml:space="preserve">At hostname grain, 21,498 nameservers in the 1997 InterNIC</w:t>
      </w:r>
      <w:r>
        <w:t xml:space="preserve"> </w:t>
      </w:r>
      <w:r>
        <w:rPr>
          <w:rStyle w:val="VerbatimChar"/>
        </w:rPr>
        <w:t xml:space="preserve">org</w:t>
      </w:r>
      <w:r>
        <w:t xml:space="preserve">,</w:t>
      </w:r>
      <w:r>
        <w:t xml:space="preserve"> </w:t>
      </w:r>
      <w:r>
        <w:rPr>
          <w:rStyle w:val="VerbatimChar"/>
        </w:rPr>
        <w:t xml:space="preserve">edu</w:t>
      </w:r>
      <w:r>
        <w:t xml:space="preserve">,</w:t>
      </w:r>
      <w:r>
        <w:t xml:space="preserve"> </w:t>
      </w:r>
      <w:r>
        <w:rPr>
          <w:rStyle w:val="VerbatimChar"/>
        </w:rPr>
        <w:t xml:space="preserve">gov</w:t>
      </w:r>
      <w:r>
        <w:t xml:space="preserve">,</w:t>
      </w:r>
      <w:r>
        <w:t xml:space="preserve"> </w:t>
      </w:r>
      <w:r>
        <w:rPr>
          <w:rStyle w:val="VerbatimChar"/>
        </w:rPr>
        <w:t xml:space="preserve">mil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arpa</w:t>
      </w:r>
      <w:r>
        <w:t xml:space="preserve"> </w:t>
      </w:r>
      <w:r>
        <w:t xml:space="preserve">zones are 90% absent from both the store and your 1997 file:</w:t>
      </w:r>
      <w:r>
        <w:t xml:space="preserve"> </w:t>
      </w:r>
      <w:r>
        <w:rPr>
          <w:b/>
          <w:bCs/>
        </w:rPr>
        <w:t xml:space="preserve">19,211 records,</w:t>
      </w:r>
      <w:r>
        <w:rPr>
          <w:b/>
          <w:bCs/>
        </w:rPr>
        <w:t xml:space="preserve"> </w:t>
      </w:r>
      <w:r>
        <w:rPr>
          <w:b/>
          <w:bCs/>
        </w:rPr>
        <w:t xml:space="preserve">11,860.7 EE</w:t>
      </w:r>
      <w:r>
        <w:t xml:space="preserve">, dated by the SOA serial</w:t>
      </w:r>
      <w:r>
        <w:t xml:space="preserve"> </w:t>
      </w:r>
      <w:r>
        <w:rPr>
          <w:rStyle w:val="VerbatimChar"/>
        </w:rPr>
        <w:t xml:space="preserve">1997041800</w:t>
      </w:r>
      <w:r>
        <w:t xml:space="preserve"> </w:t>
      </w:r>
      <w:r>
        <w:t xml:space="preserve">in the payload, no new request. The lens it</w:t>
      </w:r>
      <w:r>
        <w:t xml:space="preserve"> </w:t>
      </w:r>
      <w:r>
        <w:t xml:space="preserve">opens: nameservers, mail exchangers and mirrors are hosts a web crawler never fetches, so</w:t>
      </w:r>
      <w:r>
        <w:t xml:space="preserve"> </w:t>
      </w:r>
      <w:r>
        <w:t xml:space="preserve">DNS-side and mail-side artifacts are the hostname unit's natural source even where their</w:t>
      </w:r>
      <w:r>
        <w:t xml:space="preserve"> </w:t>
      </w:r>
      <w:r>
        <w:t xml:space="preserve">registrables are saturated. The second such admission is smaller and cheaper still: the two</w:t>
      </w:r>
      <w:r>
        <w:t xml:space="preserve"> </w:t>
      </w:r>
      <w:r>
        <w:t xml:space="preserve">banked squidGuard blocklists read one level down, keeping the host each line names instead of</w:t>
      </w:r>
      <w:r>
        <w:t xml:space="preserve"> </w:t>
      </w:r>
      <w:r>
        <w:t xml:space="preserve">its registrable, 7,708 records and 3,441.8 EE at 2001, zero requests (</w:t>
      </w:r>
      <w:r>
        <w:rPr>
          <w:rStyle w:val="VerbatimChar"/>
        </w:rPr>
        <w:t xml:space="preserve">sources.md</w:t>
      </w:r>
      <w:r>
        <w:t xml:space="preserve">). The</w:t>
      </w:r>
      <w:r>
        <w:t xml:space="preserve"> </w:t>
      </w:r>
      <w:r>
        <w:t xml:space="preserve">third is the same lens on a registry database: the nameservers RIPE</w:t>
      </w:r>
      <w:r>
        <w:t xml:space="preserve"> </w:t>
      </w:r>
      <w:r>
        <w:rPr>
          <w:rStyle w:val="VerbatimChar"/>
        </w:rPr>
        <w:t xml:space="preserve">domain:</w:t>
      </w:r>
      <w:r>
        <w:t xml:space="preserve"> </w:t>
      </w:r>
      <w:r>
        <w:t xml:space="preserve">objects point at,</w:t>
      </w:r>
      <w:r>
        <w:t xml:space="preserve"> </w:t>
      </w:r>
      <w:r>
        <w:t xml:space="preserve">in the two FUNET editions already banked for their delegated names, 49,841 records and</w:t>
      </w:r>
      <w:r>
        <w:t xml:space="preserve"> </w:t>
      </w:r>
      <w:r>
        <w:t xml:space="preserve">11,780 EE across 1996-2001, dated by the dump's own generation stamp and each object's</w:t>
      </w:r>
      <w:r>
        <w:t xml:space="preserve"> </w:t>
      </w:r>
      <w:r>
        <w:t xml:space="preserve">latest</w:t>
      </w:r>
      <w:r>
        <w:t xml:space="preserve"> </w:t>
      </w:r>
      <w:r>
        <w:rPr>
          <w:rStyle w:val="VerbatimChar"/>
        </w:rPr>
        <w:t xml:space="preserve">changed:</w:t>
      </w:r>
      <w:r>
        <w:t xml:space="preserve"> </w:t>
      </w:r>
      <w:r>
        <w:t xml:space="preserve">line, under the RIPE NCC's written permission.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Saturation ledger</w:t>
      </w:r>
      <w:r>
        <w:t xml:space="preserve">, as your 0831 update asks: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, one row</w:t>
      </w:r>
      <w:r>
        <w:t xml:space="preserve"> </w:t>
      </w:r>
      <w:r>
        <w:t xml:space="preserve">per source family and version.</w:t>
      </w:r>
      <w:r>
        <w:t xml:space="preserve"> </w:t>
      </w:r>
      <w:r>
        <w:rPr>
          <w:b/>
          <w:bCs/>
        </w:rPr>
        <w:t xml:space="preserve">484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65 developed, 419 evaluated and closed with the measurement that closed them, so the same ground is not broken twice.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negatives that steer the next cycle</w:t>
      </w:r>
      <w:r>
        <w:t xml:space="preserve">: prose corpora fail either the URL-density or</w:t>
      </w:r>
      <w:r>
        <w:t xml:space="preserve"> </w:t>
      </w:r>
      <w:r>
        <w:t xml:space="preserve">the authority screen; academic repositories closed by enumeration through five APIs and two</w:t>
      </w:r>
      <w:r>
        <w:t xml:space="preserve"> </w:t>
      </w:r>
      <w:r>
        <w:t xml:space="preserve">registries; CD-ROM media, FTP mirrors and trade directories at the curated-directory floor</w:t>
      </w:r>
      <w:r>
        <w:t xml:space="preserve"> </w:t>
      </w:r>
      <w:r>
        <w:t xml:space="preserve">(0.013-0.024 net-new pairs per listed name). Each with its figure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bookmarkEnd w:id="12"/>
    <w:bookmarkStart w:id="13" w:name="cdx-execution-notes"/>
    <w:p>
      <w:pPr>
        <w:pStyle w:val="Heading2"/>
      </w:pPr>
      <w:r>
        <w:t xml:space="preserve">5. CDX execution notes</w:t>
      </w:r>
    </w:p>
    <w:p>
      <w:pPr>
        <w:pStyle w:val="Compact"/>
        <w:numPr>
          <w:ilvl w:val="0"/>
          <w:numId w:val="1004"/>
        </w:numPr>
      </w:pPr>
      <w:r>
        <w:t xml:space="preserve">Two clients at most, honest User-Agent, two seconds between requests, backoff on 429/503/504,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honoured. Collectors take an absolute deadline and outlive the session.</w:t>
      </w:r>
    </w:p>
    <w:p>
      <w:pPr>
        <w:pStyle w:val="Compact"/>
        <w:numPr>
          <w:ilvl w:val="0"/>
          <w:numId w:val="1004"/>
        </w:numPr>
      </w:pPr>
      <w:r>
        <w:t xml:space="preserve">Per-domain queries over bracketed gaps and the candidate pool: 92,479 registrable pairs.</w:t>
      </w:r>
      <w:r>
        <w:t xml:space="preserve"> </w:t>
      </w:r>
      <w:r>
        <w:t xml:space="preserve">Domain-wide sweeps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so the same bytes can be re-read</w:t>
      </w:r>
      <w:r>
        <w:t xml:space="preserve"> </w:t>
      </w:r>
      <w:r>
        <w:t xml:space="preserve">under a new rule, which is what paid this round.</w:t>
      </w:r>
    </w:p>
    <w:p>
      <w:pPr>
        <w:pStyle w:val="Compact"/>
        <w:numPr>
          <w:ilvl w:val="0"/>
          <w:numId w:val="1004"/>
        </w:numPr>
      </w:pPr>
      <w:r>
        <w:t xml:space="preserve">Measured on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: a CDX page costs about the same at 200 index blocks as at 10,000 (11 to</w:t>
      </w:r>
      <w:r>
        <w:t xml:space="preserve"> </w:t>
      </w:r>
      <w:r>
        <w:t xml:space="preserve">42 s against 110 s), so the sweep now walks 10,000-block pages and asks the page count up</w:t>
      </w:r>
      <w:r>
        <w:t xml:space="preserve"> </w:t>
      </w:r>
      <w:r>
        <w:t xml:space="preserve">front. An archive outage refused thirteen parents on their control probe; they were requeued,</w:t>
      </w:r>
      <w:r>
        <w:t xml:space="preserve"> </w:t>
      </w:r>
      <w:r>
        <w:t xml:space="preserve">and a failed page is retried rather than skipped.</w:t>
      </w:r>
    </w:p>
    <w:bookmarkEnd w:id="13"/>
    <w:bookmarkStart w:id="14" w:name="limitations-and-what-is-worth-expanding"/>
    <w:p>
      <w:pPr>
        <w:pStyle w:val="Heading2"/>
      </w:pPr>
      <w:r>
        <w:t xml:space="preserve">6. Limitations, and what is worth expanding</w:t>
      </w:r>
    </w:p>
    <w:p>
      <w:pPr>
        <w:pStyle w:val="FirstParagraph"/>
      </w:pPr>
      <w:r>
        <w:t xml:space="preserve">A capture proves presence, never absence: a year without one is unevidenced, not empty. The</w:t>
      </w:r>
      <w:r>
        <w:t xml:space="preserve"> </w:t>
      </w:r>
      <w:r>
        <w:t xml:space="preserve">hostname unit rewards platforms with many sub-hosts, so it is concentrated in 2000 and 2001.</w:t>
      </w:r>
    </w:p>
    <w:p>
      <w:pPr>
        <w:pStyle w:val="BodyText"/>
      </w:pPr>
      <w:r>
        <w:t xml:space="preserve">Worth expanding, in order: the remaining ranked platforms, resumable from the ledger; the</w:t>
      </w:r>
      <w:r>
        <w:t xml:space="preserve"> </w:t>
      </w:r>
      <w:r>
        <w:t xml:space="preserve">second-level suffix namespaces at hostname grain (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</w:t>
      </w:r>
      <w:r>
        <w:t xml:space="preserve"> </w:t>
      </w:r>
      <w:r>
        <w:t xml:space="preserve">walked,</w:t>
      </w:r>
      <w:r>
        <w:t xml:space="preserve"> </w:t>
      </w:r>
      <w:r>
        <w:rPr>
          <w:rStyle w:val="VerbatimChar"/>
        </w:rPr>
        <w:t xml:space="preserve">com.au</w:t>
      </w:r>
      <w:r>
        <w:t xml:space="preserve">,</w:t>
      </w:r>
      <w:r>
        <w:t xml:space="preserve"> </w:t>
      </w:r>
      <w:r>
        <w:rPr>
          <w:rStyle w:val="VerbatimChar"/>
        </w:rPr>
        <w:t xml:space="preserve">co.nz</w:t>
      </w:r>
      <w:r>
        <w:t xml:space="preserve">,</w:t>
      </w:r>
      <w:r>
        <w:t xml:space="preserve"> </w:t>
      </w:r>
      <w:r>
        <w:rPr>
          <w:rStyle w:val="VerbatimChar"/>
        </w:rPr>
        <w:t xml:space="preserve">org.uk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gc.ca</w:t>
      </w:r>
      <w:r>
        <w:t xml:space="preserve"> </w:t>
      </w:r>
      <w:r>
        <w:t xml:space="preserve">queued behind it); every held</w:t>
      </w:r>
      <w:r>
        <w:t xml:space="preserve"> </w:t>
      </w:r>
      <w:r>
        <w:t xml:space="preserve">capture-bearing artifact re-read at hostname grain; registrable discovery by bracketed-gap CDX</w:t>
      </w:r>
      <w:r>
        <w:t xml:space="preserve"> </w:t>
      </w:r>
      <w:r>
        <w:t xml:space="preserve">queries at its measured rate. Not worth more time, measured: prose</w:t>
      </w:r>
      <w:r>
        <w:t xml:space="preserve"> </w:t>
      </w:r>
      <w:r>
        <w:t xml:space="preserve">corpora, academic repositories, CD-ROM media, FTP mirrors, trade directories.</w:t>
      </w:r>
    </w:p>
    <w:bookmarkEnd w:id="14"/>
    <w:bookmarkStart w:id="15" w:name="merge-overlap-and-reconciliation-d3"/>
    <w:p>
      <w:pPr>
        <w:pStyle w:val="Heading2"/>
      </w:pPr>
      <w:r>
        <w:t xml:space="preserve">7.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7,400,658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4,183,364.4129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41,249,584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21,953,953.3155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Overlap with the baseline: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7,400,658 submitted count once; the two unit files are disjoint in every year.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 of 28 reconciliation checks pass</w:t>
      </w:r>
      <w:r>
        <w:t xml:space="preserve"> </w:t>
      </w:r>
      <w:r>
        <w:t xml:space="preserve">(per-year</w:t>
      </w:r>
      <w:r>
        <w:t xml:space="preserve"> </w:t>
      </w:r>
      <w:r>
        <w:rPr>
          <w:rStyle w:val="VerbatimChar"/>
        </w:rPr>
        <w:t xml:space="preserve">baseline_unique + accepted_new == merged_unique</w:t>
      </w:r>
      <w:r>
        <w:t xml:space="preserve">, unit files disjoint and summing to the submitted count, per-year increments summing to the headline, baseline re-measured). Verdicts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,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 </w:t>
      </w:r>
      <w:r>
        <w:t xml:space="preserve">in your column names.</w:t>
      </w:r>
    </w:p>
    <w:p>
      <w:pPr>
        <w:pStyle w:val="Compact"/>
        <w:numPr>
          <w:ilvl w:val="0"/>
          <w:numId w:val="1005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deduplicated on the lowercased line within each year, and scores every file with your own calculator.</w:t>
      </w:r>
    </w:p>
    <w:bookmarkEnd w:id="15"/>
    <w:bookmarkStart w:id="16" w:name="X0b2e0752a69cd3551e46aae05f1ee9f09d3d9db"/>
    <w:p>
      <w:pPr>
        <w:pStyle w:val="Heading2"/>
      </w:pPr>
      <w:r>
        <w:t xml:space="preserve">8. Reproduction and the four requested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order:</w:t>
      </w:r>
      <w:r>
        <w:t xml:space="preserve"> </w:t>
      </w:r>
      <w:r>
        <w:rPr>
          <w:rStyle w:val="VerbatimChar"/>
        </w:rPr>
        <w:t xml:space="preserve">masters/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provenance/*.parquet</w:t>
      </w:r>
      <w:r>
        <w:t xml:space="preserve"> </w:t>
      </w:r>
      <w:r>
        <w:t xml:space="preserve">(every assignment joined to its evidence row),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.</w:t>
      </w:r>
      <w:r>
        <w:t xml:space="preserve"> </w:t>
      </w:r>
      <w:r>
        <w:t xml:space="preserve">Before sending, a fresh extraction of this archive was put through that route: all ten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fifteen invariants and returns all twenty-one result files byte-identical to the ones shipped. Tier 3, the full replay, was not run: about 50 GB, with five journal sets held out of the archive on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2227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asked for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runnable code, dependencies,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; its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names what every command prints. The research loop of section 4 is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  <w:r>
              <w:t xml:space="preserve">: workflows, prompts, policy and the hypothesis register with every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experience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, distilled from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merge and dedup code, overlap, reconciliation</w:t>
            </w:r>
          </w:p>
        </w:tc>
        <w:tc>
          <w:tcPr/>
          <w:p>
            <w:pPr>
              <w:pStyle w:val="Compact"/>
            </w:pPr>
            <w:r>
              <w:t xml:space="preserve">section 7,</w:t>
            </w:r>
            <w:r>
              <w:t xml:space="preserve"> </w:t>
            </w:r>
            <w:r>
              <w:rPr>
                <w:rStyle w:val="VerbatimChar"/>
              </w:rPr>
              <w:t xml:space="preserve">source/scripts/round/merge_against_baseline.py</w:t>
            </w:r>
            <w:r>
              <w:t xml:space="preserve">, output in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runnable metric code and its explanation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unmodified, explained in</w:t>
            </w:r>
            <w:r>
              <w:t xml:space="preserve"> </w:t>
            </w:r>
            <w:r>
              <w:rPr>
                <w:rStyle w:val="VerbatimChar"/>
              </w:rPr>
              <w:t xml:space="preserve">metric-explained.md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runs ten checks inside a fresh extraction, including all four.</w:t>
      </w:r>
    </w:p>
    <w:bookmarkEnd w:id="16"/>
    <w:bookmarkEnd w:id="17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2026-09-02T01:20:33Z</dcterms:created>
  <dcterms:modified xsi:type="dcterms:W3CDTF">2026-09-02T01:20:33Z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