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4C462" w14:textId="6FB4941A" w:rsidR="0046036C" w:rsidRPr="0046036C" w:rsidRDefault="0046036C" w:rsidP="0046036C">
      <w:pPr>
        <w:spacing w:after="0" w:line="240" w:lineRule="auto"/>
        <w:rPr>
          <w:b/>
          <w:sz w:val="32"/>
          <w:szCs w:val="32"/>
        </w:rPr>
      </w:pPr>
      <w:r w:rsidRPr="0046036C">
        <w:rPr>
          <w:b/>
          <w:sz w:val="32"/>
          <w:szCs w:val="32"/>
        </w:rPr>
        <w:t>Evaluating 2 Examples in a SV Para to Demonstrate Conceptual Understanding</w:t>
      </w:r>
    </w:p>
    <w:p w14:paraId="64FCAF58" w14:textId="77777777" w:rsidR="0046036C" w:rsidRDefault="0046036C" w:rsidP="0046036C">
      <w:pPr>
        <w:spacing w:after="0" w:line="240" w:lineRule="auto"/>
        <w:rPr>
          <w:b/>
        </w:rPr>
      </w:pPr>
    </w:p>
    <w:p w14:paraId="5742C9DA" w14:textId="5F3D46DF" w:rsidR="0006193C" w:rsidRPr="0046036C" w:rsidRDefault="00A442EF" w:rsidP="0046036C">
      <w:pPr>
        <w:spacing w:after="0" w:line="240" w:lineRule="auto"/>
      </w:pPr>
      <w:r w:rsidRPr="0046036C">
        <w:rPr>
          <w:b/>
        </w:rPr>
        <w:t>Question: “Modern technology has made us more vulnerable than ever before.” Discuss.</w:t>
      </w:r>
    </w:p>
    <w:p w14:paraId="3846A4B6" w14:textId="77777777" w:rsidR="0006193C" w:rsidRDefault="00A442EF" w:rsidP="0046036C">
      <w:pPr>
        <w:spacing w:after="0" w:line="240" w:lineRule="auto"/>
        <w:rPr>
          <w:b/>
        </w:rPr>
      </w:pPr>
      <w:r w:rsidRPr="0046036C">
        <w:rPr>
          <w:b/>
        </w:rPr>
        <w:t>Supporting Viewpoint: Modern technology has increased vulnerability because societies have become increasingly dependent on interconnected digital systems.</w:t>
      </w:r>
    </w:p>
    <w:p w14:paraId="5A47446A" w14:textId="77777777" w:rsidR="0046036C" w:rsidRPr="0046036C" w:rsidRDefault="0046036C" w:rsidP="0046036C">
      <w:pPr>
        <w:spacing w:after="0" w:line="240" w:lineRule="auto"/>
      </w:pPr>
    </w:p>
    <w:p w14:paraId="111E1807" w14:textId="5971BC25" w:rsidR="0046036C" w:rsidRDefault="00A442EF" w:rsidP="0046036C">
      <w:pPr>
        <w:pStyle w:val="Heading1"/>
        <w:numPr>
          <w:ilvl w:val="0"/>
          <w:numId w:val="11"/>
        </w:numPr>
        <w:spacing w:before="0" w:line="240" w:lineRule="auto"/>
        <w:rPr>
          <w:rFonts w:ascii="Aptos" w:hAnsi="Aptos"/>
          <w:sz w:val="22"/>
          <w:szCs w:val="22"/>
        </w:rPr>
      </w:pPr>
      <w:r w:rsidRPr="0046036C">
        <w:rPr>
          <w:rFonts w:ascii="Aptos" w:hAnsi="Aptos"/>
          <w:sz w:val="22"/>
          <w:szCs w:val="22"/>
        </w:rPr>
        <w:t>What Conceptual Understanding (CU) Requires</w:t>
      </w:r>
    </w:p>
    <w:p w14:paraId="24D6A68F" w14:textId="77777777" w:rsidR="0046036C" w:rsidRPr="0046036C" w:rsidRDefault="0046036C" w:rsidP="0046036C">
      <w:pPr>
        <w:spacing w:after="0" w:line="240" w:lineRule="auto"/>
      </w:pPr>
    </w:p>
    <w:p w14:paraId="1CC1D405" w14:textId="77777777" w:rsidR="0006193C" w:rsidRPr="0046036C" w:rsidRDefault="00A442EF" w:rsidP="0046036C">
      <w:pPr>
        <w:spacing w:after="0" w:line="240" w:lineRule="auto"/>
      </w:pPr>
      <w:r w:rsidRPr="0046036C">
        <w:t>For the purposes of 8881 GP, Conceptual Understanding involves:</w:t>
      </w:r>
    </w:p>
    <w:p w14:paraId="52EF7DF6" w14:textId="77777777" w:rsidR="0006193C" w:rsidRPr="0046036C" w:rsidRDefault="00A442EF" w:rsidP="0046036C">
      <w:pPr>
        <w:pStyle w:val="ListBullet"/>
        <w:spacing w:after="0" w:line="240" w:lineRule="auto"/>
      </w:pPr>
      <w:r w:rsidRPr="0046036C">
        <w:t>making observations of trends and relationships, as well as connections across issues and ideas;</w:t>
      </w:r>
    </w:p>
    <w:p w14:paraId="48C01E68" w14:textId="77777777" w:rsidR="0006193C" w:rsidRPr="0046036C" w:rsidRDefault="00A442EF" w:rsidP="0046036C">
      <w:pPr>
        <w:pStyle w:val="ListBullet"/>
        <w:spacing w:after="0" w:line="240" w:lineRule="auto"/>
      </w:pPr>
      <w:r w:rsidRPr="0046036C">
        <w:t>applying or adapting ideas to other relevant contexts, for example, changes in time and/or place;</w:t>
      </w:r>
    </w:p>
    <w:p w14:paraId="0D5B6608" w14:textId="77777777" w:rsidR="0006193C" w:rsidRPr="0046036C" w:rsidRDefault="00A442EF" w:rsidP="0046036C">
      <w:pPr>
        <w:pStyle w:val="ListBullet"/>
        <w:spacing w:after="0" w:line="240" w:lineRule="auto"/>
      </w:pPr>
      <w:r w:rsidRPr="0046036C">
        <w:t>analysing and evaluating issues of local, regional and global significance, including implications for the individual and society where relevant.</w:t>
      </w:r>
    </w:p>
    <w:p w14:paraId="4981D79C" w14:textId="77777777" w:rsidR="0046036C" w:rsidRDefault="0046036C" w:rsidP="0046036C">
      <w:pPr>
        <w:spacing w:after="0" w:line="240" w:lineRule="auto"/>
        <w:rPr>
          <w:b/>
        </w:rPr>
      </w:pPr>
    </w:p>
    <w:p w14:paraId="06660A1D" w14:textId="137B3170" w:rsidR="0006193C" w:rsidRDefault="0046036C" w:rsidP="0046036C">
      <w:pPr>
        <w:spacing w:after="0" w:line="240" w:lineRule="auto"/>
        <w:rPr>
          <w:b/>
        </w:rPr>
      </w:pPr>
      <w:r>
        <w:rPr>
          <w:b/>
        </w:rPr>
        <w:t xml:space="preserve">Key </w:t>
      </w:r>
      <w:r w:rsidRPr="0046036C">
        <w:rPr>
          <w:b/>
        </w:rPr>
        <w:t>principle: EV should not simply repeat what the examples show. Strong EV uses the examples to surface a broader pattern, relationship, connection, implication or transferable insight. This is where EV begins to demonstrate CU.</w:t>
      </w:r>
    </w:p>
    <w:p w14:paraId="77272F22" w14:textId="77777777" w:rsidR="0046036C" w:rsidRPr="0046036C" w:rsidRDefault="0046036C" w:rsidP="0046036C">
      <w:pPr>
        <w:spacing w:after="0" w:line="240" w:lineRule="auto"/>
      </w:pPr>
    </w:p>
    <w:p w14:paraId="139EBFC6" w14:textId="1CE0A5F9" w:rsidR="0006193C" w:rsidRDefault="0046036C" w:rsidP="0046036C">
      <w:pPr>
        <w:pStyle w:val="Heading1"/>
        <w:numPr>
          <w:ilvl w:val="0"/>
          <w:numId w:val="11"/>
        </w:numPr>
        <w:spacing w:before="0" w:line="240" w:lineRule="auto"/>
        <w:rPr>
          <w:rFonts w:ascii="Aptos" w:hAnsi="Aptos"/>
          <w:sz w:val="22"/>
          <w:szCs w:val="22"/>
        </w:rPr>
      </w:pPr>
      <w:r>
        <w:rPr>
          <w:rFonts w:ascii="Aptos" w:hAnsi="Aptos"/>
          <w:sz w:val="22"/>
          <w:szCs w:val="22"/>
        </w:rPr>
        <w:t xml:space="preserve">From </w:t>
      </w:r>
      <w:r w:rsidRPr="0046036C">
        <w:rPr>
          <w:rFonts w:ascii="Aptos" w:hAnsi="Aptos"/>
          <w:sz w:val="22"/>
          <w:szCs w:val="22"/>
        </w:rPr>
        <w:t>Evidence → Explanation → EV + CU</w:t>
      </w:r>
    </w:p>
    <w:p w14:paraId="2CFAF57D" w14:textId="77777777" w:rsidR="0046036C" w:rsidRPr="0046036C" w:rsidRDefault="0046036C" w:rsidP="0046036C"/>
    <w:tbl>
      <w:tblPr>
        <w:tblW w:w="0" w:type="auto"/>
        <w:jc w:val="center"/>
        <w:tblLook w:val="04A0" w:firstRow="1" w:lastRow="0" w:firstColumn="1" w:lastColumn="0" w:noHBand="0" w:noVBand="1"/>
      </w:tblPr>
      <w:tblGrid>
        <w:gridCol w:w="1737"/>
        <w:gridCol w:w="2986"/>
        <w:gridCol w:w="4287"/>
      </w:tblGrid>
      <w:tr w:rsidR="0006193C" w:rsidRPr="0046036C" w14:paraId="29AAF69A" w14:textId="77777777" w:rsidTr="0046036C">
        <w:trPr>
          <w:jc w:val="center"/>
        </w:trPr>
        <w:tc>
          <w:tcPr>
            <w:tcW w:w="1843" w:type="dxa"/>
            <w:tcBorders>
              <w:top w:val="single" w:sz="4" w:space="0" w:color="000000"/>
              <w:left w:val="single" w:sz="4" w:space="0" w:color="000000"/>
              <w:bottom w:val="single" w:sz="4" w:space="0" w:color="000000"/>
              <w:right w:val="single" w:sz="4" w:space="0" w:color="000000"/>
            </w:tcBorders>
            <w:shd w:val="clear" w:color="auto" w:fill="D9EAF7"/>
          </w:tcPr>
          <w:p w14:paraId="4C2FBC1C" w14:textId="77777777" w:rsidR="0006193C" w:rsidRPr="0046036C" w:rsidRDefault="00A442EF" w:rsidP="0046036C">
            <w:pPr>
              <w:spacing w:after="0" w:line="240" w:lineRule="auto"/>
            </w:pPr>
            <w:r w:rsidRPr="0046036C">
              <w:rPr>
                <w:b/>
              </w:rPr>
              <w:t>Level</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Pr>
          <w:p w14:paraId="5E506C51" w14:textId="66FAF859" w:rsidR="0006193C" w:rsidRPr="0046036C" w:rsidRDefault="00A442EF" w:rsidP="0046036C">
            <w:pPr>
              <w:spacing w:after="0" w:line="240" w:lineRule="auto"/>
            </w:pPr>
            <w:r w:rsidRPr="0046036C">
              <w:rPr>
                <w:b/>
              </w:rPr>
              <w:t xml:space="preserve">What the </w:t>
            </w:r>
            <w:r w:rsidR="0046036C">
              <w:rPr>
                <w:b/>
              </w:rPr>
              <w:t>SV</w:t>
            </w:r>
            <w:r w:rsidRPr="0046036C">
              <w:rPr>
                <w:b/>
              </w:rPr>
              <w:t xml:space="preserve"> does</w:t>
            </w:r>
          </w:p>
        </w:tc>
        <w:tc>
          <w:tcPr>
            <w:tcW w:w="4979" w:type="dxa"/>
            <w:tcBorders>
              <w:top w:val="single" w:sz="4" w:space="0" w:color="000000"/>
              <w:left w:val="single" w:sz="4" w:space="0" w:color="000000"/>
              <w:bottom w:val="single" w:sz="4" w:space="0" w:color="000000"/>
              <w:right w:val="single" w:sz="4" w:space="0" w:color="000000"/>
            </w:tcBorders>
            <w:shd w:val="clear" w:color="auto" w:fill="D9EAF7"/>
          </w:tcPr>
          <w:p w14:paraId="4E5839B7" w14:textId="77777777" w:rsidR="0006193C" w:rsidRPr="0046036C" w:rsidRDefault="00A442EF" w:rsidP="0046036C">
            <w:pPr>
              <w:spacing w:after="0" w:line="240" w:lineRule="auto"/>
            </w:pPr>
            <w:r w:rsidRPr="0046036C">
              <w:rPr>
                <w:b/>
              </w:rPr>
              <w:t>Illustration using the two examples</w:t>
            </w:r>
          </w:p>
        </w:tc>
      </w:tr>
      <w:tr w:rsidR="0006193C" w:rsidRPr="0046036C" w14:paraId="11B47A66" w14:textId="77777777" w:rsidTr="0046036C">
        <w:trPr>
          <w:jc w:val="center"/>
        </w:trPr>
        <w:tc>
          <w:tcPr>
            <w:tcW w:w="1843" w:type="dxa"/>
            <w:tcBorders>
              <w:top w:val="single" w:sz="4" w:space="0" w:color="000000"/>
              <w:left w:val="single" w:sz="4" w:space="0" w:color="000000"/>
              <w:bottom w:val="single" w:sz="4" w:space="0" w:color="000000"/>
              <w:right w:val="single" w:sz="4" w:space="0" w:color="000000"/>
            </w:tcBorders>
          </w:tcPr>
          <w:p w14:paraId="1EC3329C" w14:textId="77777777" w:rsidR="0006193C" w:rsidRPr="0046036C" w:rsidRDefault="00A442EF" w:rsidP="0046036C">
            <w:pPr>
              <w:spacing w:after="0" w:line="240" w:lineRule="auto"/>
            </w:pPr>
            <w:r w:rsidRPr="0046036C">
              <w:t>Evidence</w:t>
            </w:r>
          </w:p>
        </w:tc>
        <w:tc>
          <w:tcPr>
            <w:tcW w:w="3402" w:type="dxa"/>
            <w:tcBorders>
              <w:top w:val="single" w:sz="4" w:space="0" w:color="000000"/>
              <w:left w:val="single" w:sz="4" w:space="0" w:color="000000"/>
              <w:bottom w:val="single" w:sz="4" w:space="0" w:color="000000"/>
              <w:right w:val="single" w:sz="4" w:space="0" w:color="000000"/>
            </w:tcBorders>
          </w:tcPr>
          <w:p w14:paraId="41795B25" w14:textId="77777777" w:rsidR="0006193C" w:rsidRPr="0046036C" w:rsidRDefault="00A442EF" w:rsidP="0046036C">
            <w:pPr>
              <w:spacing w:after="0" w:line="240" w:lineRule="auto"/>
            </w:pPr>
            <w:r w:rsidRPr="0046036C">
              <w:t>States what happened.</w:t>
            </w:r>
          </w:p>
        </w:tc>
        <w:tc>
          <w:tcPr>
            <w:tcW w:w="4979" w:type="dxa"/>
            <w:tcBorders>
              <w:top w:val="single" w:sz="4" w:space="0" w:color="000000"/>
              <w:left w:val="single" w:sz="4" w:space="0" w:color="000000"/>
              <w:bottom w:val="single" w:sz="4" w:space="0" w:color="000000"/>
              <w:right w:val="single" w:sz="4" w:space="0" w:color="000000"/>
            </w:tcBorders>
          </w:tcPr>
          <w:p w14:paraId="67AA776D" w14:textId="77777777" w:rsidR="0006193C" w:rsidRPr="0046036C" w:rsidRDefault="00A442EF" w:rsidP="0046036C">
            <w:pPr>
              <w:spacing w:after="0" w:line="240" w:lineRule="auto"/>
            </w:pPr>
            <w:r w:rsidRPr="0046036C">
              <w:t>CrowdStrike caused widespread digital disruption; Change Healthcare disrupted healthcare-related systems and services.</w:t>
            </w:r>
          </w:p>
        </w:tc>
      </w:tr>
      <w:tr w:rsidR="0006193C" w:rsidRPr="0046036C" w14:paraId="354575BB" w14:textId="77777777" w:rsidTr="0046036C">
        <w:trPr>
          <w:jc w:val="center"/>
        </w:trPr>
        <w:tc>
          <w:tcPr>
            <w:tcW w:w="1843" w:type="dxa"/>
            <w:tcBorders>
              <w:top w:val="single" w:sz="4" w:space="0" w:color="000000"/>
              <w:left w:val="single" w:sz="4" w:space="0" w:color="000000"/>
              <w:bottom w:val="single" w:sz="4" w:space="0" w:color="000000"/>
              <w:right w:val="single" w:sz="4" w:space="0" w:color="000000"/>
            </w:tcBorders>
          </w:tcPr>
          <w:p w14:paraId="53C860D0" w14:textId="77777777" w:rsidR="0006193C" w:rsidRPr="0046036C" w:rsidRDefault="00A442EF" w:rsidP="0046036C">
            <w:pPr>
              <w:spacing w:after="0" w:line="240" w:lineRule="auto"/>
            </w:pPr>
            <w:r w:rsidRPr="0046036C">
              <w:t>Explanation of evidence</w:t>
            </w:r>
          </w:p>
        </w:tc>
        <w:tc>
          <w:tcPr>
            <w:tcW w:w="3402" w:type="dxa"/>
            <w:tcBorders>
              <w:top w:val="single" w:sz="4" w:space="0" w:color="000000"/>
              <w:left w:val="single" w:sz="4" w:space="0" w:color="000000"/>
              <w:bottom w:val="single" w:sz="4" w:space="0" w:color="000000"/>
              <w:right w:val="single" w:sz="4" w:space="0" w:color="000000"/>
            </w:tcBorders>
          </w:tcPr>
          <w:p w14:paraId="4936E986" w14:textId="77777777" w:rsidR="0006193C" w:rsidRPr="0046036C" w:rsidRDefault="00A442EF" w:rsidP="0046036C">
            <w:pPr>
              <w:spacing w:after="0" w:line="240" w:lineRule="auto"/>
            </w:pPr>
            <w:r w:rsidRPr="0046036C">
              <w:t>Explains how each example supports the SV.</w:t>
            </w:r>
          </w:p>
        </w:tc>
        <w:tc>
          <w:tcPr>
            <w:tcW w:w="4979" w:type="dxa"/>
            <w:tcBorders>
              <w:top w:val="single" w:sz="4" w:space="0" w:color="000000"/>
              <w:left w:val="single" w:sz="4" w:space="0" w:color="000000"/>
              <w:bottom w:val="single" w:sz="4" w:space="0" w:color="000000"/>
              <w:right w:val="single" w:sz="4" w:space="0" w:color="000000"/>
            </w:tcBorders>
          </w:tcPr>
          <w:p w14:paraId="5AA98AFA" w14:textId="77777777" w:rsidR="0006193C" w:rsidRPr="0046036C" w:rsidRDefault="00A442EF" w:rsidP="0046036C">
            <w:pPr>
              <w:spacing w:after="0" w:line="240" w:lineRule="auto"/>
            </w:pPr>
            <w:r w:rsidRPr="0046036C">
              <w:t>Both cases show that dependence on digital systems can make essential services vulnerable to disruption.</w:t>
            </w:r>
          </w:p>
        </w:tc>
      </w:tr>
      <w:tr w:rsidR="0006193C" w:rsidRPr="0046036C" w14:paraId="208B67E0" w14:textId="77777777" w:rsidTr="0046036C">
        <w:trPr>
          <w:jc w:val="center"/>
        </w:trPr>
        <w:tc>
          <w:tcPr>
            <w:tcW w:w="1843" w:type="dxa"/>
            <w:tcBorders>
              <w:top w:val="single" w:sz="4" w:space="0" w:color="000000"/>
              <w:left w:val="single" w:sz="4" w:space="0" w:color="000000"/>
              <w:bottom w:val="single" w:sz="4" w:space="0" w:color="000000"/>
              <w:right w:val="single" w:sz="4" w:space="0" w:color="000000"/>
            </w:tcBorders>
          </w:tcPr>
          <w:p w14:paraId="44C269C4" w14:textId="77777777" w:rsidR="0006193C" w:rsidRPr="0046036C" w:rsidRDefault="00A442EF" w:rsidP="0046036C">
            <w:pPr>
              <w:spacing w:after="0" w:line="240" w:lineRule="auto"/>
            </w:pPr>
            <w:r w:rsidRPr="0046036C">
              <w:t>EV + CU</w:t>
            </w:r>
          </w:p>
        </w:tc>
        <w:tc>
          <w:tcPr>
            <w:tcW w:w="3402" w:type="dxa"/>
            <w:tcBorders>
              <w:top w:val="single" w:sz="4" w:space="0" w:color="000000"/>
              <w:left w:val="single" w:sz="4" w:space="0" w:color="000000"/>
              <w:bottom w:val="single" w:sz="4" w:space="0" w:color="000000"/>
              <w:right w:val="single" w:sz="4" w:space="0" w:color="000000"/>
            </w:tcBorders>
          </w:tcPr>
          <w:p w14:paraId="71604E14" w14:textId="77777777" w:rsidR="0006193C" w:rsidRPr="0046036C" w:rsidRDefault="00A442EF" w:rsidP="0046036C">
            <w:pPr>
              <w:spacing w:after="0" w:line="240" w:lineRule="auto"/>
            </w:pPr>
            <w:r w:rsidRPr="0046036C">
              <w:t>Moves beyond the cases to identify a broader relationship, pattern, transfer or implication.</w:t>
            </w:r>
          </w:p>
        </w:tc>
        <w:tc>
          <w:tcPr>
            <w:tcW w:w="4979" w:type="dxa"/>
            <w:tcBorders>
              <w:top w:val="single" w:sz="4" w:space="0" w:color="000000"/>
              <w:left w:val="single" w:sz="4" w:space="0" w:color="000000"/>
              <w:bottom w:val="single" w:sz="4" w:space="0" w:color="000000"/>
              <w:right w:val="single" w:sz="4" w:space="0" w:color="000000"/>
            </w:tcBorders>
          </w:tcPr>
          <w:p w14:paraId="16A05938" w14:textId="77777777" w:rsidR="0006193C" w:rsidRPr="0046036C" w:rsidRDefault="00A442EF" w:rsidP="0046036C">
            <w:pPr>
              <w:spacing w:after="0" w:line="240" w:lineRule="auto"/>
            </w:pPr>
            <w:r w:rsidRPr="0046036C">
              <w:t>Despite different causes, both cases suggest that the deeper vulnerability lies in the structure of technological dependence itself. When many essential services rely on interconnected systems, both accidental failure and deliberate attack can produce consequences far beyond the original source.</w:t>
            </w:r>
          </w:p>
        </w:tc>
      </w:tr>
    </w:tbl>
    <w:p w14:paraId="0F710FF4" w14:textId="77777777" w:rsidR="0046036C" w:rsidRDefault="0046036C" w:rsidP="0046036C">
      <w:pPr>
        <w:pStyle w:val="Heading1"/>
        <w:spacing w:before="0" w:line="240" w:lineRule="auto"/>
        <w:ind w:left="720"/>
        <w:rPr>
          <w:rFonts w:ascii="Aptos" w:hAnsi="Aptos"/>
          <w:sz w:val="22"/>
          <w:szCs w:val="22"/>
        </w:rPr>
      </w:pPr>
    </w:p>
    <w:p w14:paraId="1F1CCE80" w14:textId="7AC26A33" w:rsidR="0006193C" w:rsidRDefault="00A442EF" w:rsidP="0046036C">
      <w:pPr>
        <w:pStyle w:val="Heading1"/>
        <w:numPr>
          <w:ilvl w:val="0"/>
          <w:numId w:val="11"/>
        </w:numPr>
        <w:spacing w:before="0" w:line="240" w:lineRule="auto"/>
        <w:rPr>
          <w:rFonts w:ascii="Aptos" w:hAnsi="Aptos"/>
          <w:sz w:val="22"/>
          <w:szCs w:val="22"/>
        </w:rPr>
      </w:pPr>
      <w:r w:rsidRPr="0046036C">
        <w:rPr>
          <w:rFonts w:ascii="Aptos" w:hAnsi="Aptos"/>
          <w:sz w:val="22"/>
          <w:szCs w:val="22"/>
        </w:rPr>
        <w:t>Different Ways the Two Examples Can Produce Strong EV + CU</w:t>
      </w:r>
    </w:p>
    <w:p w14:paraId="06DF951D" w14:textId="77777777" w:rsidR="0046036C" w:rsidRDefault="0046036C" w:rsidP="0046036C">
      <w:pPr>
        <w:pStyle w:val="Heading2"/>
        <w:spacing w:before="0" w:line="240" w:lineRule="auto"/>
        <w:ind w:left="720"/>
        <w:rPr>
          <w:rFonts w:ascii="Aptos" w:hAnsi="Aptos"/>
          <w:sz w:val="22"/>
          <w:szCs w:val="22"/>
        </w:rPr>
      </w:pPr>
    </w:p>
    <w:p w14:paraId="2F2ABAF9" w14:textId="11A1CA6E"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Identify a relationship</w:t>
      </w:r>
    </w:p>
    <w:p w14:paraId="1553BE52" w14:textId="77777777" w:rsidR="0006193C" w:rsidRPr="0046036C" w:rsidRDefault="00A442EF" w:rsidP="0046036C">
      <w:pPr>
        <w:spacing w:after="0" w:line="240" w:lineRule="auto"/>
      </w:pPr>
      <w:r w:rsidRPr="0046036C">
        <w:t>Taken together, the two cases reveal a relationship between greater technological interdependence and greater systemic vulnerability. As more essential services become connected through shared digital infrastructure, the failure of one part of the system can increasingly affect many others.</w:t>
      </w:r>
    </w:p>
    <w:p w14:paraId="3A8DF5E6" w14:textId="77777777" w:rsidR="0046036C" w:rsidRDefault="0046036C" w:rsidP="0046036C">
      <w:pPr>
        <w:spacing w:after="0" w:line="240" w:lineRule="auto"/>
        <w:rPr>
          <w:i/>
        </w:rPr>
      </w:pPr>
    </w:p>
    <w:p w14:paraId="48B91DCA" w14:textId="05C39092" w:rsidR="0006193C" w:rsidRPr="0046036C" w:rsidRDefault="00A442EF" w:rsidP="0046036C">
      <w:pPr>
        <w:spacing w:after="0" w:line="240" w:lineRule="auto"/>
      </w:pPr>
      <w:r w:rsidRPr="0046036C">
        <w:rPr>
          <w:i/>
        </w:rPr>
        <w:t>CU surfaced: greater interdependence → greater systemic vulnerability.</w:t>
      </w:r>
    </w:p>
    <w:p w14:paraId="6F1D5122" w14:textId="77777777" w:rsidR="0046036C" w:rsidRDefault="0046036C" w:rsidP="0046036C">
      <w:pPr>
        <w:pStyle w:val="Heading2"/>
        <w:spacing w:before="0" w:line="240" w:lineRule="auto"/>
        <w:rPr>
          <w:rFonts w:ascii="Aptos" w:hAnsi="Aptos"/>
          <w:sz w:val="22"/>
          <w:szCs w:val="22"/>
        </w:rPr>
      </w:pPr>
    </w:p>
    <w:p w14:paraId="00B8AB99" w14:textId="0F934842"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Contrast different causes, then identify a common underlying issue</w:t>
      </w:r>
    </w:p>
    <w:p w14:paraId="479BBE8F" w14:textId="77777777" w:rsidR="0006193C" w:rsidRPr="0046036C" w:rsidRDefault="00A442EF" w:rsidP="0046036C">
      <w:pPr>
        <w:spacing w:after="0" w:line="240" w:lineRule="auto"/>
      </w:pPr>
      <w:r w:rsidRPr="0046036C">
        <w:t>The different causes of the two incidents make the underlying vulnerability more significant. CrowdStrike resulted from an accidental software failure, while Change Healthcare involved deliberate attack, yet both produced major disruption. This suggests that the deeper problem is not one specific threat, but society’s dependence on highly interconnected systems.</w:t>
      </w:r>
    </w:p>
    <w:p w14:paraId="7E5FD617" w14:textId="77777777" w:rsidR="0046036C" w:rsidRDefault="0046036C" w:rsidP="0046036C">
      <w:pPr>
        <w:spacing w:after="0" w:line="240" w:lineRule="auto"/>
        <w:rPr>
          <w:i/>
        </w:rPr>
      </w:pPr>
    </w:p>
    <w:p w14:paraId="3CEA53B6" w14:textId="2047D269" w:rsidR="0006193C" w:rsidRDefault="00A442EF" w:rsidP="0046036C">
      <w:pPr>
        <w:spacing w:after="0" w:line="240" w:lineRule="auto"/>
        <w:rPr>
          <w:i/>
        </w:rPr>
      </w:pPr>
      <w:r w:rsidRPr="0046036C">
        <w:rPr>
          <w:i/>
        </w:rPr>
        <w:t>CU surfaced: different causes → similar outcome → deeper structural cause.</w:t>
      </w:r>
    </w:p>
    <w:p w14:paraId="7A9FF029" w14:textId="77777777" w:rsidR="0046036C" w:rsidRPr="0046036C" w:rsidRDefault="0046036C" w:rsidP="0046036C">
      <w:pPr>
        <w:spacing w:after="0" w:line="240" w:lineRule="auto"/>
      </w:pPr>
    </w:p>
    <w:p w14:paraId="049A314E" w14:textId="3BBC84E2"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Identify a trend over time</w:t>
      </w:r>
    </w:p>
    <w:p w14:paraId="2A623C0D" w14:textId="77777777" w:rsidR="0006193C" w:rsidRPr="0046036C" w:rsidRDefault="00A442EF" w:rsidP="0046036C">
      <w:pPr>
        <w:spacing w:after="0" w:line="240" w:lineRule="auto"/>
      </w:pPr>
      <w:r w:rsidRPr="0046036C">
        <w:t xml:space="preserve">These cases reflect a wider shift </w:t>
      </w:r>
      <w:r w:rsidRPr="0046036C">
        <w:t>in the nature of vulnerability. As societies have moved from relatively separate physical systems towards interconnected digital networks, vulnerability has shifted from isolated points of failure towards systemic risks that can spread rapidly across organisations and borders.</w:t>
      </w:r>
    </w:p>
    <w:p w14:paraId="31F92C44" w14:textId="77777777" w:rsidR="0046036C" w:rsidRDefault="0046036C" w:rsidP="0046036C">
      <w:pPr>
        <w:spacing w:after="0" w:line="240" w:lineRule="auto"/>
        <w:rPr>
          <w:i/>
        </w:rPr>
      </w:pPr>
    </w:p>
    <w:p w14:paraId="15A699D7" w14:textId="64CD45BC" w:rsidR="0006193C" w:rsidRDefault="00A442EF" w:rsidP="0046036C">
      <w:pPr>
        <w:spacing w:after="0" w:line="240" w:lineRule="auto"/>
        <w:rPr>
          <w:i/>
        </w:rPr>
      </w:pPr>
      <w:r w:rsidRPr="0046036C">
        <w:rPr>
          <w:i/>
        </w:rPr>
        <w:t xml:space="preserve">CU surfaced: past </w:t>
      </w:r>
      <w:proofErr w:type="spellStart"/>
      <w:r w:rsidRPr="0046036C">
        <w:rPr>
          <w:i/>
        </w:rPr>
        <w:t>localised</w:t>
      </w:r>
      <w:proofErr w:type="spellEnd"/>
      <w:r w:rsidRPr="0046036C">
        <w:rPr>
          <w:i/>
        </w:rPr>
        <w:t xml:space="preserve"> vulnerability → present systemic vulnerability.</w:t>
      </w:r>
    </w:p>
    <w:p w14:paraId="642A3385" w14:textId="77777777" w:rsidR="0046036C" w:rsidRPr="0046036C" w:rsidRDefault="0046036C" w:rsidP="0046036C">
      <w:pPr>
        <w:spacing w:after="0" w:line="240" w:lineRule="auto"/>
      </w:pPr>
    </w:p>
    <w:p w14:paraId="33687BC9" w14:textId="2D475CAB" w:rsidR="0006193C" w:rsidRPr="0046036C" w:rsidRDefault="0046036C" w:rsidP="0046036C">
      <w:pPr>
        <w:pStyle w:val="Heading2"/>
        <w:numPr>
          <w:ilvl w:val="0"/>
          <w:numId w:val="12"/>
        </w:numPr>
        <w:spacing w:before="0" w:line="240" w:lineRule="auto"/>
        <w:rPr>
          <w:rFonts w:ascii="Aptos" w:hAnsi="Aptos"/>
          <w:sz w:val="22"/>
          <w:szCs w:val="22"/>
        </w:rPr>
      </w:pPr>
      <w:r>
        <w:rPr>
          <w:rFonts w:ascii="Aptos" w:hAnsi="Aptos"/>
          <w:sz w:val="22"/>
          <w:szCs w:val="22"/>
        </w:rPr>
        <w:t>T</w:t>
      </w:r>
      <w:r w:rsidRPr="0046036C">
        <w:rPr>
          <w:rFonts w:ascii="Aptos" w:hAnsi="Aptos"/>
          <w:sz w:val="22"/>
          <w:szCs w:val="22"/>
        </w:rPr>
        <w:t>ransfer the insight to another context</w:t>
      </w:r>
    </w:p>
    <w:p w14:paraId="4A61AE14" w14:textId="77777777" w:rsidR="0006193C" w:rsidRPr="0046036C" w:rsidRDefault="00A442EF" w:rsidP="0046036C">
      <w:pPr>
        <w:spacing w:after="0" w:line="240" w:lineRule="auto"/>
      </w:pPr>
      <w:r w:rsidRPr="0046036C">
        <w:t>Although these incidents involved software and healthcare systems, the same vulnerability can apply to other highly digitalised sectors such as energy, transport or finance. The more essential services depend on interconnected systems, the greater the possibility that disruption in one part of the network will create consequences elsewhere.</w:t>
      </w:r>
    </w:p>
    <w:p w14:paraId="0CA4F099" w14:textId="77777777" w:rsidR="0046036C" w:rsidRDefault="0046036C" w:rsidP="0046036C">
      <w:pPr>
        <w:spacing w:after="0" w:line="240" w:lineRule="auto"/>
        <w:rPr>
          <w:i/>
        </w:rPr>
      </w:pPr>
    </w:p>
    <w:p w14:paraId="206009DD" w14:textId="25BADC5F" w:rsidR="0006193C" w:rsidRDefault="00A442EF" w:rsidP="0046036C">
      <w:pPr>
        <w:spacing w:after="0" w:line="240" w:lineRule="auto"/>
        <w:rPr>
          <w:i/>
        </w:rPr>
      </w:pPr>
      <w:r w:rsidRPr="0046036C">
        <w:rPr>
          <w:i/>
        </w:rPr>
        <w:t>CU surfaced: an idea is applied beyond the original examples to a new but relevant context.</w:t>
      </w:r>
    </w:p>
    <w:p w14:paraId="0215CF74" w14:textId="77777777" w:rsidR="0046036C" w:rsidRPr="0046036C" w:rsidRDefault="0046036C" w:rsidP="0046036C">
      <w:pPr>
        <w:spacing w:after="0" w:line="240" w:lineRule="auto"/>
      </w:pPr>
    </w:p>
    <w:p w14:paraId="1F671989" w14:textId="7BD9E43A"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Draw out implications for individuals and society</w:t>
      </w:r>
    </w:p>
    <w:p w14:paraId="514B63BA" w14:textId="77777777" w:rsidR="0006193C" w:rsidRDefault="00A442EF" w:rsidP="0046036C">
      <w:pPr>
        <w:spacing w:after="0" w:line="240" w:lineRule="auto"/>
      </w:pPr>
      <w:r w:rsidRPr="0046036C">
        <w:t>Systemic technological failure also changes who becomes vulnerable. Individuals may suffer disruption even when neither they nor their own devices have failed, simply because the hospitals, banks, airlines or other institutions they depend on are connected to the affected system. Vulnerability has therefore shifted from being mainly an individual technological problem to a broader societal one.</w:t>
      </w:r>
    </w:p>
    <w:p w14:paraId="1C560DBA" w14:textId="77777777" w:rsidR="0046036C" w:rsidRPr="0046036C" w:rsidRDefault="0046036C" w:rsidP="0046036C">
      <w:pPr>
        <w:spacing w:after="0" w:line="240" w:lineRule="auto"/>
      </w:pPr>
    </w:p>
    <w:p w14:paraId="543DB0EF" w14:textId="77777777" w:rsidR="0006193C" w:rsidRDefault="00A442EF" w:rsidP="0046036C">
      <w:pPr>
        <w:spacing w:after="0" w:line="240" w:lineRule="auto"/>
        <w:rPr>
          <w:i/>
        </w:rPr>
      </w:pPr>
      <w:r w:rsidRPr="0046036C">
        <w:rPr>
          <w:i/>
        </w:rPr>
        <w:t>CU surfaced: institutional dependence → individual vulnerability; individual consequences → societal implications.</w:t>
      </w:r>
    </w:p>
    <w:p w14:paraId="7BD7F6B9" w14:textId="77777777" w:rsidR="0046036C" w:rsidRPr="0046036C" w:rsidRDefault="0046036C" w:rsidP="0046036C">
      <w:pPr>
        <w:spacing w:after="0" w:line="240" w:lineRule="auto"/>
      </w:pPr>
    </w:p>
    <w:p w14:paraId="5DB99CE9" w14:textId="09756659"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Use similarity to establish a pattern</w:t>
      </w:r>
    </w:p>
    <w:p w14:paraId="34C5798D" w14:textId="77777777" w:rsidR="0006193C" w:rsidRPr="0046036C" w:rsidRDefault="00A442EF" w:rsidP="0046036C">
      <w:pPr>
        <w:spacing w:after="0" w:line="240" w:lineRule="auto"/>
      </w:pPr>
      <w:r w:rsidRPr="0046036C">
        <w:t>Although the incidents affected different sectors, both reveal the same pattern: dependence on shared digital systems allows disruption to spread beyond its original source. The recurrence of this pattern across different settings suggests that the vulnerability is systemic rather than a one-off anomaly.</w:t>
      </w:r>
    </w:p>
    <w:p w14:paraId="035B5E6B" w14:textId="77777777" w:rsidR="0046036C" w:rsidRDefault="0046036C" w:rsidP="0046036C">
      <w:pPr>
        <w:spacing w:after="0" w:line="240" w:lineRule="auto"/>
        <w:rPr>
          <w:i/>
        </w:rPr>
      </w:pPr>
    </w:p>
    <w:p w14:paraId="16D4E713" w14:textId="77E41089" w:rsidR="0006193C" w:rsidRDefault="00A442EF" w:rsidP="0046036C">
      <w:pPr>
        <w:spacing w:after="0" w:line="240" w:lineRule="auto"/>
        <w:rPr>
          <w:i/>
        </w:rPr>
      </w:pPr>
      <w:r w:rsidRPr="0046036C">
        <w:rPr>
          <w:i/>
        </w:rPr>
        <w:t xml:space="preserve">CU surfaced: recurring pattern across contexts → stronger </w:t>
      </w:r>
      <w:proofErr w:type="spellStart"/>
      <w:r w:rsidRPr="0046036C">
        <w:rPr>
          <w:i/>
        </w:rPr>
        <w:t>generalisability</w:t>
      </w:r>
      <w:proofErr w:type="spellEnd"/>
      <w:r w:rsidRPr="0046036C">
        <w:rPr>
          <w:i/>
        </w:rPr>
        <w:t>.</w:t>
      </w:r>
    </w:p>
    <w:p w14:paraId="73F0E6D8" w14:textId="77777777" w:rsidR="0046036C" w:rsidRPr="0046036C" w:rsidRDefault="0046036C" w:rsidP="0046036C">
      <w:pPr>
        <w:spacing w:after="0" w:line="240" w:lineRule="auto"/>
      </w:pPr>
    </w:p>
    <w:p w14:paraId="00B17702" w14:textId="06B75C91"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Use contrast to reveal different dimensions of vulnerability</w:t>
      </w:r>
    </w:p>
    <w:p w14:paraId="332F368F" w14:textId="77777777" w:rsidR="0006193C" w:rsidRPr="0046036C" w:rsidRDefault="00A442EF" w:rsidP="0046036C">
      <w:pPr>
        <w:spacing w:after="0" w:line="240" w:lineRule="auto"/>
      </w:pPr>
      <w:r w:rsidRPr="0046036C">
        <w:t>CrowdStrike is useful for showing the breadth and speed of disruption across sectors and countries, while Change Healthcare highlights the severity of disruption within an essential service. Together, they show that modern vulnerability can be serious both because of how far disruption spreads and because of how deeply it affects critical needs.</w:t>
      </w:r>
    </w:p>
    <w:p w14:paraId="2F40F9FF" w14:textId="77777777" w:rsidR="0046036C" w:rsidRDefault="0046036C" w:rsidP="0046036C">
      <w:pPr>
        <w:spacing w:after="0" w:line="240" w:lineRule="auto"/>
        <w:rPr>
          <w:i/>
        </w:rPr>
      </w:pPr>
    </w:p>
    <w:p w14:paraId="354CD395" w14:textId="7BD4D6CA" w:rsidR="0006193C" w:rsidRDefault="00A442EF" w:rsidP="0046036C">
      <w:pPr>
        <w:spacing w:after="0" w:line="240" w:lineRule="auto"/>
        <w:rPr>
          <w:i/>
        </w:rPr>
      </w:pPr>
      <w:r w:rsidRPr="0046036C">
        <w:rPr>
          <w:i/>
        </w:rPr>
        <w:t>CU surfaced: scale and severity are different but connected dimensions of the same issue.</w:t>
      </w:r>
    </w:p>
    <w:p w14:paraId="673E0983" w14:textId="77777777" w:rsidR="0046036C" w:rsidRPr="0046036C" w:rsidRDefault="0046036C" w:rsidP="0046036C">
      <w:pPr>
        <w:spacing w:after="0" w:line="240" w:lineRule="auto"/>
      </w:pPr>
    </w:p>
    <w:p w14:paraId="5F5DD2FB" w14:textId="34A1D238" w:rsidR="0006193C" w:rsidRPr="0046036C" w:rsidRDefault="00A442EF" w:rsidP="0046036C">
      <w:pPr>
        <w:pStyle w:val="Heading2"/>
        <w:numPr>
          <w:ilvl w:val="0"/>
          <w:numId w:val="12"/>
        </w:numPr>
        <w:spacing w:before="0" w:line="240" w:lineRule="auto"/>
        <w:rPr>
          <w:rFonts w:ascii="Aptos" w:hAnsi="Aptos"/>
          <w:sz w:val="22"/>
          <w:szCs w:val="22"/>
        </w:rPr>
      </w:pPr>
      <w:r w:rsidRPr="0046036C">
        <w:rPr>
          <w:rFonts w:ascii="Aptos" w:hAnsi="Aptos"/>
          <w:sz w:val="22"/>
          <w:szCs w:val="22"/>
        </w:rPr>
        <w:t>Move from examples to a wider conceptual judgement</w:t>
      </w:r>
    </w:p>
    <w:p w14:paraId="2D73D332" w14:textId="77777777" w:rsidR="0006193C" w:rsidRDefault="00A442EF" w:rsidP="0046036C">
      <w:pPr>
        <w:spacing w:after="0" w:line="240" w:lineRule="auto"/>
      </w:pPr>
      <w:r w:rsidRPr="0046036C">
        <w:t>The broader lesson is that technological efficiency and technological vulnerability may grow together. The same interconnection that allows services to operate faster and more efficiently also creates more pathways through which failure can spread.</w:t>
      </w:r>
    </w:p>
    <w:p w14:paraId="59F4710C" w14:textId="77777777" w:rsidR="0046036C" w:rsidRPr="0046036C" w:rsidRDefault="0046036C" w:rsidP="0046036C">
      <w:pPr>
        <w:spacing w:after="0" w:line="240" w:lineRule="auto"/>
      </w:pPr>
    </w:p>
    <w:p w14:paraId="4F79E587" w14:textId="77777777" w:rsidR="0006193C" w:rsidRDefault="00A442EF" w:rsidP="0046036C">
      <w:pPr>
        <w:spacing w:after="0" w:line="240" w:lineRule="auto"/>
        <w:rPr>
          <w:i/>
        </w:rPr>
      </w:pPr>
      <w:r w:rsidRPr="0046036C">
        <w:rPr>
          <w:i/>
        </w:rPr>
        <w:t>CU surfaced: connection between benefit and risk; efficiency ↔ interdependence ↔ vulnerability.</w:t>
      </w:r>
    </w:p>
    <w:p w14:paraId="61218B39" w14:textId="77777777" w:rsidR="0046036C" w:rsidRPr="0046036C" w:rsidRDefault="0046036C" w:rsidP="0046036C">
      <w:pPr>
        <w:spacing w:after="0" w:line="240" w:lineRule="auto"/>
      </w:pPr>
    </w:p>
    <w:p w14:paraId="12674702" w14:textId="0FAC4FDF" w:rsidR="0006193C" w:rsidRPr="0046036C" w:rsidRDefault="00A442EF" w:rsidP="0046036C">
      <w:pPr>
        <w:pStyle w:val="Heading1"/>
        <w:numPr>
          <w:ilvl w:val="0"/>
          <w:numId w:val="11"/>
        </w:numPr>
        <w:spacing w:before="0" w:line="240" w:lineRule="auto"/>
        <w:rPr>
          <w:rFonts w:ascii="Aptos" w:hAnsi="Aptos"/>
          <w:sz w:val="22"/>
          <w:szCs w:val="22"/>
        </w:rPr>
      </w:pPr>
      <w:r w:rsidRPr="0046036C">
        <w:rPr>
          <w:rFonts w:ascii="Aptos" w:hAnsi="Aptos"/>
          <w:sz w:val="22"/>
          <w:szCs w:val="22"/>
        </w:rPr>
        <w:t>Integrated Model EV for the Two Examples</w:t>
      </w:r>
    </w:p>
    <w:p w14:paraId="4811442B" w14:textId="77777777" w:rsidR="0046036C" w:rsidRDefault="0046036C" w:rsidP="0046036C">
      <w:pPr>
        <w:spacing w:after="0" w:line="240" w:lineRule="auto"/>
      </w:pPr>
    </w:p>
    <w:p w14:paraId="1F1BDED6" w14:textId="6080CBA4" w:rsidR="0006193C" w:rsidRPr="0046036C" w:rsidRDefault="00A442EF" w:rsidP="0046036C">
      <w:pPr>
        <w:spacing w:after="0" w:line="240" w:lineRule="auto"/>
      </w:pPr>
      <w:r w:rsidRPr="0046036C">
        <w:t>Taken together, the CrowdStrike and Change Healthcare incidents reveal more than two separate cases of technological disruption. Despite their different causes, both show a broader relationship between increasing digital interdependence and systemic vulnerability. As essential services become more dependent on shared networks and providers, disruption in one part of the system can spread far beyond its original source and affect individuals who had no direct involvement in the failure. This suggests that mo</w:t>
      </w:r>
      <w:r w:rsidRPr="0046036C">
        <w:t>dern vulnerability has shifted from relatively isolated technological problems towards wider systemic risks that are harder for any single organisation to contain.</w:t>
      </w:r>
    </w:p>
    <w:p w14:paraId="5F434F06" w14:textId="77777777" w:rsidR="0046036C" w:rsidRDefault="0046036C" w:rsidP="0046036C">
      <w:pPr>
        <w:spacing w:after="0" w:line="240" w:lineRule="auto"/>
        <w:rPr>
          <w:i/>
        </w:rPr>
      </w:pPr>
    </w:p>
    <w:p w14:paraId="0B4079AF" w14:textId="5EE701F7" w:rsidR="0006193C" w:rsidRDefault="00A442EF" w:rsidP="0046036C">
      <w:pPr>
        <w:spacing w:after="0" w:line="240" w:lineRule="auto"/>
        <w:rPr>
          <w:i/>
        </w:rPr>
      </w:pPr>
      <w:r w:rsidRPr="0046036C">
        <w:rPr>
          <w:i/>
        </w:rPr>
        <w:t>Why this is strong EV + CU: it does not retell either example. Instead, it synthesises them to identify a relationship, a shift over time and wider implications for individuals and society.</w:t>
      </w:r>
    </w:p>
    <w:p w14:paraId="69E03FA8" w14:textId="77777777" w:rsidR="0046036C" w:rsidRPr="0046036C" w:rsidRDefault="0046036C" w:rsidP="0046036C">
      <w:pPr>
        <w:spacing w:after="0" w:line="240" w:lineRule="auto"/>
      </w:pPr>
    </w:p>
    <w:p w14:paraId="4388DC0E" w14:textId="4EF52398" w:rsidR="0006193C" w:rsidRDefault="00A442EF" w:rsidP="0046036C">
      <w:pPr>
        <w:pStyle w:val="Heading1"/>
        <w:numPr>
          <w:ilvl w:val="0"/>
          <w:numId w:val="11"/>
        </w:numPr>
        <w:spacing w:before="0" w:line="240" w:lineRule="auto"/>
        <w:rPr>
          <w:rFonts w:ascii="Aptos" w:hAnsi="Aptos"/>
          <w:sz w:val="22"/>
          <w:szCs w:val="22"/>
        </w:rPr>
      </w:pPr>
      <w:r w:rsidRPr="0046036C">
        <w:rPr>
          <w:rFonts w:ascii="Aptos" w:hAnsi="Aptos"/>
          <w:sz w:val="22"/>
          <w:szCs w:val="22"/>
        </w:rPr>
        <w:t>What to Avoid: Rephrasing Is Not Evaluation</w:t>
      </w:r>
    </w:p>
    <w:p w14:paraId="5741889A" w14:textId="77777777" w:rsidR="0046036C" w:rsidRPr="0046036C" w:rsidRDefault="0046036C" w:rsidP="0046036C"/>
    <w:tbl>
      <w:tblPr>
        <w:tblW w:w="0" w:type="auto"/>
        <w:jc w:val="center"/>
        <w:tblLook w:val="04A0" w:firstRow="1" w:lastRow="0" w:firstColumn="1" w:lastColumn="0" w:noHBand="0" w:noVBand="1"/>
      </w:tblPr>
      <w:tblGrid>
        <w:gridCol w:w="4482"/>
        <w:gridCol w:w="4528"/>
      </w:tblGrid>
      <w:tr w:rsidR="0006193C" w:rsidRPr="0046036C" w14:paraId="7D51BDB4" w14:textId="77777777">
        <w:trPr>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D9EAF7"/>
          </w:tcPr>
          <w:p w14:paraId="746EE8BD" w14:textId="77777777" w:rsidR="0006193C" w:rsidRPr="0046036C" w:rsidRDefault="00A442EF" w:rsidP="0046036C">
            <w:pPr>
              <w:spacing w:after="0" w:line="240" w:lineRule="auto"/>
            </w:pPr>
            <w:r w:rsidRPr="0046036C">
              <w:rPr>
                <w:b/>
              </w:rPr>
              <w:t>Weaker / repetitive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tcPr>
          <w:p w14:paraId="5DE38AD4" w14:textId="77777777" w:rsidR="0006193C" w:rsidRPr="0046036C" w:rsidRDefault="00A442EF" w:rsidP="0046036C">
            <w:pPr>
              <w:spacing w:after="0" w:line="240" w:lineRule="auto"/>
            </w:pPr>
            <w:r w:rsidRPr="0046036C">
              <w:rPr>
                <w:b/>
              </w:rPr>
              <w:t>Stronger EV + CU</w:t>
            </w:r>
          </w:p>
        </w:tc>
      </w:tr>
      <w:tr w:rsidR="0006193C" w:rsidRPr="0046036C" w14:paraId="556CEF5C" w14:textId="77777777">
        <w:trPr>
          <w:jc w:val="center"/>
        </w:trPr>
        <w:tc>
          <w:tcPr>
            <w:tcW w:w="5112" w:type="dxa"/>
            <w:tcBorders>
              <w:top w:val="single" w:sz="4" w:space="0" w:color="000000"/>
              <w:left w:val="single" w:sz="4" w:space="0" w:color="000000"/>
              <w:bottom w:val="single" w:sz="4" w:space="0" w:color="000000"/>
              <w:right w:val="single" w:sz="4" w:space="0" w:color="000000"/>
            </w:tcBorders>
          </w:tcPr>
          <w:p w14:paraId="43E7A8AA" w14:textId="77777777" w:rsidR="0006193C" w:rsidRPr="0046036C" w:rsidRDefault="00A442EF" w:rsidP="0046036C">
            <w:pPr>
              <w:spacing w:after="0" w:line="240" w:lineRule="auto"/>
            </w:pPr>
            <w:r w:rsidRPr="0046036C">
              <w:t>CrowdStrike disrupted many sectors and Change Healthcare disrupted healthcare, so both show technology can cause disruption.</w:t>
            </w:r>
          </w:p>
        </w:tc>
        <w:tc>
          <w:tcPr>
            <w:tcW w:w="5112" w:type="dxa"/>
            <w:tcBorders>
              <w:top w:val="single" w:sz="4" w:space="0" w:color="000000"/>
              <w:left w:val="single" w:sz="4" w:space="0" w:color="000000"/>
              <w:bottom w:val="single" w:sz="4" w:space="0" w:color="000000"/>
              <w:right w:val="single" w:sz="4" w:space="0" w:color="000000"/>
            </w:tcBorders>
          </w:tcPr>
          <w:p w14:paraId="293E486B" w14:textId="77777777" w:rsidR="0006193C" w:rsidRPr="0046036C" w:rsidRDefault="00A442EF" w:rsidP="0046036C">
            <w:pPr>
              <w:spacing w:after="0" w:line="240" w:lineRule="auto"/>
            </w:pPr>
            <w:r w:rsidRPr="0046036C">
              <w:t>Despite different causes and sectors, both cases reveal the same structural weakness: concentrated dependence on interconnected systems can turn a local failure into systemic disruption.</w:t>
            </w:r>
          </w:p>
        </w:tc>
      </w:tr>
      <w:tr w:rsidR="0006193C" w:rsidRPr="0046036C" w14:paraId="59E04725" w14:textId="77777777">
        <w:trPr>
          <w:jc w:val="center"/>
        </w:trPr>
        <w:tc>
          <w:tcPr>
            <w:tcW w:w="5112" w:type="dxa"/>
            <w:tcBorders>
              <w:top w:val="single" w:sz="4" w:space="0" w:color="000000"/>
              <w:left w:val="single" w:sz="4" w:space="0" w:color="000000"/>
              <w:bottom w:val="single" w:sz="4" w:space="0" w:color="000000"/>
              <w:right w:val="single" w:sz="4" w:space="0" w:color="000000"/>
            </w:tcBorders>
          </w:tcPr>
          <w:p w14:paraId="4F2788FE" w14:textId="77777777" w:rsidR="0006193C" w:rsidRPr="0046036C" w:rsidRDefault="00A442EF" w:rsidP="0046036C">
            <w:pPr>
              <w:spacing w:after="0" w:line="240" w:lineRule="auto"/>
            </w:pPr>
            <w:r w:rsidRPr="0046036C">
              <w:t>One was accidental and one was a cyberattack.</w:t>
            </w:r>
          </w:p>
        </w:tc>
        <w:tc>
          <w:tcPr>
            <w:tcW w:w="5112" w:type="dxa"/>
            <w:tcBorders>
              <w:top w:val="single" w:sz="4" w:space="0" w:color="000000"/>
              <w:left w:val="single" w:sz="4" w:space="0" w:color="000000"/>
              <w:bottom w:val="single" w:sz="4" w:space="0" w:color="000000"/>
              <w:right w:val="single" w:sz="4" w:space="0" w:color="000000"/>
            </w:tcBorders>
          </w:tcPr>
          <w:p w14:paraId="3ABF59AE" w14:textId="77777777" w:rsidR="0006193C" w:rsidRPr="0046036C" w:rsidRDefault="00A442EF" w:rsidP="0046036C">
            <w:pPr>
              <w:spacing w:after="0" w:line="240" w:lineRule="auto"/>
            </w:pPr>
            <w:r w:rsidRPr="0046036C">
              <w:t>The contrast in cause suggests that vulnerability is not tied to one type of threat; it is built into the dependence on interconnected systems themselves.</w:t>
            </w:r>
          </w:p>
        </w:tc>
      </w:tr>
      <w:tr w:rsidR="0006193C" w:rsidRPr="0046036C" w14:paraId="3824FBA5" w14:textId="77777777">
        <w:trPr>
          <w:jc w:val="center"/>
        </w:trPr>
        <w:tc>
          <w:tcPr>
            <w:tcW w:w="5112" w:type="dxa"/>
            <w:tcBorders>
              <w:top w:val="single" w:sz="4" w:space="0" w:color="000000"/>
              <w:left w:val="single" w:sz="4" w:space="0" w:color="000000"/>
              <w:bottom w:val="single" w:sz="4" w:space="0" w:color="000000"/>
              <w:right w:val="single" w:sz="4" w:space="0" w:color="000000"/>
            </w:tcBorders>
          </w:tcPr>
          <w:p w14:paraId="0C16359B" w14:textId="77777777" w:rsidR="0006193C" w:rsidRPr="0046036C" w:rsidRDefault="00A442EF" w:rsidP="0046036C">
            <w:pPr>
              <w:spacing w:after="0" w:line="240" w:lineRule="auto"/>
            </w:pPr>
            <w:r w:rsidRPr="0046036C">
              <w:t>Both affected many people.</w:t>
            </w:r>
          </w:p>
        </w:tc>
        <w:tc>
          <w:tcPr>
            <w:tcW w:w="5112" w:type="dxa"/>
            <w:tcBorders>
              <w:top w:val="single" w:sz="4" w:space="0" w:color="000000"/>
              <w:left w:val="single" w:sz="4" w:space="0" w:color="000000"/>
              <w:bottom w:val="single" w:sz="4" w:space="0" w:color="000000"/>
              <w:right w:val="single" w:sz="4" w:space="0" w:color="000000"/>
            </w:tcBorders>
          </w:tcPr>
          <w:p w14:paraId="4B1322A5" w14:textId="77777777" w:rsidR="0006193C" w:rsidRPr="0046036C" w:rsidRDefault="00A442EF" w:rsidP="0046036C">
            <w:pPr>
              <w:spacing w:after="0" w:line="240" w:lineRule="auto"/>
            </w:pPr>
            <w:r w:rsidRPr="0046036C">
              <w:t>The cases show how institutional failure can create vulnerability for individuals who were never directly involved in the technical problem, linking system-level dependence to society-wide consequences.</w:t>
            </w:r>
          </w:p>
        </w:tc>
      </w:tr>
    </w:tbl>
    <w:p w14:paraId="2B77ECB5" w14:textId="77777777" w:rsidR="0046036C" w:rsidRDefault="0046036C" w:rsidP="0046036C">
      <w:pPr>
        <w:pStyle w:val="Heading1"/>
        <w:spacing w:before="0" w:line="240" w:lineRule="auto"/>
        <w:rPr>
          <w:rFonts w:ascii="Aptos" w:hAnsi="Aptos"/>
          <w:sz w:val="22"/>
          <w:szCs w:val="22"/>
        </w:rPr>
      </w:pPr>
    </w:p>
    <w:p w14:paraId="7DD6AB66" w14:textId="0EA809AC" w:rsidR="0006193C" w:rsidRDefault="00A442EF" w:rsidP="0046036C">
      <w:pPr>
        <w:pStyle w:val="Heading1"/>
        <w:numPr>
          <w:ilvl w:val="0"/>
          <w:numId w:val="11"/>
        </w:numPr>
        <w:spacing w:before="0" w:line="240" w:lineRule="auto"/>
        <w:rPr>
          <w:rFonts w:ascii="Aptos" w:hAnsi="Aptos"/>
          <w:sz w:val="22"/>
          <w:szCs w:val="22"/>
        </w:rPr>
      </w:pPr>
      <w:r w:rsidRPr="0046036C">
        <w:rPr>
          <w:rFonts w:ascii="Aptos" w:hAnsi="Aptos"/>
          <w:sz w:val="22"/>
          <w:szCs w:val="22"/>
        </w:rPr>
        <w:t>A Simple</w:t>
      </w:r>
      <w:r w:rsidR="0046036C">
        <w:rPr>
          <w:rFonts w:ascii="Aptos" w:hAnsi="Aptos"/>
          <w:sz w:val="22"/>
          <w:szCs w:val="22"/>
        </w:rPr>
        <w:t xml:space="preserve"> </w:t>
      </w:r>
      <w:r w:rsidRPr="0046036C">
        <w:rPr>
          <w:rFonts w:ascii="Aptos" w:hAnsi="Aptos"/>
          <w:sz w:val="22"/>
          <w:szCs w:val="22"/>
        </w:rPr>
        <w:t>Heuristic</w:t>
      </w:r>
    </w:p>
    <w:p w14:paraId="1DDB81F6" w14:textId="77777777" w:rsidR="0046036C" w:rsidRPr="0046036C" w:rsidRDefault="0046036C" w:rsidP="0046036C">
      <w:pPr>
        <w:pStyle w:val="ListParagraph"/>
        <w:spacing w:after="0" w:line="240" w:lineRule="auto"/>
      </w:pPr>
    </w:p>
    <w:p w14:paraId="2F7A6CAE" w14:textId="7F348B93" w:rsidR="0006193C" w:rsidRPr="0046036C" w:rsidRDefault="00A442EF" w:rsidP="0046036C">
      <w:pPr>
        <w:pStyle w:val="ListParagraph"/>
        <w:numPr>
          <w:ilvl w:val="0"/>
          <w:numId w:val="14"/>
        </w:numPr>
        <w:spacing w:after="0" w:line="240" w:lineRule="auto"/>
      </w:pPr>
      <w:r w:rsidRPr="0046036C">
        <w:rPr>
          <w:b/>
        </w:rPr>
        <w:t xml:space="preserve">Evidence: </w:t>
      </w:r>
      <w:r w:rsidRPr="0046036C">
        <w:t>What happened?</w:t>
      </w:r>
    </w:p>
    <w:p w14:paraId="06A81606" w14:textId="77777777" w:rsidR="0006193C" w:rsidRPr="0046036C" w:rsidRDefault="00A442EF" w:rsidP="0046036C">
      <w:pPr>
        <w:pStyle w:val="ListParagraph"/>
        <w:numPr>
          <w:ilvl w:val="0"/>
          <w:numId w:val="14"/>
        </w:numPr>
        <w:spacing w:after="0" w:line="240" w:lineRule="auto"/>
      </w:pPr>
      <w:r w:rsidRPr="0046036C">
        <w:rPr>
          <w:b/>
        </w:rPr>
        <w:t xml:space="preserve">Explanation: </w:t>
      </w:r>
      <w:r w:rsidRPr="0046036C">
        <w:t>How does this support my point?</w:t>
      </w:r>
    </w:p>
    <w:p w14:paraId="79618A3D" w14:textId="77777777" w:rsidR="0006193C" w:rsidRPr="0046036C" w:rsidRDefault="00A442EF" w:rsidP="0046036C">
      <w:pPr>
        <w:pStyle w:val="ListParagraph"/>
        <w:numPr>
          <w:ilvl w:val="0"/>
          <w:numId w:val="14"/>
        </w:numPr>
        <w:spacing w:after="0" w:line="240" w:lineRule="auto"/>
      </w:pPr>
      <w:r w:rsidRPr="0046036C">
        <w:rPr>
          <w:b/>
        </w:rPr>
        <w:t xml:space="preserve">EV: </w:t>
      </w:r>
      <w:r w:rsidRPr="0046036C">
        <w:t>What larger judgement can I make from it?</w:t>
      </w:r>
    </w:p>
    <w:p w14:paraId="2E0150DB" w14:textId="77777777" w:rsidR="0006193C" w:rsidRPr="0046036C" w:rsidRDefault="00A442EF" w:rsidP="0046036C">
      <w:pPr>
        <w:pStyle w:val="ListParagraph"/>
        <w:numPr>
          <w:ilvl w:val="0"/>
          <w:numId w:val="14"/>
        </w:numPr>
        <w:spacing w:after="0" w:line="240" w:lineRule="auto"/>
      </w:pPr>
      <w:r w:rsidRPr="0046036C">
        <w:rPr>
          <w:b/>
        </w:rPr>
        <w:t xml:space="preserve">CU: </w:t>
      </w:r>
      <w:r w:rsidRPr="0046036C">
        <w:t>What pattern, relationship, connection, transfer or implication does this reveal?</w:t>
      </w:r>
    </w:p>
    <w:p w14:paraId="03879D6E" w14:textId="77777777" w:rsidR="0006193C" w:rsidRPr="0046036C" w:rsidRDefault="00A442EF" w:rsidP="0046036C">
      <w:pPr>
        <w:pStyle w:val="ListParagraph"/>
        <w:numPr>
          <w:ilvl w:val="0"/>
          <w:numId w:val="14"/>
        </w:numPr>
        <w:spacing w:after="0" w:line="240" w:lineRule="auto"/>
      </w:pPr>
      <w:r w:rsidRPr="0046036C">
        <w:rPr>
          <w:b/>
        </w:rPr>
        <w:t>For two-example paragraphs, avoid: “Example A shows X. Example B also shows X.”</w:t>
      </w:r>
    </w:p>
    <w:p w14:paraId="04AF3D76" w14:textId="77777777" w:rsidR="0006193C" w:rsidRPr="0046036C" w:rsidRDefault="00A442EF" w:rsidP="0046036C">
      <w:pPr>
        <w:pStyle w:val="ListParagraph"/>
        <w:numPr>
          <w:ilvl w:val="0"/>
          <w:numId w:val="14"/>
        </w:numPr>
        <w:spacing w:after="0" w:line="240" w:lineRule="auto"/>
      </w:pPr>
      <w:r w:rsidRPr="0046036C">
        <w:rPr>
          <w:b/>
        </w:rPr>
        <w:t>Aim instead for: “When A and B are considered together, they reveal that …”</w:t>
      </w:r>
    </w:p>
    <w:p w14:paraId="15C4A2A1" w14:textId="192BE63A" w:rsidR="0046036C" w:rsidRPr="0046036C" w:rsidRDefault="0046036C" w:rsidP="0046036C">
      <w:pPr>
        <w:pStyle w:val="ListParagraph"/>
        <w:spacing w:after="0" w:line="240" w:lineRule="auto"/>
      </w:pPr>
    </w:p>
    <w:p w14:paraId="619D34C1" w14:textId="66B5180A" w:rsidR="0046036C" w:rsidRDefault="00A442EF" w:rsidP="0046036C">
      <w:pPr>
        <w:pStyle w:val="Heading1"/>
        <w:numPr>
          <w:ilvl w:val="0"/>
          <w:numId w:val="11"/>
        </w:numPr>
        <w:spacing w:before="0" w:line="240" w:lineRule="auto"/>
        <w:rPr>
          <w:rFonts w:ascii="Aptos" w:hAnsi="Aptos"/>
          <w:sz w:val="22"/>
          <w:szCs w:val="22"/>
        </w:rPr>
      </w:pPr>
      <w:r w:rsidRPr="0046036C">
        <w:rPr>
          <w:rFonts w:ascii="Aptos" w:hAnsi="Aptos"/>
          <w:sz w:val="22"/>
          <w:szCs w:val="22"/>
        </w:rPr>
        <w:t>Quick Diagnostic Check</w:t>
      </w:r>
    </w:p>
    <w:p w14:paraId="031CD3F2" w14:textId="77777777" w:rsidR="0046036C" w:rsidRDefault="0046036C" w:rsidP="0046036C">
      <w:pPr>
        <w:pStyle w:val="ListBullet"/>
        <w:numPr>
          <w:ilvl w:val="0"/>
          <w:numId w:val="0"/>
        </w:numPr>
        <w:spacing w:after="0" w:line="240" w:lineRule="auto"/>
        <w:ind w:left="720"/>
      </w:pPr>
    </w:p>
    <w:p w14:paraId="0810437D" w14:textId="2D6E7F77" w:rsidR="0006193C" w:rsidRPr="0046036C" w:rsidRDefault="00A442EF" w:rsidP="0046036C">
      <w:pPr>
        <w:pStyle w:val="ListBullet"/>
        <w:numPr>
          <w:ilvl w:val="0"/>
          <w:numId w:val="15"/>
        </w:numPr>
        <w:spacing w:after="0" w:line="240" w:lineRule="auto"/>
      </w:pPr>
      <w:r w:rsidRPr="0046036C">
        <w:t>Does the EV say something new that is not already obvious from the examples?</w:t>
      </w:r>
    </w:p>
    <w:p w14:paraId="72F9D35F" w14:textId="77777777" w:rsidR="0006193C" w:rsidRPr="0046036C" w:rsidRDefault="00A442EF" w:rsidP="0046036C">
      <w:pPr>
        <w:pStyle w:val="ListBullet"/>
        <w:numPr>
          <w:ilvl w:val="0"/>
          <w:numId w:val="15"/>
        </w:numPr>
        <w:spacing w:after="0" w:line="240" w:lineRule="auto"/>
      </w:pPr>
      <w:r w:rsidRPr="0046036C">
        <w:t>Does it identify a trend, relationship or connection?</w:t>
      </w:r>
    </w:p>
    <w:p w14:paraId="752ECFDB" w14:textId="77777777" w:rsidR="0006193C" w:rsidRPr="0046036C" w:rsidRDefault="00A442EF" w:rsidP="0046036C">
      <w:pPr>
        <w:pStyle w:val="ListBullet"/>
        <w:numPr>
          <w:ilvl w:val="0"/>
          <w:numId w:val="15"/>
        </w:numPr>
        <w:spacing w:after="0" w:line="240" w:lineRule="auto"/>
      </w:pPr>
      <w:r w:rsidRPr="0046036C">
        <w:t>Does it compare or connect the two examples rather than discuss them separately?</w:t>
      </w:r>
    </w:p>
    <w:p w14:paraId="1FE8F76D" w14:textId="77777777" w:rsidR="0006193C" w:rsidRPr="0046036C" w:rsidRDefault="00A442EF" w:rsidP="0046036C">
      <w:pPr>
        <w:pStyle w:val="ListBullet"/>
        <w:numPr>
          <w:ilvl w:val="0"/>
          <w:numId w:val="15"/>
        </w:numPr>
        <w:spacing w:after="0" w:line="240" w:lineRule="auto"/>
      </w:pPr>
      <w:r w:rsidRPr="0046036C">
        <w:t>Does it transfer the insight across time, place or sector where relevant?</w:t>
      </w:r>
    </w:p>
    <w:p w14:paraId="4768D59B" w14:textId="77777777" w:rsidR="0006193C" w:rsidRPr="0046036C" w:rsidRDefault="00A442EF" w:rsidP="0046036C">
      <w:pPr>
        <w:pStyle w:val="ListBullet"/>
        <w:numPr>
          <w:ilvl w:val="0"/>
          <w:numId w:val="15"/>
        </w:numPr>
        <w:spacing w:after="0" w:line="240" w:lineRule="auto"/>
      </w:pPr>
      <w:r w:rsidRPr="0046036C">
        <w:t>Does it draw implications for individuals, society or institutions?</w:t>
      </w:r>
    </w:p>
    <w:p w14:paraId="1BD78051" w14:textId="77777777" w:rsidR="0006193C" w:rsidRDefault="00A442EF" w:rsidP="0046036C">
      <w:pPr>
        <w:pStyle w:val="ListBullet"/>
        <w:numPr>
          <w:ilvl w:val="0"/>
          <w:numId w:val="15"/>
        </w:numPr>
        <w:spacing w:after="0" w:line="240" w:lineRule="auto"/>
      </w:pPr>
      <w:r w:rsidRPr="0046036C">
        <w:t>Does it return to the SV and make the argument more convincing rather than merely more detailed?</w:t>
      </w:r>
    </w:p>
    <w:p w14:paraId="38001E87" w14:textId="77777777" w:rsidR="0046036C" w:rsidRPr="0046036C" w:rsidRDefault="0046036C" w:rsidP="0046036C">
      <w:pPr>
        <w:pStyle w:val="ListBullet"/>
        <w:numPr>
          <w:ilvl w:val="0"/>
          <w:numId w:val="0"/>
        </w:numPr>
        <w:spacing w:after="0" w:line="240" w:lineRule="auto"/>
        <w:ind w:left="720"/>
      </w:pPr>
    </w:p>
    <w:tbl>
      <w:tblPr>
        <w:tblStyle w:val="TableGrid"/>
        <w:tblW w:w="0" w:type="auto"/>
        <w:tblLook w:val="04A0" w:firstRow="1" w:lastRow="0" w:firstColumn="1" w:lastColumn="0" w:noHBand="0" w:noVBand="1"/>
      </w:tblPr>
      <w:tblGrid>
        <w:gridCol w:w="9010"/>
      </w:tblGrid>
      <w:tr w:rsidR="0046036C" w14:paraId="7DC4312B" w14:textId="77777777" w:rsidTr="0046036C">
        <w:tc>
          <w:tcPr>
            <w:tcW w:w="10440" w:type="dxa"/>
          </w:tcPr>
          <w:p w14:paraId="68587F4D" w14:textId="167CE54A" w:rsidR="0046036C" w:rsidRPr="0046036C" w:rsidRDefault="0046036C" w:rsidP="0046036C">
            <w:pPr>
              <w:pStyle w:val="Heading1"/>
              <w:spacing w:before="0"/>
              <w:rPr>
                <w:rFonts w:ascii="Aptos" w:hAnsi="Aptos"/>
                <w:color w:val="EE0000"/>
                <w:sz w:val="22"/>
                <w:szCs w:val="22"/>
              </w:rPr>
            </w:pPr>
            <w:r w:rsidRPr="0046036C">
              <w:rPr>
                <w:rFonts w:ascii="Aptos" w:hAnsi="Aptos"/>
                <w:color w:val="EE0000"/>
                <w:sz w:val="22"/>
                <w:szCs w:val="22"/>
              </w:rPr>
              <w:t>Key Takeaway:</w:t>
            </w:r>
          </w:p>
          <w:p w14:paraId="138C05B8" w14:textId="349D0160" w:rsidR="0046036C" w:rsidRPr="0046036C" w:rsidRDefault="0046036C" w:rsidP="0046036C">
            <w:pPr>
              <w:rPr>
                <w:color w:val="EE0000"/>
              </w:rPr>
            </w:pPr>
            <w:r w:rsidRPr="0046036C">
              <w:rPr>
                <w:b/>
                <w:color w:val="EE0000"/>
              </w:rPr>
              <w:t>Strong EV is not a summary of evidence. It is the thinking that comes after evidence: students use examples to identify broader patterns, relationships, connections, implications and transferable principles. When this happens, evaluation also becomes a vehicle for demonstrating Conceptual Understanding.</w:t>
            </w:r>
          </w:p>
        </w:tc>
      </w:tr>
    </w:tbl>
    <w:p w14:paraId="58649C8D" w14:textId="77777777" w:rsidR="0046036C" w:rsidRDefault="0046036C" w:rsidP="0046036C">
      <w:pPr>
        <w:pStyle w:val="Heading1"/>
        <w:spacing w:before="0" w:line="240" w:lineRule="auto"/>
        <w:rPr>
          <w:rFonts w:ascii="Aptos" w:hAnsi="Aptos"/>
          <w:sz w:val="22"/>
          <w:szCs w:val="22"/>
        </w:rPr>
      </w:pPr>
    </w:p>
    <w:p w14:paraId="6C48B1EE" w14:textId="77777777" w:rsidR="0046036C" w:rsidRDefault="0046036C">
      <w:pPr>
        <w:spacing w:after="0" w:line="240" w:lineRule="auto"/>
      </w:pPr>
    </w:p>
    <w:p w14:paraId="0BA4477C" w14:textId="77777777" w:rsidR="00247851" w:rsidRPr="00247851" w:rsidRDefault="00247851" w:rsidP="00247851"/>
    <w:p w14:paraId="02D0A81C" w14:textId="77777777" w:rsidR="00247851" w:rsidRPr="00247851" w:rsidRDefault="00247851" w:rsidP="00247851"/>
    <w:p w14:paraId="0C6D879F" w14:textId="77777777" w:rsidR="00247851" w:rsidRPr="00247851" w:rsidRDefault="00247851" w:rsidP="00247851"/>
    <w:p w14:paraId="39E12D69" w14:textId="77777777" w:rsidR="00247851" w:rsidRPr="00247851" w:rsidRDefault="00247851" w:rsidP="00247851"/>
    <w:p w14:paraId="7741D97F" w14:textId="77777777" w:rsidR="00247851" w:rsidRPr="00247851" w:rsidRDefault="00247851" w:rsidP="00247851"/>
    <w:p w14:paraId="5F64B24D" w14:textId="77777777" w:rsidR="00247851" w:rsidRPr="00247851" w:rsidRDefault="00247851" w:rsidP="00247851"/>
    <w:p w14:paraId="1D87127C" w14:textId="77777777" w:rsidR="00247851" w:rsidRPr="00247851" w:rsidRDefault="00247851" w:rsidP="00247851"/>
    <w:p w14:paraId="748A168A" w14:textId="77777777" w:rsidR="00247851" w:rsidRPr="00247851" w:rsidRDefault="00247851" w:rsidP="00247851"/>
    <w:p w14:paraId="52A812DA" w14:textId="77777777" w:rsidR="00247851" w:rsidRPr="00247851" w:rsidRDefault="00247851" w:rsidP="00247851"/>
    <w:p w14:paraId="290AF61C" w14:textId="77777777" w:rsidR="00247851" w:rsidRPr="00247851" w:rsidRDefault="00247851" w:rsidP="00247851"/>
    <w:p w14:paraId="52B00D3A" w14:textId="77777777" w:rsidR="00247851" w:rsidRDefault="00247851" w:rsidP="00247851"/>
    <w:p w14:paraId="3F62FB85" w14:textId="5357FFB2" w:rsidR="00247851" w:rsidRPr="00247851" w:rsidRDefault="00247851" w:rsidP="00247851">
      <w:pPr>
        <w:tabs>
          <w:tab w:val="left" w:pos="5617"/>
        </w:tabs>
      </w:pPr>
      <w:r>
        <w:tab/>
      </w:r>
    </w:p>
    <w:sectPr w:rsidR="00247851" w:rsidRPr="00247851" w:rsidSect="0046036C">
      <w:headerReference w:type="default" r:id="rId8"/>
      <w:footerReference w:type="even" r:id="rId9"/>
      <w:footerReference w:type="default" r:id="rId10"/>
      <w:pgSz w:w="11900" w:h="168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D1CCB3" w14:textId="77777777" w:rsidR="00DE6EEC" w:rsidRDefault="00DE6EEC" w:rsidP="0046036C">
      <w:pPr>
        <w:spacing w:after="0" w:line="240" w:lineRule="auto"/>
      </w:pPr>
      <w:r>
        <w:separator/>
      </w:r>
    </w:p>
  </w:endnote>
  <w:endnote w:type="continuationSeparator" w:id="0">
    <w:p w14:paraId="47D77EFC" w14:textId="77777777" w:rsidR="00DE6EEC" w:rsidRDefault="00DE6EEC" w:rsidP="00460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88955466"/>
      <w:docPartObj>
        <w:docPartGallery w:val="Page Numbers (Bottom of Page)"/>
        <w:docPartUnique/>
      </w:docPartObj>
    </w:sdtPr>
    <w:sdtEndPr>
      <w:rPr>
        <w:rStyle w:val="PageNumber"/>
      </w:rPr>
    </w:sdtEndPr>
    <w:sdtContent>
      <w:p w14:paraId="765DFB20" w14:textId="2B854CB3" w:rsidR="00247851" w:rsidRDefault="00247851" w:rsidP="00C178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3326A2" w14:textId="77777777" w:rsidR="00247851" w:rsidRDefault="00247851" w:rsidP="002478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596708"/>
      <w:docPartObj>
        <w:docPartGallery w:val="Page Numbers (Bottom of Page)"/>
        <w:docPartUnique/>
      </w:docPartObj>
    </w:sdtPr>
    <w:sdtEndPr>
      <w:rPr>
        <w:rStyle w:val="PageNumber"/>
      </w:rPr>
    </w:sdtEndPr>
    <w:sdtContent>
      <w:p w14:paraId="509B0210" w14:textId="1439E2DE" w:rsidR="00247851" w:rsidRDefault="00247851" w:rsidP="00C178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58F2C15" w14:textId="77777777" w:rsidR="00247851" w:rsidRDefault="00247851" w:rsidP="0024785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C3938D" w14:textId="77777777" w:rsidR="00DE6EEC" w:rsidRDefault="00DE6EEC" w:rsidP="0046036C">
      <w:pPr>
        <w:spacing w:after="0" w:line="240" w:lineRule="auto"/>
      </w:pPr>
      <w:r>
        <w:separator/>
      </w:r>
    </w:p>
  </w:footnote>
  <w:footnote w:type="continuationSeparator" w:id="0">
    <w:p w14:paraId="0FCE0A64" w14:textId="77777777" w:rsidR="00DE6EEC" w:rsidRDefault="00DE6EEC" w:rsidP="00460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8DF47" w14:textId="395B8B81" w:rsidR="0046036C" w:rsidRPr="0046036C" w:rsidRDefault="0046036C">
    <w:pPr>
      <w:pStyle w:val="Header"/>
      <w:pBdr>
        <w:bottom w:val="single" w:sz="6" w:space="1" w:color="auto"/>
      </w:pBdr>
      <w:rPr>
        <w:b/>
        <w:bCs/>
        <w:sz w:val="16"/>
        <w:szCs w:val="16"/>
      </w:rPr>
    </w:pPr>
    <w:r w:rsidRPr="0046036C">
      <w:rPr>
        <w:b/>
        <w:bCs/>
        <w:sz w:val="16"/>
        <w:szCs w:val="16"/>
      </w:rPr>
      <w:t>The GP Last Lap with Dr William Chan [EG+EV+CU for 2-EG SV]</w:t>
    </w:r>
  </w:p>
  <w:p w14:paraId="14990AEE" w14:textId="77777777" w:rsidR="0046036C" w:rsidRDefault="00460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D179CA"/>
    <w:multiLevelType w:val="hybridMultilevel"/>
    <w:tmpl w:val="16CE5FB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F3A0B5E"/>
    <w:multiLevelType w:val="hybridMultilevel"/>
    <w:tmpl w:val="68AAD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EE3320"/>
    <w:multiLevelType w:val="hybridMultilevel"/>
    <w:tmpl w:val="9D8A46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863E71"/>
    <w:multiLevelType w:val="hybridMultilevel"/>
    <w:tmpl w:val="4058F0D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F784928"/>
    <w:multiLevelType w:val="hybridMultilevel"/>
    <w:tmpl w:val="FC3075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9E1992"/>
    <w:multiLevelType w:val="hybridMultilevel"/>
    <w:tmpl w:val="36AE3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9688551">
    <w:abstractNumId w:val="8"/>
  </w:num>
  <w:num w:numId="2" w16cid:durableId="1661348505">
    <w:abstractNumId w:val="6"/>
  </w:num>
  <w:num w:numId="3" w16cid:durableId="951590973">
    <w:abstractNumId w:val="5"/>
  </w:num>
  <w:num w:numId="4" w16cid:durableId="278953205">
    <w:abstractNumId w:val="4"/>
  </w:num>
  <w:num w:numId="5" w16cid:durableId="728921237">
    <w:abstractNumId w:val="7"/>
  </w:num>
  <w:num w:numId="6" w16cid:durableId="787240916">
    <w:abstractNumId w:val="3"/>
  </w:num>
  <w:num w:numId="7" w16cid:durableId="1725519422">
    <w:abstractNumId w:val="2"/>
  </w:num>
  <w:num w:numId="8" w16cid:durableId="691414185">
    <w:abstractNumId w:val="1"/>
  </w:num>
  <w:num w:numId="9" w16cid:durableId="1477529749">
    <w:abstractNumId w:val="0"/>
  </w:num>
  <w:num w:numId="10" w16cid:durableId="1784303647">
    <w:abstractNumId w:val="13"/>
  </w:num>
  <w:num w:numId="11" w16cid:durableId="1334844254">
    <w:abstractNumId w:val="12"/>
  </w:num>
  <w:num w:numId="12" w16cid:durableId="459959497">
    <w:abstractNumId w:val="9"/>
  </w:num>
  <w:num w:numId="13" w16cid:durableId="787627590">
    <w:abstractNumId w:val="11"/>
  </w:num>
  <w:num w:numId="14" w16cid:durableId="2001763317">
    <w:abstractNumId w:val="10"/>
  </w:num>
  <w:num w:numId="15" w16cid:durableId="4229324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C3F"/>
    <w:rsid w:val="0006063C"/>
    <w:rsid w:val="0006193C"/>
    <w:rsid w:val="0015074B"/>
    <w:rsid w:val="00247851"/>
    <w:rsid w:val="0029639D"/>
    <w:rsid w:val="00326F90"/>
    <w:rsid w:val="0046036C"/>
    <w:rsid w:val="004A3DE1"/>
    <w:rsid w:val="00A442EF"/>
    <w:rsid w:val="00AA1D8D"/>
    <w:rsid w:val="00B47730"/>
    <w:rsid w:val="00CB0664"/>
    <w:rsid w:val="00D92BC6"/>
    <w:rsid w:val="00DE6E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B4133"/>
  <w14:defaultImageDpi w14:val="300"/>
  <w15:docId w15:val="{792F267F-AD8D-7E42-B495-C9C736E4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47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2026-10-17T01:49:00Z</dcterms:created>
  <dcterms:modified xsi:type="dcterms:W3CDTF">2026-10-17T01:49:00Z</dcterms:modified>
  <cp:category/>
</cp:coreProperties>
</file>