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ECD0" w14:textId="73CEE308" w:rsidR="007B42F1" w:rsidRPr="001F3EC7" w:rsidRDefault="007B42F1" w:rsidP="00590374">
      <w:pPr>
        <w:spacing w:before="100" w:beforeAutospacing="1" w:after="100" w:afterAutospacing="1"/>
        <w:jc w:val="both"/>
        <w:outlineLvl w:val="2"/>
        <w:rPr>
          <w:rFonts w:ascii="Calibri" w:hAnsi="Calibri" w:cs="Calibri"/>
          <w:b/>
          <w:bCs/>
          <w:color w:val="000000"/>
        </w:rPr>
      </w:pPr>
      <w:r w:rsidRPr="001F3EC7">
        <w:rPr>
          <w:rFonts w:ascii="Calibri" w:hAnsi="Calibri" w:cs="Calibri"/>
          <w:b/>
          <w:bCs/>
          <w:color w:val="000000"/>
        </w:rPr>
        <w:t>Achieving Work-Life Balance in Today’s World Is an Impossible Task. How far would you agree with this view? (Transitional Approach)</w:t>
      </w:r>
    </w:p>
    <w:p w14:paraId="2D4BE2F9" w14:textId="77777777"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In an age where productivity is celebrated and digital technology has rendered professional obligations omnipresent, the pursuit of work-life balance has become increasingly elusive. While the term itself suggests a harmonious division between personal fulfilment and career demands, the reality of contemporary life points to a different conclusion. I argue that achieving true work-life balance in today’s world is an impossible task, due to the persistent erosion of boundaries between work and personal life, the socio-economic constraints faced by many individuals, and the unrelenting pace of global competition. Although some may argue that modern developments have created opportunities for greater flexibility and mental well-being, these benefits are unevenly distributed and often superficial, especially when viewed against the backdrop of accelerating global inequalities.</w:t>
      </w:r>
    </w:p>
    <w:p w14:paraId="534F243A" w14:textId="148D0486"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To begin with, technological integration into daily life has expanded dramatically in the post-pandemic era, blurring the traditional distinction between work and home. The proliferation of communication tools such as Zoom, Microsoft Teams and WhatsApp - while ostensibly designed to improve convenience - has created an “always-on” culture. Employees are now expected to respond to work-related communications even during off-hours, weekends, or holidays. This is part of a wider trend of hyperconnectivity that spans both developed and developing economies, with workers in the United Kingdom and the Philippines alike reporting heightened stress levels due to constant digital surveillance and expectations of immediate responsiveness. Such cases underscore how global digitalisation, though empowering in some aspects, has also facilitated the encroachment of work into all aspects of life. In this sense, technology, while enabling remote work and flexible hours, has paradoxically undermined the very essence of balance by stretching the workday indefinitely.</w:t>
      </w:r>
    </w:p>
    <w:p w14:paraId="1E2DA0A3" w14:textId="6BC9E6FA"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In addition, the notion of work-life balance must be examined through the lens of global socio-economic disparity. For a substantial portion of the global population, particularly in developing countries, subsistence takes precedence over self-care. Consider the case of India, where many workers in the informal sector or gig economy - such as food delivery riders or street vendors - labour for over 12 hours a day with no entitlement to paid leave or healthcare. Similarly, in Nigeria, a rising cost of living and high unemployment rates have compelled families to rely on multiple income streams, often through physically demanding and time-consuming jobs. Such examples highlight how, in many parts of the world, the pursuit of balance is not a personal choice but an economic impossibility. This observation reflects a growing global trend where labour informality and economic precarity are on the rise, pushing work-life balance beyond reach for millions.</w:t>
      </w:r>
    </w:p>
    <w:p w14:paraId="57783F57" w14:textId="7169D9BF"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Moreover, workplace cultures across many high-income nations have become increasingly competitive and overburdened by performance metrics, contributing to what is now globally recognised as “hustle culture.” In countries such as Japan, South Korea, and the United States, overwork is often seen as a badge of honour. The widespread glorification of long hours and “grind” mentality - particularly among young professionals and entrepreneurs - creates a toxic environment where rest and personal development are deemed secondary. Although some companies have introduced four-day work weeks or wellness programmes, these initiatives often serve as surface-level solutions that fail to address deeper structural issues. For instance, while the UK trialled a four-day work week in 2023 with some initial success, analysts noted that workers merely compressed the same volume of tasks into fewer days, thus illustrating that flexibility without systemic change cannot deliver true balance.</w:t>
      </w:r>
    </w:p>
    <w:p w14:paraId="431D92D1" w14:textId="3FB97031"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 xml:space="preserve">Nevertheless, proponents of work-life balance argue that increased awareness of mental health and shifting employer attitudes are paving the way for greater well-being. Scandinavian countries like Sweden and Denmark are often cited as models for balanced lifestyles, with legislated </w:t>
      </w:r>
      <w:r w:rsidRPr="001F3EC7">
        <w:rPr>
          <w:rFonts w:ascii="Calibri" w:hAnsi="Calibri" w:cs="Calibri"/>
          <w:color w:val="000000"/>
          <w:sz w:val="22"/>
          <w:szCs w:val="22"/>
        </w:rPr>
        <w:lastRenderedPageBreak/>
        <w:t>shorter working hours and generous parental leave. Similarly, multinational corporations such as Google and Salesforce provide wellness initiatives, remote work options, and mindfulness programmes to help employees avoid burnout. Such developments reflect a growing international discourse around the importance of holistic well-being in workplace environments. However, these positive trends, while commendable, are far from universal. They are typically concentrated in white-collar sectors, among educated professionals with greater agency over their schedules. A 2024 study by the International Labour Organization revealed that only 27% of the global workforce has access to flexible work arrangements, and even fewer have the bargaining power to enforce them. Furthermore, the existence of flexible policies does not guarantee their effectiveness. Employees who opt for flexibility may still feel compelled to demonstrate productivity beyond normal hours, undermining the intended purpose of such benefits. This suggests that cultural expectations often override institutional efforts, creating a false sense of progress.</w:t>
      </w:r>
    </w:p>
    <w:p w14:paraId="60962368" w14:textId="77777777" w:rsidR="007B42F1"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It is also important to acknowledge that gender disparities intersect with labour inequalities to further hinder the achievement of balance. In many societies, women continue to shoulder the bulk of unpaid domestic labour alongside formal employment. This “double burden” renders work-life balance especially elusive for women, particularly single mothers or caregivers. In Singapore, for example, a 2023 survey by AWARE found that 70% of working mothers experienced burnout, with many citing a lack of institutional support and workplace flexibility. This reflects a broader global trend in which gendered labour expectations remain entrenched, and highlights the structural inequities that prevent large segments of the population from achieving a balanced life. The implications for society are grave, as the unequal division of labour contributes to long-term burnout, gender inequality, and reduced economic participation.</w:t>
      </w:r>
    </w:p>
    <w:p w14:paraId="4E3C0940" w14:textId="5B721E0F" w:rsidR="00590374" w:rsidRPr="001F3EC7" w:rsidRDefault="007B42F1"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Taken collectively, these realities reveal that the ideal of work-life balance is increasingly misaligned with the structure of modern life. This issue extends beyond individual choices to become a structural and cultural challenge that requires policy intervention and collective rethinking of workplace norms. The implications are not merely personal, but also societal and economic, as chronic overwork leads to declining mental health, strained family relationships, and diminished productivity. The World Health Organization has even classified burnout as an occupational syndrome, signalling a recognition of the issue at the global institutional level. Therefore, while isolated examples of balance do exist, they are the exception rather than the rule. For the vast majority of individuals around the world</w:t>
      </w:r>
      <w:r w:rsidR="00590374" w:rsidRPr="001F3EC7">
        <w:rPr>
          <w:rFonts w:ascii="Calibri" w:hAnsi="Calibri" w:cs="Calibri"/>
          <w:color w:val="000000"/>
          <w:sz w:val="22"/>
          <w:szCs w:val="22"/>
        </w:rPr>
        <w:t xml:space="preserve"> -</w:t>
      </w:r>
      <w:r w:rsidRPr="001F3EC7">
        <w:rPr>
          <w:rFonts w:ascii="Calibri" w:hAnsi="Calibri" w:cs="Calibri"/>
          <w:color w:val="000000"/>
          <w:sz w:val="22"/>
          <w:szCs w:val="22"/>
        </w:rPr>
        <w:t>whether in bustling cities like Tokyo and New York, or informal settlements in Lagos and Mumbai</w:t>
      </w:r>
      <w:r w:rsidR="00590374" w:rsidRPr="001F3EC7">
        <w:rPr>
          <w:rFonts w:ascii="Calibri" w:hAnsi="Calibri" w:cs="Calibri"/>
          <w:color w:val="000000"/>
          <w:sz w:val="22"/>
          <w:szCs w:val="22"/>
        </w:rPr>
        <w:t xml:space="preserve"> -</w:t>
      </w:r>
      <w:r w:rsidRPr="001F3EC7">
        <w:rPr>
          <w:rFonts w:ascii="Calibri" w:hAnsi="Calibri" w:cs="Calibri"/>
          <w:color w:val="000000"/>
          <w:sz w:val="22"/>
          <w:szCs w:val="22"/>
        </w:rPr>
        <w:t xml:space="preserve">achieving work-life balance remains an impossible task in today’s interconnected, competitive and unequal world. From a global policy perspective, this issue demands urgent attention, particularly in the realms of labour reform, social protection, and cultural transformation. It is therefore imperative for policymakers, employers, and individuals to move beyond token gestures and address the underlying systemic causes of imbalance. Only then can we aspire towards a future where balance is not just an ideal, but a lived experience for all. </w:t>
      </w:r>
    </w:p>
    <w:p w14:paraId="794F208C" w14:textId="01E52152" w:rsidR="007B42F1" w:rsidRPr="001F3EC7" w:rsidRDefault="007B42F1" w:rsidP="00590374">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(1094 words)</w:t>
      </w:r>
    </w:p>
    <w:p w14:paraId="3C8131F2" w14:textId="77777777" w:rsidR="00FD358B" w:rsidRPr="001F3EC7" w:rsidRDefault="00FD358B" w:rsidP="00590374">
      <w:pPr>
        <w:spacing w:before="100" w:beforeAutospacing="1" w:after="100" w:afterAutospacing="1"/>
        <w:jc w:val="both"/>
        <w:rPr>
          <w:rFonts w:ascii="Calibri" w:hAnsi="Calibri" w:cs="Calibri"/>
          <w:color w:val="000000"/>
          <w:sz w:val="22"/>
          <w:szCs w:val="22"/>
        </w:rPr>
      </w:pPr>
    </w:p>
    <w:p w14:paraId="37730538" w14:textId="77777777" w:rsidR="00FD358B" w:rsidRPr="001F3EC7" w:rsidRDefault="00FD358B" w:rsidP="00590374">
      <w:pPr>
        <w:spacing w:before="100" w:beforeAutospacing="1" w:after="100" w:afterAutospacing="1"/>
        <w:jc w:val="both"/>
        <w:rPr>
          <w:rFonts w:ascii="Calibri" w:hAnsi="Calibri" w:cs="Calibri"/>
          <w:color w:val="000000"/>
          <w:sz w:val="22"/>
          <w:szCs w:val="22"/>
        </w:rPr>
      </w:pPr>
    </w:p>
    <w:p w14:paraId="451F70DA" w14:textId="77777777" w:rsidR="00FD358B" w:rsidRPr="001F3EC7" w:rsidRDefault="00FD358B" w:rsidP="00590374">
      <w:pPr>
        <w:spacing w:before="100" w:beforeAutospacing="1" w:after="100" w:afterAutospacing="1"/>
        <w:jc w:val="both"/>
        <w:rPr>
          <w:rFonts w:ascii="Calibri" w:hAnsi="Calibri" w:cs="Calibri"/>
          <w:color w:val="000000"/>
          <w:sz w:val="22"/>
          <w:szCs w:val="22"/>
        </w:rPr>
      </w:pPr>
    </w:p>
    <w:p w14:paraId="4A830B9C" w14:textId="77777777" w:rsidR="00FD358B" w:rsidRPr="001F3EC7" w:rsidRDefault="00FD358B" w:rsidP="00590374">
      <w:pPr>
        <w:spacing w:before="100" w:beforeAutospacing="1" w:after="100" w:afterAutospacing="1"/>
        <w:jc w:val="both"/>
        <w:rPr>
          <w:rFonts w:ascii="Calibri" w:hAnsi="Calibri" w:cs="Calibri"/>
          <w:color w:val="000000"/>
          <w:sz w:val="22"/>
          <w:szCs w:val="22"/>
        </w:rPr>
      </w:pPr>
    </w:p>
    <w:p w14:paraId="4DAB9F78" w14:textId="77777777" w:rsidR="00FD358B" w:rsidRPr="001F3EC7" w:rsidRDefault="00FD358B" w:rsidP="00590374">
      <w:pPr>
        <w:spacing w:before="100" w:beforeAutospacing="1" w:after="100" w:afterAutospacing="1"/>
        <w:jc w:val="both"/>
        <w:rPr>
          <w:rFonts w:ascii="Calibri" w:hAnsi="Calibri" w:cs="Calibri"/>
          <w:color w:val="000000"/>
          <w:sz w:val="22"/>
          <w:szCs w:val="22"/>
        </w:rPr>
      </w:pPr>
    </w:p>
    <w:p w14:paraId="1633709B" w14:textId="0B0AAA95" w:rsidR="00C413E2" w:rsidRPr="001F3EC7" w:rsidRDefault="00C413E2" w:rsidP="00C413E2">
      <w:pPr>
        <w:spacing w:before="100" w:beforeAutospacing="1" w:after="100" w:afterAutospacing="1"/>
        <w:outlineLvl w:val="2"/>
        <w:rPr>
          <w:rFonts w:ascii="Calibri" w:hAnsi="Calibri" w:cs="Calibri"/>
          <w:b/>
          <w:bCs/>
          <w:color w:val="000000"/>
        </w:rPr>
      </w:pPr>
      <w:r w:rsidRPr="001F3EC7">
        <w:rPr>
          <w:rFonts w:ascii="Calibri" w:hAnsi="Calibri" w:cs="Calibri"/>
          <w:b/>
          <w:bCs/>
          <w:color w:val="000000"/>
        </w:rPr>
        <w:lastRenderedPageBreak/>
        <w:t>Achieving Work-Life Balance in Today’s World Is an Impossible Task. How far would you agree with this view? (Debate Approach)</w:t>
      </w:r>
    </w:p>
    <w:p w14:paraId="7EF5CE58" w14:textId="77777777" w:rsidR="00C413E2" w:rsidRPr="001F3EC7" w:rsidRDefault="00C413E2"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In the face of rapid globalisation, digitisation, and increasing economic uncertainty, many argue that achieving work-life balance is no longer realistic. From the encroachment of work into personal spaces via technology to the demands of a competitive global workforce, the barriers to balance seem insurmountable. However, a closer evaluation of emerging workplace norms, cultural shifts, and flexible technologies suggests otherwise. I argue that achieving work-life balance in today’s world remains possible, especially when individuals, institutions, and governments collaborate to promote well-being, equity, and sustainable work practices. This issue is of growing significance both locally and globally, as it shapes not only how we work but also how we live, relate, and contribute to society.</w:t>
      </w:r>
    </w:p>
    <w:p w14:paraId="09E967E0" w14:textId="43F805E2" w:rsidR="00590374" w:rsidRPr="001F3EC7" w:rsidRDefault="00590374" w:rsidP="00FD358B">
      <w:pPr>
        <w:spacing w:before="100" w:beforeAutospacing="1" w:after="100" w:afterAutospacing="1"/>
        <w:ind w:firstLine="720"/>
        <w:jc w:val="both"/>
        <w:rPr>
          <w:rFonts w:ascii="Calibri" w:hAnsi="Calibri" w:cs="Calibri"/>
          <w:color w:val="000000"/>
          <w:sz w:val="22"/>
          <w:szCs w:val="22"/>
        </w:rPr>
      </w:pPr>
      <w:r w:rsidRPr="001F3EC7">
        <w:rPr>
          <w:rStyle w:val="Strong"/>
          <w:rFonts w:ascii="Calibri" w:eastAsiaTheme="majorEastAsia" w:hAnsi="Calibri" w:cs="Calibri"/>
          <w:b w:val="0"/>
          <w:bCs w:val="0"/>
          <w:color w:val="000000"/>
          <w:sz w:val="22"/>
          <w:szCs w:val="22"/>
        </w:rPr>
        <w:t>Technology has blurred boundaries between work and life today and hence made the attainment of work-life balance increasingly challenging.</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 xml:space="preserve">This perspective emphasises how the very tools designed to enhance productivity and convenience have, paradoxically, made it harder to maintain a separation between professional and personal spheres. </w:t>
      </w:r>
      <w:r w:rsidRPr="001F3EC7">
        <w:rPr>
          <w:rFonts w:ascii="Calibri" w:hAnsi="Calibri" w:cs="Calibri"/>
          <w:color w:val="000000"/>
          <w:sz w:val="22"/>
          <w:szCs w:val="22"/>
        </w:rPr>
        <w:t>Critics of modern work culture point to the rise of digital connectivity as a major obstacle to achieving balance. Tools like Slack, Zoom, and Microsoft Teams have enabled employers to reach workers at all hours, eroding traditional time boundaries. This phenomenon, intensified during the COVID-19 pandemic, became globally entrenched, particularly in high-pressure industries such as finance, education, and healthcare. As a result, many employees now find it difficult to fully disengage from work, even during holidays or weekends.</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The expectation of immediate responses and 24/7 availability reflects the broader global trend of hyperconnectivity, which has redefined "presence" as being perpetually online rather than physically available.</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In this context, technology, rather than liberating people, often traps them in a cycle of constant responsiveness,</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creating stress, fatigue, and ultimately undermining any real sense of balance</w:t>
      </w:r>
      <w:r w:rsidRPr="001F3EC7">
        <w:rPr>
          <w:rFonts w:ascii="Calibri" w:hAnsi="Calibri" w:cs="Calibri"/>
          <w:color w:val="000000"/>
          <w:sz w:val="22"/>
          <w:szCs w:val="22"/>
        </w:rPr>
        <w:t>.</w:t>
      </w:r>
    </w:p>
    <w:p w14:paraId="1D9A5D40" w14:textId="0E38B360" w:rsidR="00590374" w:rsidRPr="001F3EC7" w:rsidRDefault="00590374" w:rsidP="00FD358B">
      <w:pPr>
        <w:spacing w:before="100" w:beforeAutospacing="1" w:after="100" w:afterAutospacing="1"/>
        <w:ind w:firstLine="720"/>
        <w:jc w:val="both"/>
        <w:rPr>
          <w:rFonts w:ascii="Calibri" w:hAnsi="Calibri" w:cs="Calibri"/>
          <w:color w:val="000000"/>
          <w:sz w:val="22"/>
          <w:szCs w:val="22"/>
        </w:rPr>
      </w:pPr>
      <w:r w:rsidRPr="001F3EC7">
        <w:rPr>
          <w:rStyle w:val="Strong"/>
          <w:rFonts w:ascii="Calibri" w:eastAsiaTheme="majorEastAsia" w:hAnsi="Calibri" w:cs="Calibri"/>
          <w:b w:val="0"/>
          <w:bCs w:val="0"/>
          <w:color w:val="000000"/>
          <w:sz w:val="22"/>
          <w:szCs w:val="22"/>
        </w:rPr>
        <w:t>Furthermore, socioeconomic constraints prevent balance for the majority and hence work-life balance is a privilege reserved for the elite.</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This view centres on the notion that structural inequalities - rather than personal choices - determine whether individuals can access the conditions necessary for balance.</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In low-income settings across the Global South, millions rely on informal or gig economy jobs to survive, often juggling multiple roles with no labour protections. For example, in countries like India or Indonesia, delivery riders and factory workers typically endure long hours with little time for rest or family. This stark reality reflects systemic inequality, where balance is unattainable not because of personal failure, but because of structural economic conditions.</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In such contexts, the lack of social safety nets, weak enforcement of labour laws, and rising costs of living further entrench the impossibility of rest.</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The argument suggests that unless global disparities in wealth and labour rights are addressed, balance will remain an unreachable ideal for most.</w:t>
      </w:r>
    </w:p>
    <w:p w14:paraId="5EA8A684" w14:textId="6B39A5CB" w:rsidR="00C413E2" w:rsidRPr="001F3EC7" w:rsidRDefault="00C413E2"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While the challenges outlined are legitimate, they do not render work-life balance impossible—they reveal areas where innovation and reform are most needed. It is true that digital technology can extend work hours, but it can also empower workers with autonomy and mobility. Similarly, while socioeconomic conditions in many countries make balance more difficult, there are emerging models—both in the Global North and South—that show how balance can be adapted to different contexts. For instance, in Nairobi, mobile work platforms such as Ajira Digital have enabled youths to earn flexible incomes while pursuing education. In Sweden and the UAE, progressive labour policies now guarantee mental health days, paid family leave, and hybrid work options. These diverse developments illustrate that work-life balance is a global aspiration being addressed in increasingly localised and innovative ways. They underscore the importance of policy, culture, and technology evolving together to support human well-being.</w:t>
      </w:r>
    </w:p>
    <w:p w14:paraId="24A9EC01" w14:textId="2A712CBE" w:rsidR="00590374" w:rsidRPr="001F3EC7" w:rsidRDefault="00C413E2" w:rsidP="00FD358B">
      <w:pPr>
        <w:spacing w:before="100" w:beforeAutospacing="1" w:after="100" w:afterAutospacing="1"/>
        <w:ind w:firstLine="720"/>
        <w:jc w:val="both"/>
        <w:rPr>
          <w:rStyle w:val="Strong"/>
          <w:rFonts w:ascii="Calibri" w:hAnsi="Calibri" w:cs="Calibri"/>
          <w:b w:val="0"/>
          <w:bCs w:val="0"/>
          <w:color w:val="000000"/>
          <w:sz w:val="22"/>
          <w:szCs w:val="22"/>
        </w:rPr>
      </w:pPr>
      <w:r w:rsidRPr="001F3EC7">
        <w:rPr>
          <w:rFonts w:ascii="Calibri" w:hAnsi="Calibri" w:cs="Calibri"/>
          <w:color w:val="000000"/>
          <w:sz w:val="22"/>
          <w:szCs w:val="22"/>
        </w:rPr>
        <w:lastRenderedPageBreak/>
        <w:t>Contrary to its misuses, technology has the potential to liberate workers from rigid, time-based models of labour. Remote work, asynchronous communication, and project-based evaluation systems allow employees to tailor their schedules to personal needs. During and after the pandemic, countries like the UK, Australia, and Singapore institutionalised hybrid work models, giving rise to a global shift from presenteeism to performance-based metrics. Employees can now integrate exercise, caregiving, or rest into their daily routines. When properly implemented, technology enhances rather than undermines balance by enabling autonomy, mobility, and greater inclusion.</w:t>
      </w:r>
    </w:p>
    <w:p w14:paraId="16EB641A" w14:textId="06283AF0" w:rsidR="00590374" w:rsidRPr="001F3EC7" w:rsidRDefault="00590374" w:rsidP="00FD358B">
      <w:pPr>
        <w:spacing w:before="100" w:beforeAutospacing="1" w:after="100" w:afterAutospacing="1"/>
        <w:ind w:firstLine="720"/>
        <w:jc w:val="both"/>
        <w:rPr>
          <w:rStyle w:val="Strong"/>
          <w:rFonts w:ascii="Calibri" w:eastAsiaTheme="majorEastAsia" w:hAnsi="Calibri" w:cs="Calibri"/>
          <w:color w:val="000000"/>
          <w:sz w:val="22"/>
          <w:szCs w:val="22"/>
        </w:rPr>
      </w:pPr>
      <w:r w:rsidRPr="001F3EC7">
        <w:rPr>
          <w:rStyle w:val="Strong"/>
          <w:rFonts w:ascii="Calibri" w:eastAsiaTheme="majorEastAsia" w:hAnsi="Calibri" w:cs="Calibri"/>
          <w:b w:val="0"/>
          <w:bCs w:val="0"/>
          <w:color w:val="000000"/>
          <w:sz w:val="22"/>
          <w:szCs w:val="22"/>
        </w:rPr>
        <w:t>Furthermore, a major factor enabling balance today is the cultural shift away from glorifying overwork.</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This shift reflects a broader reassessment of societal values, particularly in how success, productivity, and personal fulfilment are defined in the modern age.</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In contrast to previous generations, where long hours and self-sacrifice were often equated with dedication and ambition, Millennials and Gen Z workers increasingly prioritise mental health, flexibility, and purpose over job prestige or salary. In a 2023 global Deloitte survey, more than 60% of young professionals said they would not remain in a job that compromises their well-being or infringes on personal time. Companies have responded with mental health days, "right to disconnect" policies, and wellness programmes.</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This generational shift illustrates how changing attitudes can influence workplace expectations and corporate culture on a global scale.</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This redefinition of professional success suggests a growing global movement towards values that support work-life integration rather than conflict.</w:t>
      </w:r>
    </w:p>
    <w:p w14:paraId="61EB2AB2" w14:textId="56FB3DD9" w:rsidR="00590374" w:rsidRPr="001F3EC7" w:rsidRDefault="00590374" w:rsidP="00FD358B">
      <w:pPr>
        <w:spacing w:before="100" w:beforeAutospacing="1" w:after="100" w:afterAutospacing="1"/>
        <w:ind w:firstLine="720"/>
        <w:jc w:val="both"/>
        <w:rPr>
          <w:rStyle w:val="Emphasis"/>
          <w:rFonts w:ascii="Calibri" w:eastAsiaTheme="majorEastAsia" w:hAnsi="Calibri" w:cs="Calibri"/>
          <w:i w:val="0"/>
          <w:iCs w:val="0"/>
          <w:color w:val="000000"/>
          <w:sz w:val="22"/>
          <w:szCs w:val="22"/>
        </w:rPr>
      </w:pPr>
      <w:r w:rsidRPr="001F3EC7">
        <w:rPr>
          <w:rStyle w:val="Strong"/>
          <w:rFonts w:ascii="Calibri" w:eastAsiaTheme="majorEastAsia" w:hAnsi="Calibri" w:cs="Calibri"/>
          <w:b w:val="0"/>
          <w:bCs w:val="0"/>
          <w:color w:val="000000"/>
          <w:sz w:val="22"/>
          <w:szCs w:val="22"/>
        </w:rPr>
        <w:t>Public policy is also playing a transformative role in normalising and enabling work-life balance.</w:t>
      </w:r>
      <w:r w:rsidRPr="001F3EC7">
        <w:rPr>
          <w:rStyle w:val="apple-converted-space"/>
          <w:rFonts w:ascii="Calibri" w:eastAsiaTheme="majorEastAsia" w:hAnsi="Calibri" w:cs="Calibri"/>
          <w:b/>
          <w:bCs/>
          <w:color w:val="000000"/>
          <w:sz w:val="22"/>
          <w:szCs w:val="22"/>
        </w:rPr>
        <w:t> </w:t>
      </w:r>
      <w:r w:rsidRPr="001F3EC7">
        <w:rPr>
          <w:rStyle w:val="Emphasis"/>
          <w:rFonts w:ascii="Calibri" w:eastAsiaTheme="majorEastAsia" w:hAnsi="Calibri" w:cs="Calibri"/>
          <w:i w:val="0"/>
          <w:iCs w:val="0"/>
          <w:color w:val="000000"/>
          <w:sz w:val="22"/>
          <w:szCs w:val="22"/>
        </w:rPr>
        <w:t xml:space="preserve">As societies become more attuned to the long-term consequences of burnout, declining mental health, and population ageing, governments are recognising that sustainable labour practices are critical to national well-being and economic resilience. </w:t>
      </w:r>
      <w:r w:rsidRPr="001F3EC7">
        <w:rPr>
          <w:rFonts w:ascii="Calibri" w:hAnsi="Calibri" w:cs="Calibri"/>
          <w:color w:val="000000"/>
          <w:sz w:val="22"/>
          <w:szCs w:val="22"/>
        </w:rPr>
        <w:t>In response, countries such as New Zealand, Iceland, and Germany have piloted or implemented four-day work weeks without a loss in productivity. These reforms—once radical—are gaining mainstream traction due to their economic and social benefits. At the same time, major corporations like Unilever and Microsoft have successfully trialled reduced-hour models, reporting not only improved well-being but also higher efficiency. These examples demonstrate that institutional change is both feasible and effective, and that balance is not merely a personal ambition, but a societal priority with economic dividends.</w:t>
      </w:r>
      <w:r w:rsidRPr="001F3EC7">
        <w:rPr>
          <w:rStyle w:val="apple-converted-space"/>
          <w:rFonts w:ascii="Calibri" w:eastAsiaTheme="majorEastAsia" w:hAnsi="Calibri" w:cs="Calibri"/>
          <w:color w:val="000000"/>
          <w:sz w:val="22"/>
          <w:szCs w:val="22"/>
        </w:rPr>
        <w:t> </w:t>
      </w:r>
      <w:r w:rsidRPr="001F3EC7">
        <w:rPr>
          <w:rStyle w:val="Emphasis"/>
          <w:rFonts w:ascii="Calibri" w:eastAsiaTheme="majorEastAsia" w:hAnsi="Calibri" w:cs="Calibri"/>
          <w:i w:val="0"/>
          <w:iCs w:val="0"/>
          <w:color w:val="000000"/>
          <w:sz w:val="22"/>
          <w:szCs w:val="22"/>
        </w:rPr>
        <w:t>This also reflects how global governance and private enterprise can jointly influence more humane labour conditions, signalling a promising shift in the norms and expectations of the 21st-century workplace.</w:t>
      </w:r>
    </w:p>
    <w:p w14:paraId="10160611" w14:textId="77777777" w:rsidR="003E259B" w:rsidRPr="001F3EC7" w:rsidRDefault="00C413E2" w:rsidP="00FD358B">
      <w:pPr>
        <w:spacing w:before="100" w:beforeAutospacing="1" w:after="100" w:afterAutospacing="1"/>
        <w:ind w:firstLine="720"/>
        <w:jc w:val="both"/>
        <w:rPr>
          <w:rFonts w:ascii="Calibri" w:hAnsi="Calibri" w:cs="Calibri"/>
          <w:color w:val="000000"/>
          <w:sz w:val="22"/>
          <w:szCs w:val="22"/>
        </w:rPr>
      </w:pPr>
      <w:r w:rsidRPr="001F3EC7">
        <w:rPr>
          <w:rFonts w:ascii="Calibri" w:hAnsi="Calibri" w:cs="Calibri"/>
          <w:color w:val="000000"/>
          <w:sz w:val="22"/>
          <w:szCs w:val="22"/>
        </w:rPr>
        <w:t>Although work-life balance remains a complex and evolving issue, it is no longer confined to idealism. When analysed within the context of global digital innovation, labour reform, and shifting cultural values, it becomes clear that balance is not only possible, but increasingly expected. While inequality and overwork persist in many sectors, the progress made in diverse geographical and socio-economic settings suggests that work-life balance can be pursued across time and place</w:t>
      </w:r>
      <w:r w:rsidR="00590374" w:rsidRPr="001F3EC7">
        <w:rPr>
          <w:rFonts w:ascii="Calibri" w:hAnsi="Calibri" w:cs="Calibri"/>
          <w:color w:val="000000"/>
          <w:sz w:val="22"/>
          <w:szCs w:val="22"/>
        </w:rPr>
        <w:t xml:space="preserve"> - </w:t>
      </w:r>
      <w:r w:rsidRPr="001F3EC7">
        <w:rPr>
          <w:rFonts w:ascii="Calibri" w:hAnsi="Calibri" w:cs="Calibri"/>
          <w:color w:val="000000"/>
          <w:sz w:val="22"/>
          <w:szCs w:val="22"/>
        </w:rPr>
        <w:t>when supported by responsible policy, inclusive technology, and adaptive cultural attitudes. In light of these developments, rather than declaring balance impossible, we must continue building the conditions that make it possible for all.</w:t>
      </w:r>
      <w:r w:rsidR="00590374" w:rsidRPr="001F3EC7">
        <w:rPr>
          <w:rFonts w:ascii="Calibri" w:hAnsi="Calibri" w:cs="Calibri"/>
          <w:color w:val="000000"/>
          <w:sz w:val="22"/>
          <w:szCs w:val="22"/>
        </w:rPr>
        <w:t xml:space="preserve"> </w:t>
      </w:r>
    </w:p>
    <w:p w14:paraId="35AD57EB" w14:textId="48C386C5" w:rsidR="00C413E2" w:rsidRPr="001F3EC7" w:rsidRDefault="00590374" w:rsidP="00590374">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(1108 words)</w:t>
      </w:r>
    </w:p>
    <w:p w14:paraId="18CC0605" w14:textId="77777777" w:rsidR="007B42F1" w:rsidRPr="001F3EC7" w:rsidRDefault="007B42F1"/>
    <w:p w14:paraId="73EA8972" w14:textId="77777777" w:rsidR="00F54529" w:rsidRPr="001F3EC7" w:rsidRDefault="00F54529"/>
    <w:p w14:paraId="4C8EFBC0" w14:textId="77777777" w:rsidR="00F54529" w:rsidRPr="001F3EC7" w:rsidRDefault="00F54529"/>
    <w:p w14:paraId="174EA9F4" w14:textId="77777777" w:rsidR="00F54529" w:rsidRPr="001F3EC7" w:rsidRDefault="00F54529"/>
    <w:p w14:paraId="4390CA52" w14:textId="77777777" w:rsidR="00F54529" w:rsidRPr="001F3EC7" w:rsidRDefault="00F54529"/>
    <w:p w14:paraId="543B3AD3" w14:textId="77777777" w:rsidR="00F54529" w:rsidRPr="001F3EC7" w:rsidRDefault="00F54529"/>
    <w:p w14:paraId="3A214AA4" w14:textId="77777777" w:rsidR="00F54529" w:rsidRPr="001F3EC7" w:rsidRDefault="00F54529"/>
    <w:p w14:paraId="1B5A081D" w14:textId="0D43BE59" w:rsidR="00DC2DF2" w:rsidRPr="001F3EC7" w:rsidRDefault="00DC2DF2" w:rsidP="00DC2DF2">
      <w:pPr>
        <w:spacing w:before="100" w:beforeAutospacing="1" w:after="100" w:afterAutospacing="1"/>
        <w:jc w:val="both"/>
        <w:rPr>
          <w:rStyle w:val="relative"/>
          <w:rFonts w:ascii="Calibri" w:eastAsiaTheme="majorEastAsia" w:hAnsi="Calibri" w:cs="Calibri"/>
          <w:b/>
          <w:bCs/>
          <w:color w:val="000000"/>
          <w:sz w:val="32"/>
          <w:szCs w:val="32"/>
        </w:rPr>
      </w:pPr>
      <w:r w:rsidRPr="001F3EC7">
        <w:rPr>
          <w:rStyle w:val="relative"/>
          <w:rFonts w:ascii="Calibri" w:eastAsiaTheme="majorEastAsia" w:hAnsi="Calibri" w:cs="Calibri"/>
          <w:b/>
          <w:bCs/>
          <w:color w:val="000000"/>
          <w:sz w:val="32"/>
          <w:szCs w:val="32"/>
        </w:rPr>
        <w:lastRenderedPageBreak/>
        <w:t>SG Lens</w:t>
      </w:r>
    </w:p>
    <w:p w14:paraId="2574B368" w14:textId="5F2852D8" w:rsidR="00F54529" w:rsidRPr="001F3EC7" w:rsidRDefault="00F54529" w:rsidP="00DC2DF2">
      <w:pPr>
        <w:pStyle w:val="ListParagraph"/>
        <w:numPr>
          <w:ilvl w:val="0"/>
          <w:numId w:val="5"/>
        </w:numPr>
        <w:spacing w:before="100" w:beforeAutospacing="1" w:after="100" w:afterAutospacing="1"/>
        <w:jc w:val="both"/>
        <w:rPr>
          <w:rStyle w:val="relative"/>
          <w:rFonts w:ascii="Calibri" w:eastAsiaTheme="majorEastAsia" w:hAnsi="Calibri" w:cs="Calibri"/>
          <w:b/>
          <w:bCs/>
          <w:color w:val="000000"/>
        </w:rPr>
      </w:pPr>
      <w:r w:rsidRPr="001F3EC7">
        <w:rPr>
          <w:rStyle w:val="relative"/>
          <w:rFonts w:ascii="Calibri" w:eastAsiaTheme="majorEastAsia" w:hAnsi="Calibri" w:cs="Calibri"/>
          <w:b/>
          <w:bCs/>
          <w:color w:val="000000"/>
        </w:rPr>
        <w:t>What are the Singaporean Views Towards Greater Work-life Balance?</w:t>
      </w:r>
    </w:p>
    <w:p w14:paraId="2555C167" w14:textId="7C714C0E"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Style w:val="relative"/>
          <w:rFonts w:ascii="Calibri" w:eastAsiaTheme="majorEastAsia" w:hAnsi="Calibri" w:cs="Calibri"/>
          <w:color w:val="000000"/>
          <w:sz w:val="22"/>
          <w:szCs w:val="22"/>
        </w:rPr>
        <w:t>Singaporeans increasingly prioritise work-life balance, reflecting a significant shift in workplace expectations across demographics.</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Surveys indicate that many employees value work-life balance even more than salary when considering job opportunities.</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For instance, a Randstad survey</w:t>
      </w:r>
      <w:r w:rsidR="00111692" w:rsidRPr="001F3EC7">
        <w:rPr>
          <w:rStyle w:val="relative"/>
          <w:rFonts w:ascii="Calibri" w:eastAsiaTheme="majorEastAsia" w:hAnsi="Calibri" w:cs="Calibri"/>
          <w:color w:val="000000"/>
          <w:sz w:val="22"/>
          <w:szCs w:val="22"/>
        </w:rPr>
        <w:t xml:space="preserve"> done in 2023</w:t>
      </w:r>
      <w:r w:rsidRPr="001F3EC7">
        <w:rPr>
          <w:rStyle w:val="relative"/>
          <w:rFonts w:ascii="Calibri" w:eastAsiaTheme="majorEastAsia" w:hAnsi="Calibri" w:cs="Calibri"/>
          <w:color w:val="000000"/>
          <w:sz w:val="22"/>
          <w:szCs w:val="22"/>
        </w:rPr>
        <w:t xml:space="preserve"> revealed that 95% of respondents consider work-life balance important in their current and future jobs, surpassing the 90% who prioritise pay</w:t>
      </w:r>
      <w:r w:rsidR="00111692" w:rsidRPr="001F3EC7">
        <w:rPr>
          <w:rStyle w:val="apple-converted-space"/>
          <w:rFonts w:ascii="Calibri" w:eastAsiaTheme="majorEastAsia" w:hAnsi="Calibri" w:cs="Calibri"/>
          <w:color w:val="000000"/>
          <w:sz w:val="22"/>
          <w:szCs w:val="22"/>
        </w:rPr>
        <w:t>.</w:t>
      </w:r>
    </w:p>
    <w:p w14:paraId="65E951E0" w14:textId="270D9654"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Style w:val="relative"/>
          <w:rFonts w:ascii="Calibri" w:eastAsiaTheme="majorEastAsia" w:hAnsi="Calibri" w:cs="Calibri"/>
          <w:color w:val="000000"/>
          <w:sz w:val="22"/>
          <w:szCs w:val="22"/>
        </w:rPr>
        <w:t>This emphasis on balance is influencing employment decisions.</w:t>
      </w:r>
      <w:r w:rsidRPr="001F3EC7">
        <w:rPr>
          <w:rStyle w:val="apple-converted-space"/>
          <w:rFonts w:ascii="Calibri" w:eastAsiaTheme="majorEastAsia" w:hAnsi="Calibri" w:cs="Calibri"/>
          <w:color w:val="000000"/>
          <w:sz w:val="22"/>
          <w:szCs w:val="22"/>
        </w:rPr>
        <w:t> </w:t>
      </w:r>
      <w:r w:rsidR="00111692" w:rsidRPr="001F3EC7">
        <w:rPr>
          <w:rStyle w:val="apple-converted-space"/>
          <w:rFonts w:ascii="Calibri" w:eastAsiaTheme="majorEastAsia" w:hAnsi="Calibri" w:cs="Calibri"/>
          <w:color w:val="000000"/>
          <w:sz w:val="22"/>
          <w:szCs w:val="22"/>
        </w:rPr>
        <w:t xml:space="preserve">According to a report published by the Singapore Business Review in 2024, </w:t>
      </w:r>
      <w:r w:rsidR="00111692" w:rsidRPr="001F3EC7">
        <w:rPr>
          <w:rStyle w:val="relative"/>
          <w:rFonts w:ascii="Calibri" w:eastAsiaTheme="majorEastAsia" w:hAnsi="Calibri" w:cs="Calibri"/>
          <w:color w:val="000000"/>
          <w:sz w:val="22"/>
          <w:szCs w:val="22"/>
        </w:rPr>
        <w:t>a</w:t>
      </w:r>
      <w:r w:rsidRPr="001F3EC7">
        <w:rPr>
          <w:rStyle w:val="relative"/>
          <w:rFonts w:ascii="Calibri" w:eastAsiaTheme="majorEastAsia" w:hAnsi="Calibri" w:cs="Calibri"/>
          <w:color w:val="000000"/>
          <w:sz w:val="22"/>
          <w:szCs w:val="22"/>
        </w:rPr>
        <w:t>pproximately 41% of Singaporean workers have resigned from their jobs in pursuit of better work-life balance, a figure that exceeds those leaving for higher pay</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Furthermore, more than six in ten employees prioritise job stability coupled with good work-life balance, the highest proportion in Southeast Asia</w:t>
      </w:r>
      <w:r w:rsidR="00111692" w:rsidRPr="001F3EC7">
        <w:rPr>
          <w:rStyle w:val="apple-converted-space"/>
          <w:rFonts w:ascii="Calibri" w:eastAsiaTheme="majorEastAsia" w:hAnsi="Calibri" w:cs="Calibri"/>
          <w:color w:val="000000"/>
          <w:sz w:val="22"/>
          <w:szCs w:val="22"/>
        </w:rPr>
        <w:t>.</w:t>
      </w:r>
      <w:r w:rsidR="00111692" w:rsidRPr="001F3EC7">
        <w:rPr>
          <w:rFonts w:ascii="Calibri" w:hAnsi="Calibri" w:cs="Calibri"/>
          <w:color w:val="000000"/>
          <w:sz w:val="22"/>
          <w:szCs w:val="22"/>
        </w:rPr>
        <w:t xml:space="preserve"> </w:t>
      </w:r>
    </w:p>
    <w:p w14:paraId="42F6E6D3" w14:textId="1EA1CF5D"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Style w:val="relative"/>
          <w:rFonts w:ascii="Calibri" w:eastAsiaTheme="majorEastAsia" w:hAnsi="Calibri" w:cs="Calibri"/>
          <w:color w:val="000000"/>
          <w:sz w:val="22"/>
          <w:szCs w:val="22"/>
        </w:rPr>
        <w:t>The younger workforce, particularly Gen Z and millennials, are at the forefront of this shift.</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 xml:space="preserve">A Deloitte survey </w:t>
      </w:r>
      <w:r w:rsidR="00111692" w:rsidRPr="001F3EC7">
        <w:rPr>
          <w:rStyle w:val="relative"/>
          <w:rFonts w:ascii="Calibri" w:eastAsiaTheme="majorEastAsia" w:hAnsi="Calibri" w:cs="Calibri"/>
          <w:color w:val="000000"/>
          <w:sz w:val="22"/>
          <w:szCs w:val="22"/>
        </w:rPr>
        <w:t xml:space="preserve">conducted in 2024 </w:t>
      </w:r>
      <w:r w:rsidRPr="001F3EC7">
        <w:rPr>
          <w:rStyle w:val="relative"/>
          <w:rFonts w:ascii="Calibri" w:eastAsiaTheme="majorEastAsia" w:hAnsi="Calibri" w:cs="Calibri"/>
          <w:color w:val="000000"/>
          <w:sz w:val="22"/>
          <w:szCs w:val="22"/>
        </w:rPr>
        <w:t>found that 89% of Gen Zs and 97% of millennials in Singapore consider purpose important to their job satisfaction, with work-life balance being a top priority</w:t>
      </w:r>
      <w:r w:rsidRPr="001F3EC7">
        <w:rPr>
          <w:rStyle w:val="apple-converted-space"/>
          <w:rFonts w:ascii="Calibri" w:eastAsiaTheme="majorEastAsia" w:hAnsi="Calibri" w:cs="Calibri"/>
          <w:color w:val="000000"/>
          <w:sz w:val="22"/>
          <w:szCs w:val="22"/>
        </w:rPr>
        <w:t> </w:t>
      </w:r>
      <w:r w:rsidRPr="001F3EC7">
        <w:rPr>
          <w:rFonts w:ascii="Calibri" w:hAnsi="Calibri" w:cs="Calibri"/>
          <w:color w:val="000000"/>
          <w:sz w:val="22"/>
          <w:szCs w:val="22"/>
        </w:rPr>
        <w:t>.</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Many are willing to turn down job offers that do not align with their values, including those lacking in work-life balance provisions.</w:t>
      </w:r>
      <w:r w:rsidRPr="001F3EC7">
        <w:rPr>
          <w:rFonts w:ascii="Calibri" w:hAnsi="Calibri" w:cs="Calibri"/>
          <w:color w:val="000000"/>
          <w:sz w:val="22"/>
          <w:szCs w:val="22"/>
        </w:rPr>
        <w:t>​</w:t>
      </w:r>
      <w:r w:rsidR="00111692" w:rsidRPr="001F3EC7">
        <w:rPr>
          <w:rFonts w:ascii="Calibri" w:hAnsi="Calibri" w:cs="Calibri"/>
          <w:color w:val="000000"/>
          <w:sz w:val="22"/>
          <w:szCs w:val="22"/>
        </w:rPr>
        <w:t xml:space="preserve"> </w:t>
      </w:r>
    </w:p>
    <w:p w14:paraId="6414C054" w14:textId="60AC5BB1"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Style w:val="relative"/>
          <w:rFonts w:ascii="Calibri" w:eastAsiaTheme="majorEastAsia" w:hAnsi="Calibri" w:cs="Calibri"/>
          <w:color w:val="000000"/>
          <w:sz w:val="22"/>
          <w:szCs w:val="22"/>
        </w:rPr>
        <w:t>However, challenges remain.</w:t>
      </w:r>
      <w:r w:rsidRPr="001F3EC7">
        <w:rPr>
          <w:rStyle w:val="apple-converted-space"/>
          <w:rFonts w:ascii="Calibri" w:eastAsiaTheme="majorEastAsia" w:hAnsi="Calibri" w:cs="Calibri"/>
          <w:color w:val="000000"/>
          <w:sz w:val="22"/>
          <w:szCs w:val="22"/>
        </w:rPr>
        <w:t> </w:t>
      </w:r>
      <w:r w:rsidRPr="001F3EC7">
        <w:rPr>
          <w:rStyle w:val="relative"/>
          <w:rFonts w:ascii="Calibri" w:eastAsiaTheme="majorEastAsia" w:hAnsi="Calibri" w:cs="Calibri"/>
          <w:color w:val="000000"/>
          <w:sz w:val="22"/>
          <w:szCs w:val="22"/>
        </w:rPr>
        <w:t>A significant portion of employees report poor work-life balance due to overwhelming workloads and the blurring of boundaries between work and personal life, exacerbated by digital connectivity</w:t>
      </w:r>
      <w:r w:rsidRPr="001F3EC7">
        <w:rPr>
          <w:rFonts w:ascii="Calibri" w:hAnsi="Calibri" w:cs="Calibri"/>
          <w:color w:val="000000"/>
          <w:sz w:val="22"/>
          <w:szCs w:val="22"/>
        </w:rPr>
        <w:t>.</w:t>
      </w:r>
      <w:r w:rsidR="00111692" w:rsidRPr="001F3EC7">
        <w:rPr>
          <w:rFonts w:ascii="Calibri" w:hAnsi="Calibri" w:cs="Calibri"/>
          <w:color w:val="000000"/>
          <w:sz w:val="22"/>
          <w:szCs w:val="22"/>
        </w:rPr>
        <w:t xml:space="preserve"> It was also reported by the </w:t>
      </w:r>
      <w:r w:rsidR="00111692" w:rsidRPr="001F3EC7">
        <w:rPr>
          <w:rStyle w:val="relative"/>
          <w:rFonts w:ascii="Calibri" w:eastAsiaTheme="majorEastAsia" w:hAnsi="Calibri" w:cs="Calibri"/>
          <w:color w:val="000000"/>
          <w:sz w:val="22"/>
          <w:szCs w:val="22"/>
        </w:rPr>
        <w:t>Randstad survey</w:t>
      </w:r>
      <w:r w:rsidR="00111692" w:rsidRPr="001F3EC7">
        <w:rPr>
          <w:rFonts w:ascii="Calibri" w:hAnsi="Calibri" w:cs="Calibri"/>
          <w:color w:val="000000"/>
          <w:sz w:val="22"/>
          <w:szCs w:val="22"/>
        </w:rPr>
        <w:t xml:space="preserve"> in 2023 that 1 in 2 Singaporeans</w:t>
      </w:r>
      <w:r w:rsidRPr="001F3EC7">
        <w:rPr>
          <w:rStyle w:val="apple-converted-space"/>
          <w:rFonts w:ascii="Calibri" w:eastAsiaTheme="majorEastAsia" w:hAnsi="Calibri" w:cs="Calibri"/>
          <w:color w:val="000000"/>
          <w:sz w:val="22"/>
          <w:szCs w:val="22"/>
        </w:rPr>
        <w:t> </w:t>
      </w:r>
      <w:r w:rsidR="00111692" w:rsidRPr="001F3EC7">
        <w:rPr>
          <w:rStyle w:val="apple-converted-space"/>
          <w:rFonts w:ascii="Calibri" w:eastAsiaTheme="majorEastAsia" w:hAnsi="Calibri" w:cs="Calibri"/>
          <w:color w:val="000000"/>
          <w:sz w:val="22"/>
          <w:szCs w:val="22"/>
        </w:rPr>
        <w:t xml:space="preserve">will quit their job if they were asked to report to work in office more often. </w:t>
      </w:r>
      <w:r w:rsidRPr="001F3EC7">
        <w:rPr>
          <w:rStyle w:val="relative"/>
          <w:rFonts w:ascii="Calibri" w:eastAsiaTheme="majorEastAsia" w:hAnsi="Calibri" w:cs="Calibri"/>
          <w:color w:val="000000"/>
          <w:sz w:val="22"/>
          <w:szCs w:val="22"/>
        </w:rPr>
        <w:t>Despite these hurdles, the prevailing trend indicates a strong and growing demand among Singaporeans for workplaces that support a healthier integration of work and personal life.</w:t>
      </w:r>
      <w:r w:rsidRPr="001F3EC7">
        <w:rPr>
          <w:rFonts w:ascii="Calibri" w:hAnsi="Calibri" w:cs="Calibri"/>
          <w:color w:val="000000"/>
          <w:sz w:val="22"/>
          <w:szCs w:val="22"/>
        </w:rPr>
        <w:t>​</w:t>
      </w:r>
      <w:r w:rsidR="00111692" w:rsidRPr="001F3EC7">
        <w:rPr>
          <w:rFonts w:ascii="Calibri" w:hAnsi="Calibri" w:cs="Calibri"/>
          <w:color w:val="000000"/>
          <w:sz w:val="22"/>
          <w:szCs w:val="22"/>
        </w:rPr>
        <w:t xml:space="preserve"> </w:t>
      </w:r>
    </w:p>
    <w:p w14:paraId="1A3DE5BD" w14:textId="6F2555BB" w:rsidR="00F54529" w:rsidRPr="001F3EC7" w:rsidRDefault="00F54529" w:rsidP="00DC2DF2">
      <w:pPr>
        <w:pStyle w:val="ListParagraph"/>
        <w:numPr>
          <w:ilvl w:val="0"/>
          <w:numId w:val="5"/>
        </w:numPr>
        <w:spacing w:before="100" w:beforeAutospacing="1" w:after="100" w:afterAutospacing="1"/>
        <w:jc w:val="both"/>
        <w:rPr>
          <w:rStyle w:val="relative"/>
          <w:rFonts w:ascii="Calibri" w:eastAsiaTheme="majorEastAsia" w:hAnsi="Calibri" w:cs="Calibri"/>
          <w:b/>
          <w:bCs/>
          <w:color w:val="000000"/>
        </w:rPr>
      </w:pPr>
      <w:r w:rsidRPr="001F3EC7">
        <w:rPr>
          <w:rStyle w:val="relative"/>
          <w:rFonts w:ascii="Calibri" w:eastAsiaTheme="majorEastAsia" w:hAnsi="Calibri" w:cs="Calibri"/>
          <w:b/>
          <w:bCs/>
          <w:color w:val="000000"/>
        </w:rPr>
        <w:t>Singapore’s Measures That Support Work-life Balance</w:t>
      </w:r>
    </w:p>
    <w:p w14:paraId="65FA18F9" w14:textId="77777777"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Singapore has implemented a range of initiatives to promote work-life balance, recognising its importance for employee well-being and organisational productivity. These measures collectively demonstrate Singapore's proactive approach to fostering a work environment that values employee well-being and flexibility.​</w:t>
      </w:r>
    </w:p>
    <w:p w14:paraId="6667442A" w14:textId="469D0357"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Key measures include:​</w:t>
      </w:r>
    </w:p>
    <w:p w14:paraId="29949CB4" w14:textId="6A20C494" w:rsidR="00F54529" w:rsidRPr="001F3EC7" w:rsidRDefault="00F54529" w:rsidP="00DC2DF2">
      <w:pPr>
        <w:pStyle w:val="ListParagraph"/>
        <w:numPr>
          <w:ilvl w:val="0"/>
          <w:numId w:val="4"/>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Tripartite Guidelines on Flexible Work Arrangement (FWA) Requests</w:t>
      </w:r>
    </w:p>
    <w:p w14:paraId="454C6AD9" w14:textId="7FB8564A"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Effective from December 1, 2024, Singapore mandates that employers must fairly consider all employee requests for flexible work arrangements. These arrangements encompass options like remote work, flexible hours, and compressed workweeks. This policy aims to foster a more adaptable and inclusive work environment, aligning with global trends towards flexible working practices.</w:t>
      </w:r>
    </w:p>
    <w:p w14:paraId="22077EF1" w14:textId="78B607E4" w:rsidR="00F54529" w:rsidRPr="001F3EC7" w:rsidRDefault="00F54529" w:rsidP="00DC2DF2">
      <w:pPr>
        <w:pStyle w:val="ListParagraph"/>
        <w:numPr>
          <w:ilvl w:val="0"/>
          <w:numId w:val="4"/>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Tripartite Standard on Work-Life Harmony</w:t>
      </w:r>
    </w:p>
    <w:p w14:paraId="149D989A" w14:textId="239A0B64"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 xml:space="preserve">Developed by the Tripartite Alliance for Fair &amp; Progressive Employment Practices (TAFEP), this standard provides a framework for employers to implement work-life strategies. It includes </w:t>
      </w:r>
      <w:r w:rsidRPr="001F3EC7">
        <w:rPr>
          <w:rFonts w:ascii="Calibri" w:hAnsi="Calibri" w:cs="Calibri"/>
          <w:color w:val="000000"/>
          <w:sz w:val="22"/>
          <w:szCs w:val="22"/>
        </w:rPr>
        <w:lastRenderedPageBreak/>
        <w:t>recommendations on flexible work arrangements, enhanced leave schemes, and employee support programs, aiming to create a supportive workplace culture.</w:t>
      </w:r>
    </w:p>
    <w:p w14:paraId="3B0FFC13" w14:textId="2D7EA3C3" w:rsidR="00F54529" w:rsidRPr="001F3EC7" w:rsidRDefault="00F54529" w:rsidP="00DC2DF2">
      <w:pPr>
        <w:pStyle w:val="ListParagraph"/>
        <w:numPr>
          <w:ilvl w:val="0"/>
          <w:numId w:val="4"/>
        </w:numPr>
        <w:spacing w:before="100" w:beforeAutospacing="1" w:after="100" w:afterAutospacing="1"/>
        <w:jc w:val="both"/>
        <w:outlineLvl w:val="2"/>
        <w:rPr>
          <w:rFonts w:ascii="Calibri" w:hAnsi="Calibri" w:cs="Calibri"/>
          <w:b/>
          <w:bCs/>
          <w:color w:val="000000"/>
          <w:sz w:val="22"/>
          <w:szCs w:val="22"/>
        </w:rPr>
      </w:pPr>
      <w:proofErr w:type="spellStart"/>
      <w:r w:rsidRPr="001F3EC7">
        <w:rPr>
          <w:rFonts w:ascii="Calibri" w:hAnsi="Calibri" w:cs="Calibri"/>
          <w:b/>
          <w:bCs/>
          <w:color w:val="000000"/>
          <w:sz w:val="22"/>
          <w:szCs w:val="22"/>
        </w:rPr>
        <w:t>WorkPro</w:t>
      </w:r>
      <w:proofErr w:type="spellEnd"/>
      <w:r w:rsidRPr="001F3EC7">
        <w:rPr>
          <w:rFonts w:ascii="Calibri" w:hAnsi="Calibri" w:cs="Calibri"/>
          <w:b/>
          <w:bCs/>
          <w:color w:val="000000"/>
          <w:sz w:val="22"/>
          <w:szCs w:val="22"/>
        </w:rPr>
        <w:t xml:space="preserve"> Programme</w:t>
      </w:r>
    </w:p>
    <w:p w14:paraId="6F463B24" w14:textId="77777777"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 xml:space="preserve">The </w:t>
      </w:r>
      <w:proofErr w:type="spellStart"/>
      <w:r w:rsidRPr="001F3EC7">
        <w:rPr>
          <w:rFonts w:ascii="Calibri" w:hAnsi="Calibri" w:cs="Calibri"/>
          <w:color w:val="000000"/>
          <w:sz w:val="22"/>
          <w:szCs w:val="22"/>
        </w:rPr>
        <w:t>WorkPro</w:t>
      </w:r>
      <w:proofErr w:type="spellEnd"/>
      <w:r w:rsidRPr="001F3EC7">
        <w:rPr>
          <w:rFonts w:ascii="Calibri" w:hAnsi="Calibri" w:cs="Calibri"/>
          <w:color w:val="000000"/>
          <w:sz w:val="22"/>
          <w:szCs w:val="22"/>
        </w:rPr>
        <w:t xml:space="preserve"> initiative offers funding support to employers adopting progressive employment practices. It encourages the implementation of flexible work arrangements and supports the employment of mature workers, enhancing workforce inclusivity and adaptability .​</w:t>
      </w:r>
    </w:p>
    <w:p w14:paraId="68DC3B73" w14:textId="73249D66" w:rsidR="00F54529" w:rsidRPr="001F3EC7" w:rsidRDefault="00F54529" w:rsidP="00DC2DF2">
      <w:pPr>
        <w:pStyle w:val="ListParagraph"/>
        <w:numPr>
          <w:ilvl w:val="0"/>
          <w:numId w:val="4"/>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Enhanced Parental Leave Policies</w:t>
      </w:r>
    </w:p>
    <w:p w14:paraId="4136C4AE" w14:textId="77777777"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Singapore provides comprehensive parental leave benefits, including</w:t>
      </w:r>
    </w:p>
    <w:p w14:paraId="61134BC1" w14:textId="74B43A8A" w:rsidR="00F54529" w:rsidRPr="001F3EC7" w:rsidRDefault="00F54529" w:rsidP="00DC2DF2">
      <w:pPr>
        <w:pStyle w:val="ListParagraph"/>
        <w:numPr>
          <w:ilvl w:val="0"/>
          <w:numId w:val="2"/>
        </w:numPr>
        <w:ind w:left="714" w:hanging="357"/>
        <w:jc w:val="both"/>
        <w:rPr>
          <w:rFonts w:ascii="Calibri" w:hAnsi="Calibri" w:cs="Calibri"/>
          <w:color w:val="000000"/>
          <w:sz w:val="22"/>
          <w:szCs w:val="22"/>
        </w:rPr>
      </w:pPr>
      <w:r w:rsidRPr="001F3EC7">
        <w:rPr>
          <w:rFonts w:ascii="Calibri" w:hAnsi="Calibri" w:cs="Calibri"/>
          <w:b/>
          <w:bCs/>
          <w:color w:val="000000"/>
          <w:sz w:val="22"/>
          <w:szCs w:val="22"/>
        </w:rPr>
        <w:t>Maternity Leave</w:t>
      </w:r>
      <w:r w:rsidRPr="001F3EC7">
        <w:rPr>
          <w:rFonts w:ascii="Calibri" w:hAnsi="Calibri" w:cs="Calibri"/>
          <w:color w:val="000000"/>
          <w:sz w:val="22"/>
          <w:szCs w:val="22"/>
        </w:rPr>
        <w:t>: 16 weeks of paid leave for eligible working mothers.​</w:t>
      </w:r>
    </w:p>
    <w:p w14:paraId="3C4E11B1" w14:textId="77777777" w:rsidR="00F54529" w:rsidRPr="001F3EC7" w:rsidRDefault="00F54529" w:rsidP="00DC2DF2">
      <w:pPr>
        <w:numPr>
          <w:ilvl w:val="0"/>
          <w:numId w:val="1"/>
        </w:numPr>
        <w:ind w:left="714" w:hanging="357"/>
        <w:jc w:val="both"/>
        <w:rPr>
          <w:rFonts w:ascii="Calibri" w:hAnsi="Calibri" w:cs="Calibri"/>
          <w:color w:val="000000"/>
          <w:sz w:val="22"/>
          <w:szCs w:val="22"/>
        </w:rPr>
      </w:pPr>
      <w:r w:rsidRPr="001F3EC7">
        <w:rPr>
          <w:rFonts w:ascii="Calibri" w:hAnsi="Calibri" w:cs="Calibri"/>
          <w:b/>
          <w:bCs/>
          <w:color w:val="000000"/>
          <w:sz w:val="22"/>
          <w:szCs w:val="22"/>
        </w:rPr>
        <w:t>Paternity Leave</w:t>
      </w:r>
      <w:r w:rsidRPr="001F3EC7">
        <w:rPr>
          <w:rFonts w:ascii="Calibri" w:hAnsi="Calibri" w:cs="Calibri"/>
          <w:color w:val="000000"/>
          <w:sz w:val="22"/>
          <w:szCs w:val="22"/>
        </w:rPr>
        <w:t>: 2 weeks of paid leave for fathers.​</w:t>
      </w:r>
    </w:p>
    <w:p w14:paraId="798CE5DD" w14:textId="27056D34" w:rsidR="00F54529" w:rsidRPr="001F3EC7" w:rsidRDefault="00F54529" w:rsidP="00DC2DF2">
      <w:pPr>
        <w:numPr>
          <w:ilvl w:val="0"/>
          <w:numId w:val="1"/>
        </w:numPr>
        <w:ind w:left="714" w:hanging="357"/>
        <w:jc w:val="both"/>
        <w:rPr>
          <w:rFonts w:ascii="Calibri" w:hAnsi="Calibri" w:cs="Calibri"/>
          <w:color w:val="000000"/>
          <w:sz w:val="22"/>
          <w:szCs w:val="22"/>
        </w:rPr>
      </w:pPr>
      <w:r w:rsidRPr="001F3EC7">
        <w:rPr>
          <w:rFonts w:ascii="Calibri" w:hAnsi="Calibri" w:cs="Calibri"/>
          <w:b/>
          <w:bCs/>
          <w:color w:val="000000"/>
          <w:sz w:val="22"/>
          <w:szCs w:val="22"/>
        </w:rPr>
        <w:t>Shared Parental Leave</w:t>
      </w:r>
      <w:r w:rsidRPr="001F3EC7">
        <w:rPr>
          <w:rFonts w:ascii="Calibri" w:hAnsi="Calibri" w:cs="Calibri"/>
          <w:color w:val="000000"/>
          <w:sz w:val="22"/>
          <w:szCs w:val="22"/>
        </w:rPr>
        <w:t>: Up to 4 weeks of shared leave between parents.​These policies support parents in balancing work and family responsibilities </w:t>
      </w:r>
    </w:p>
    <w:p w14:paraId="1F538AC8" w14:textId="5291DF9E" w:rsidR="00F54529" w:rsidRPr="001F3EC7" w:rsidRDefault="00F54529" w:rsidP="00DC2DF2">
      <w:pPr>
        <w:pStyle w:val="ListParagraph"/>
        <w:numPr>
          <w:ilvl w:val="0"/>
          <w:numId w:val="4"/>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Promotion of Work-Life Harmony Initiatives</w:t>
      </w:r>
    </w:p>
    <w:p w14:paraId="62FFE8BB" w14:textId="480052FB" w:rsidR="00F54529" w:rsidRPr="001F3EC7" w:rsidRDefault="00F54529"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According to the Ministry of Manpower, in 2023, a significant proportion of employees required flexible work arrangements, non-statutory leave benefits, and employee support schemes. Employers have responded by increasingly providing these initiatives, reflecting a commitment to enhancing work-life harmony </w:t>
      </w:r>
    </w:p>
    <w:p w14:paraId="64604079" w14:textId="7BE78DA7" w:rsidR="00DC2DF2" w:rsidRPr="001F3EC7" w:rsidRDefault="00DC2DF2" w:rsidP="00DC2DF2">
      <w:pPr>
        <w:pStyle w:val="ListParagraph"/>
        <w:numPr>
          <w:ilvl w:val="0"/>
          <w:numId w:val="5"/>
        </w:numPr>
        <w:spacing w:before="100" w:beforeAutospacing="1" w:after="100" w:afterAutospacing="1"/>
        <w:jc w:val="both"/>
        <w:rPr>
          <w:rStyle w:val="relative"/>
          <w:b/>
          <w:bCs/>
          <w:color w:val="000000"/>
        </w:rPr>
      </w:pPr>
      <w:r w:rsidRPr="001F3EC7">
        <w:rPr>
          <w:rStyle w:val="relative"/>
          <w:rFonts w:ascii="Calibri" w:eastAsiaTheme="majorEastAsia" w:hAnsi="Calibri" w:cs="Calibri"/>
          <w:b/>
          <w:bCs/>
          <w:color w:val="000000"/>
        </w:rPr>
        <w:t>“Resistance” Towards Greater Work-life Balance in Singapore</w:t>
      </w:r>
    </w:p>
    <w:p w14:paraId="771A08E5" w14:textId="77777777" w:rsidR="00DC2DF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Despite growing awareness of the importance of work-life balance in Singapore, several cultural, economic, and organisational factors continue to impede its widespread adoption.​</w:t>
      </w:r>
      <w:r w:rsidR="00DC2DF2" w:rsidRPr="001F3EC7">
        <w:rPr>
          <w:rFonts w:ascii="Calibri" w:hAnsi="Calibri" w:cs="Calibri"/>
          <w:color w:val="000000"/>
          <w:sz w:val="22"/>
          <w:szCs w:val="22"/>
        </w:rPr>
        <w:t xml:space="preserve"> Addressing these challenges requires a multifaceted approach that includes cultural shifts, policy reforms, and organisational commitment to fostering environments where work-life balance is not just encouraged but embedded into the fabric of the workplace.​</w:t>
      </w:r>
    </w:p>
    <w:p w14:paraId="262058F2" w14:textId="34A174F9" w:rsidR="00111692" w:rsidRPr="001F3EC7" w:rsidRDefault="00111692" w:rsidP="00DC2DF2">
      <w:pPr>
        <w:pStyle w:val="ListParagraph"/>
        <w:numPr>
          <w:ilvl w:val="0"/>
          <w:numId w:val="6"/>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Cultural Emphasis on Hard Work and '</w:t>
      </w:r>
      <w:proofErr w:type="spellStart"/>
      <w:r w:rsidRPr="001F3EC7">
        <w:rPr>
          <w:rFonts w:ascii="Calibri" w:hAnsi="Calibri" w:cs="Calibri"/>
          <w:b/>
          <w:bCs/>
          <w:color w:val="000000"/>
          <w:sz w:val="22"/>
          <w:szCs w:val="22"/>
        </w:rPr>
        <w:t>Kiasuism</w:t>
      </w:r>
      <w:proofErr w:type="spellEnd"/>
      <w:r w:rsidRPr="001F3EC7">
        <w:rPr>
          <w:rFonts w:ascii="Calibri" w:hAnsi="Calibri" w:cs="Calibri"/>
          <w:b/>
          <w:bCs/>
          <w:color w:val="000000"/>
          <w:sz w:val="22"/>
          <w:szCs w:val="22"/>
        </w:rPr>
        <w:t>'</w:t>
      </w:r>
    </w:p>
    <w:p w14:paraId="4200F875" w14:textId="509B6078" w:rsidR="0011169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Singapore's cultural landscape is deeply rooted in the values of diligence and competitiveness. The concept of '</w:t>
      </w:r>
      <w:proofErr w:type="spellStart"/>
      <w:r w:rsidRPr="001F3EC7">
        <w:rPr>
          <w:rFonts w:ascii="Calibri" w:hAnsi="Calibri" w:cs="Calibri"/>
          <w:color w:val="000000"/>
          <w:sz w:val="22"/>
          <w:szCs w:val="22"/>
        </w:rPr>
        <w:t>kiasu</w:t>
      </w:r>
      <w:proofErr w:type="spellEnd"/>
      <w:r w:rsidRPr="001F3EC7">
        <w:rPr>
          <w:rFonts w:ascii="Calibri" w:hAnsi="Calibri" w:cs="Calibri"/>
          <w:color w:val="000000"/>
          <w:sz w:val="22"/>
          <w:szCs w:val="22"/>
        </w:rPr>
        <w:t>'—a fear of missing out—pervades many aspects of life, including the workplace. This mindset fosters an environment where employees feel compelled to work extended hours to stay ahead, often at the expense of personal time and well-</w:t>
      </w:r>
      <w:proofErr w:type="spellStart"/>
      <w:r w:rsidRPr="001F3EC7">
        <w:rPr>
          <w:rFonts w:ascii="Calibri" w:hAnsi="Calibri" w:cs="Calibri"/>
          <w:color w:val="000000"/>
          <w:sz w:val="22"/>
          <w:szCs w:val="22"/>
        </w:rPr>
        <w:t>being.Such</w:t>
      </w:r>
      <w:proofErr w:type="spellEnd"/>
      <w:r w:rsidRPr="001F3EC7">
        <w:rPr>
          <w:rFonts w:ascii="Calibri" w:hAnsi="Calibri" w:cs="Calibri"/>
          <w:color w:val="000000"/>
          <w:sz w:val="22"/>
          <w:szCs w:val="22"/>
        </w:rPr>
        <w:t xml:space="preserve"> cultural norms can make it challenging to prioritise work-life balance without feeling guilty or fearing negative career implications.​</w:t>
      </w:r>
      <w:r w:rsidR="00DC2DF2" w:rsidRPr="001F3EC7">
        <w:rPr>
          <w:rFonts w:ascii="Calibri" w:hAnsi="Calibri" w:cs="Calibri"/>
          <w:color w:val="000000"/>
          <w:sz w:val="22"/>
          <w:szCs w:val="22"/>
        </w:rPr>
        <w:t xml:space="preserve"> </w:t>
      </w:r>
    </w:p>
    <w:p w14:paraId="0831632A" w14:textId="48AE4993" w:rsidR="00111692" w:rsidRPr="001F3EC7" w:rsidRDefault="00111692" w:rsidP="00DC2DF2">
      <w:pPr>
        <w:pStyle w:val="ListParagraph"/>
        <w:numPr>
          <w:ilvl w:val="0"/>
          <w:numId w:val="6"/>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Employer Reluctance to Implement Flexible Work Arrangements</w:t>
      </w:r>
    </w:p>
    <w:p w14:paraId="69B5F116" w14:textId="29FB076B" w:rsidR="0011169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While flexible work arrangements (FWAs) have gained traction globally, many Singaporean employers remain hesitant to fully embrace them. Concerns about maintaining productivity, ensuring continuous business operations, and managing potential increases in operational costs contribute to this reluctance. For instance, a significant proportion of employers have expressed reservations about adopting a four-day workweek, citing challenges in sustaining service standards and meeting client expectations.​</w:t>
      </w:r>
      <w:r w:rsidR="00DC2DF2" w:rsidRPr="001F3EC7">
        <w:rPr>
          <w:rFonts w:ascii="Calibri" w:hAnsi="Calibri" w:cs="Calibri"/>
          <w:color w:val="000000"/>
          <w:sz w:val="22"/>
          <w:szCs w:val="22"/>
        </w:rPr>
        <w:t xml:space="preserve"> </w:t>
      </w:r>
    </w:p>
    <w:p w14:paraId="7A54A442" w14:textId="3A0A6746" w:rsidR="00111692" w:rsidRPr="001F3EC7" w:rsidRDefault="00111692" w:rsidP="00DC2DF2">
      <w:pPr>
        <w:pStyle w:val="ListParagraph"/>
        <w:numPr>
          <w:ilvl w:val="0"/>
          <w:numId w:val="6"/>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Perception of Work-Life Balance as a Privilege</w:t>
      </w:r>
    </w:p>
    <w:p w14:paraId="1C2E7BB4" w14:textId="77777777" w:rsidR="0011169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lastRenderedPageBreak/>
        <w:t>In Singapore, work-life balance is often perceived as a benefit afforded to certain groups, such as senior executives or employees in specific industries. Workers in sectors like manufacturing, retail, or essential services may find it difficult to access flexible work options due to the nature of their roles. This disparity reinforces the notion that achieving work-life balance is a privilege rather than a standard workplace practice.​</w:t>
      </w:r>
    </w:p>
    <w:p w14:paraId="14500F99" w14:textId="5501916A" w:rsidR="00111692" w:rsidRPr="001F3EC7" w:rsidRDefault="00111692" w:rsidP="00DC2DF2">
      <w:pPr>
        <w:pStyle w:val="ListParagraph"/>
        <w:numPr>
          <w:ilvl w:val="0"/>
          <w:numId w:val="6"/>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Weak Labour Union Influence</w:t>
      </w:r>
    </w:p>
    <w:p w14:paraId="5E7311CF" w14:textId="38CA79CF" w:rsidR="0011169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The influence of labour unions in advocating for employee rights and work-life balance in Singapore is relatively limited.</w:t>
      </w:r>
      <w:r w:rsidR="00DC2DF2" w:rsidRPr="001F3EC7">
        <w:rPr>
          <w:rFonts w:ascii="Calibri" w:hAnsi="Calibri" w:cs="Calibri"/>
          <w:color w:val="000000"/>
          <w:sz w:val="22"/>
          <w:szCs w:val="22"/>
        </w:rPr>
        <w:t xml:space="preserve"> </w:t>
      </w:r>
      <w:r w:rsidRPr="001F3EC7">
        <w:rPr>
          <w:rFonts w:ascii="Calibri" w:hAnsi="Calibri" w:cs="Calibri"/>
          <w:color w:val="000000"/>
          <w:sz w:val="22"/>
          <w:szCs w:val="22"/>
        </w:rPr>
        <w:t>With a centralised union structure that often aligns closely with governmental policies, there is less pressure on employers to implement progressive work-life initiatives. This lack of strong advocacy can result in slower adoption of policies that promote better work-life integration.​</w:t>
      </w:r>
    </w:p>
    <w:p w14:paraId="49EEF6EE" w14:textId="4D179AAF" w:rsidR="00111692" w:rsidRPr="001F3EC7" w:rsidRDefault="00111692" w:rsidP="00DC2DF2">
      <w:pPr>
        <w:pStyle w:val="ListParagraph"/>
        <w:numPr>
          <w:ilvl w:val="0"/>
          <w:numId w:val="6"/>
        </w:numPr>
        <w:spacing w:before="100" w:beforeAutospacing="1" w:after="100" w:afterAutospacing="1"/>
        <w:jc w:val="both"/>
        <w:outlineLvl w:val="2"/>
        <w:rPr>
          <w:rFonts w:ascii="Calibri" w:hAnsi="Calibri" w:cs="Calibri"/>
          <w:b/>
          <w:bCs/>
          <w:color w:val="000000"/>
          <w:sz w:val="22"/>
          <w:szCs w:val="22"/>
        </w:rPr>
      </w:pPr>
      <w:r w:rsidRPr="001F3EC7">
        <w:rPr>
          <w:rFonts w:ascii="Calibri" w:hAnsi="Calibri" w:cs="Calibri"/>
          <w:b/>
          <w:bCs/>
          <w:color w:val="000000"/>
          <w:sz w:val="22"/>
          <w:szCs w:val="22"/>
        </w:rPr>
        <w:t>Economic Pressures and Cost of Living</w:t>
      </w:r>
    </w:p>
    <w:p w14:paraId="6F83F1E2" w14:textId="77777777" w:rsidR="00111692" w:rsidRPr="001F3EC7" w:rsidRDefault="00111692" w:rsidP="00DC2DF2">
      <w:pPr>
        <w:spacing w:before="100" w:beforeAutospacing="1" w:after="100" w:afterAutospacing="1"/>
        <w:jc w:val="both"/>
        <w:rPr>
          <w:rFonts w:ascii="Calibri" w:hAnsi="Calibri" w:cs="Calibri"/>
          <w:color w:val="000000"/>
          <w:sz w:val="22"/>
          <w:szCs w:val="22"/>
        </w:rPr>
      </w:pPr>
      <w:r w:rsidRPr="001F3EC7">
        <w:rPr>
          <w:rFonts w:ascii="Calibri" w:hAnsi="Calibri" w:cs="Calibri"/>
          <w:color w:val="000000"/>
          <w:sz w:val="22"/>
          <w:szCs w:val="22"/>
        </w:rPr>
        <w:t>The high cost of living in Singapore places additional pressure on individuals to work longer hours to meet financial obligations. This economic reality can make it challenging for employees to prioritise personal time over work commitments, especially when overtime work translates to higher income. Consequently, the pursuit of work-life balance may be viewed as secondary to financial stability.​</w:t>
      </w:r>
    </w:p>
    <w:p w14:paraId="5BD20D5F" w14:textId="77777777" w:rsidR="00111692" w:rsidRPr="001F3EC7" w:rsidRDefault="00111692"/>
    <w:sectPr w:rsidR="00111692" w:rsidRPr="001F3EC7">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F68A" w14:textId="77777777" w:rsidR="00621EB5" w:rsidRDefault="00621EB5" w:rsidP="003E259B">
      <w:r>
        <w:separator/>
      </w:r>
    </w:p>
  </w:endnote>
  <w:endnote w:type="continuationSeparator" w:id="0">
    <w:p w14:paraId="21422BD1" w14:textId="77777777" w:rsidR="00621EB5" w:rsidRDefault="00621EB5" w:rsidP="003E2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669287"/>
      <w:docPartObj>
        <w:docPartGallery w:val="Page Numbers (Bottom of Page)"/>
        <w:docPartUnique/>
      </w:docPartObj>
    </w:sdtPr>
    <w:sdtContent>
      <w:p w14:paraId="79A8FF54" w14:textId="47D6C5B8" w:rsidR="00203D71" w:rsidRDefault="00203D71" w:rsidP="005124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1E1219" w14:textId="77777777" w:rsidR="00203D71" w:rsidRDefault="00203D71" w:rsidP="00203D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482882"/>
      <w:docPartObj>
        <w:docPartGallery w:val="Page Numbers (Bottom of Page)"/>
        <w:docPartUnique/>
      </w:docPartObj>
    </w:sdtPr>
    <w:sdtContent>
      <w:p w14:paraId="78A224F7" w14:textId="53E60C3A" w:rsidR="00203D71" w:rsidRDefault="00203D71" w:rsidP="005124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6DDC1E" w14:textId="77777777" w:rsidR="00203D71" w:rsidRDefault="00203D71" w:rsidP="00203D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AD232" w14:textId="77777777" w:rsidR="00621EB5" w:rsidRDefault="00621EB5" w:rsidP="003E259B">
      <w:r>
        <w:separator/>
      </w:r>
    </w:p>
  </w:footnote>
  <w:footnote w:type="continuationSeparator" w:id="0">
    <w:p w14:paraId="1B084C59" w14:textId="77777777" w:rsidR="00621EB5" w:rsidRDefault="00621EB5" w:rsidP="003E2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99FD0" w14:textId="359225F7" w:rsidR="003E259B" w:rsidRDefault="003E259B">
    <w:pPr>
      <w:pStyle w:val="Header"/>
      <w:pBdr>
        <w:bottom w:val="single" w:sz="6" w:space="1" w:color="auto"/>
      </w:pBdr>
      <w:rPr>
        <w:rFonts w:ascii="Calibri" w:hAnsi="Calibri" w:cs="Calibri"/>
        <w:i/>
        <w:iCs/>
        <w:sz w:val="16"/>
        <w:szCs w:val="16"/>
        <w:lang w:val="en-US"/>
      </w:rPr>
    </w:pPr>
    <w:r w:rsidRPr="003E259B">
      <w:rPr>
        <w:rFonts w:ascii="Calibri" w:hAnsi="Calibri" w:cs="Calibri"/>
        <w:i/>
        <w:iCs/>
        <w:sz w:val="16"/>
        <w:szCs w:val="16"/>
        <w:lang w:val="en-US"/>
      </w:rPr>
      <w:t>Essay Critique (EV &amp; CU)</w:t>
    </w:r>
    <w:r>
      <w:rPr>
        <w:rFonts w:ascii="Calibri" w:hAnsi="Calibri" w:cs="Calibri"/>
        <w:i/>
        <w:iCs/>
        <w:sz w:val="16"/>
        <w:szCs w:val="16"/>
        <w:lang w:val="en-US"/>
      </w:rPr>
      <w:t xml:space="preserve"> – Wor</w:t>
    </w:r>
    <w:r w:rsidR="000A0E45">
      <w:rPr>
        <w:rFonts w:ascii="Calibri" w:hAnsi="Calibri" w:cs="Calibri"/>
        <w:i/>
        <w:iCs/>
        <w:sz w:val="16"/>
        <w:szCs w:val="16"/>
        <w:lang w:val="en-US"/>
      </w:rPr>
      <w:t>k</w:t>
    </w:r>
    <w:r>
      <w:rPr>
        <w:rFonts w:ascii="Calibri" w:hAnsi="Calibri" w:cs="Calibri"/>
        <w:i/>
        <w:iCs/>
        <w:sz w:val="16"/>
        <w:szCs w:val="16"/>
        <w:lang w:val="en-US"/>
      </w:rPr>
      <w:t>-life Balance by Dr Chan</w:t>
    </w:r>
    <w:r w:rsidRPr="003E259B">
      <w:rPr>
        <w:rFonts w:ascii="Calibri" w:hAnsi="Calibri" w:cs="Calibri"/>
        <w:i/>
        <w:iCs/>
        <w:sz w:val="16"/>
        <w:szCs w:val="16"/>
        <w:lang w:val="en-US"/>
      </w:rPr>
      <w:tab/>
    </w:r>
    <w:r w:rsidRPr="003E259B">
      <w:rPr>
        <w:rFonts w:ascii="Calibri" w:hAnsi="Calibri" w:cs="Calibri"/>
        <w:i/>
        <w:iCs/>
        <w:sz w:val="16"/>
        <w:szCs w:val="16"/>
        <w:lang w:val="en-US"/>
      </w:rPr>
      <w:tab/>
      <w:t>Tutor’s Copy</w:t>
    </w:r>
  </w:p>
  <w:p w14:paraId="3421E356" w14:textId="77777777" w:rsidR="003E259B" w:rsidRPr="003E259B" w:rsidRDefault="003E259B">
    <w:pPr>
      <w:pStyle w:val="Header"/>
      <w:rPr>
        <w:rFonts w:ascii="Calibri" w:hAnsi="Calibri" w:cs="Calibri"/>
        <w:i/>
        <w:i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A91"/>
    <w:multiLevelType w:val="hybridMultilevel"/>
    <w:tmpl w:val="CBE6B120"/>
    <w:lvl w:ilvl="0" w:tplc="53A65CD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B6510F"/>
    <w:multiLevelType w:val="hybridMultilevel"/>
    <w:tmpl w:val="EE864A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0133BA"/>
    <w:multiLevelType w:val="hybridMultilevel"/>
    <w:tmpl w:val="EE864A42"/>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5D050F"/>
    <w:multiLevelType w:val="hybridMultilevel"/>
    <w:tmpl w:val="A9AE1240"/>
    <w:lvl w:ilvl="0" w:tplc="04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0C01AE5"/>
    <w:multiLevelType w:val="multilevel"/>
    <w:tmpl w:val="F0A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A2639"/>
    <w:multiLevelType w:val="hybridMultilevel"/>
    <w:tmpl w:val="0CD47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3509939">
    <w:abstractNumId w:val="4"/>
  </w:num>
  <w:num w:numId="2" w16cid:durableId="519319270">
    <w:abstractNumId w:val="5"/>
  </w:num>
  <w:num w:numId="3" w16cid:durableId="1820220040">
    <w:abstractNumId w:val="2"/>
  </w:num>
  <w:num w:numId="4" w16cid:durableId="2092703265">
    <w:abstractNumId w:val="1"/>
  </w:num>
  <w:num w:numId="5" w16cid:durableId="963539926">
    <w:abstractNumId w:val="0"/>
  </w:num>
  <w:num w:numId="6" w16cid:durableId="1878813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F1"/>
    <w:rsid w:val="000A0E45"/>
    <w:rsid w:val="00100406"/>
    <w:rsid w:val="00111692"/>
    <w:rsid w:val="001F3EC7"/>
    <w:rsid w:val="00203D71"/>
    <w:rsid w:val="00206AC6"/>
    <w:rsid w:val="003E259B"/>
    <w:rsid w:val="00590374"/>
    <w:rsid w:val="00621EB5"/>
    <w:rsid w:val="007B42F1"/>
    <w:rsid w:val="00B10491"/>
    <w:rsid w:val="00C238E8"/>
    <w:rsid w:val="00C413E2"/>
    <w:rsid w:val="00DC2DF2"/>
    <w:rsid w:val="00E34823"/>
    <w:rsid w:val="00F44F82"/>
    <w:rsid w:val="00F54529"/>
    <w:rsid w:val="00FD358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A478"/>
  <w15:chartTrackingRefBased/>
  <w15:docId w15:val="{643D2266-D408-284B-8EAC-AB418CFE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69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B4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4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2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2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2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2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4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2F1"/>
    <w:rPr>
      <w:rFonts w:eastAsiaTheme="majorEastAsia" w:cstheme="majorBidi"/>
      <w:color w:val="272727" w:themeColor="text1" w:themeTint="D8"/>
    </w:rPr>
  </w:style>
  <w:style w:type="paragraph" w:styleId="Title">
    <w:name w:val="Title"/>
    <w:basedOn w:val="Normal"/>
    <w:next w:val="Normal"/>
    <w:link w:val="TitleChar"/>
    <w:uiPriority w:val="10"/>
    <w:qFormat/>
    <w:rsid w:val="007B4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2F1"/>
    <w:pPr>
      <w:spacing w:before="160"/>
      <w:jc w:val="center"/>
    </w:pPr>
    <w:rPr>
      <w:i/>
      <w:iCs/>
      <w:color w:val="404040" w:themeColor="text1" w:themeTint="BF"/>
    </w:rPr>
  </w:style>
  <w:style w:type="character" w:customStyle="1" w:styleId="QuoteChar">
    <w:name w:val="Quote Char"/>
    <w:basedOn w:val="DefaultParagraphFont"/>
    <w:link w:val="Quote"/>
    <w:uiPriority w:val="29"/>
    <w:rsid w:val="007B42F1"/>
    <w:rPr>
      <w:i/>
      <w:iCs/>
      <w:color w:val="404040" w:themeColor="text1" w:themeTint="BF"/>
    </w:rPr>
  </w:style>
  <w:style w:type="paragraph" w:styleId="ListParagraph">
    <w:name w:val="List Paragraph"/>
    <w:basedOn w:val="Normal"/>
    <w:uiPriority w:val="34"/>
    <w:qFormat/>
    <w:rsid w:val="007B42F1"/>
    <w:pPr>
      <w:ind w:left="720"/>
      <w:contextualSpacing/>
    </w:pPr>
  </w:style>
  <w:style w:type="character" w:styleId="IntenseEmphasis">
    <w:name w:val="Intense Emphasis"/>
    <w:basedOn w:val="DefaultParagraphFont"/>
    <w:uiPriority w:val="21"/>
    <w:qFormat/>
    <w:rsid w:val="007B42F1"/>
    <w:rPr>
      <w:i/>
      <w:iCs/>
      <w:color w:val="0F4761" w:themeColor="accent1" w:themeShade="BF"/>
    </w:rPr>
  </w:style>
  <w:style w:type="paragraph" w:styleId="IntenseQuote">
    <w:name w:val="Intense Quote"/>
    <w:basedOn w:val="Normal"/>
    <w:next w:val="Normal"/>
    <w:link w:val="IntenseQuoteChar"/>
    <w:uiPriority w:val="30"/>
    <w:qFormat/>
    <w:rsid w:val="007B4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2F1"/>
    <w:rPr>
      <w:i/>
      <w:iCs/>
      <w:color w:val="0F4761" w:themeColor="accent1" w:themeShade="BF"/>
    </w:rPr>
  </w:style>
  <w:style w:type="character" w:styleId="IntenseReference">
    <w:name w:val="Intense Reference"/>
    <w:basedOn w:val="DefaultParagraphFont"/>
    <w:uiPriority w:val="32"/>
    <w:qFormat/>
    <w:rsid w:val="007B42F1"/>
    <w:rPr>
      <w:b/>
      <w:bCs/>
      <w:smallCaps/>
      <w:color w:val="0F4761" w:themeColor="accent1" w:themeShade="BF"/>
      <w:spacing w:val="5"/>
    </w:rPr>
  </w:style>
  <w:style w:type="character" w:styleId="Strong">
    <w:name w:val="Strong"/>
    <w:basedOn w:val="DefaultParagraphFont"/>
    <w:uiPriority w:val="22"/>
    <w:qFormat/>
    <w:rsid w:val="007B42F1"/>
    <w:rPr>
      <w:b/>
      <w:bCs/>
    </w:rPr>
  </w:style>
  <w:style w:type="character" w:customStyle="1" w:styleId="apple-converted-space">
    <w:name w:val="apple-converted-space"/>
    <w:basedOn w:val="DefaultParagraphFont"/>
    <w:rsid w:val="007B42F1"/>
  </w:style>
  <w:style w:type="character" w:styleId="Emphasis">
    <w:name w:val="Emphasis"/>
    <w:basedOn w:val="DefaultParagraphFont"/>
    <w:uiPriority w:val="20"/>
    <w:qFormat/>
    <w:rsid w:val="007B42F1"/>
    <w:rPr>
      <w:i/>
      <w:iCs/>
    </w:rPr>
  </w:style>
  <w:style w:type="paragraph" w:styleId="Header">
    <w:name w:val="header"/>
    <w:basedOn w:val="Normal"/>
    <w:link w:val="HeaderChar"/>
    <w:uiPriority w:val="99"/>
    <w:unhideWhenUsed/>
    <w:rsid w:val="003E259B"/>
    <w:pPr>
      <w:tabs>
        <w:tab w:val="center" w:pos="4513"/>
        <w:tab w:val="right" w:pos="9026"/>
      </w:tabs>
    </w:pPr>
  </w:style>
  <w:style w:type="character" w:customStyle="1" w:styleId="HeaderChar">
    <w:name w:val="Header Char"/>
    <w:basedOn w:val="DefaultParagraphFont"/>
    <w:link w:val="Header"/>
    <w:uiPriority w:val="99"/>
    <w:rsid w:val="003E259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E259B"/>
    <w:pPr>
      <w:tabs>
        <w:tab w:val="center" w:pos="4513"/>
        <w:tab w:val="right" w:pos="9026"/>
      </w:tabs>
    </w:pPr>
  </w:style>
  <w:style w:type="character" w:customStyle="1" w:styleId="FooterChar">
    <w:name w:val="Footer Char"/>
    <w:basedOn w:val="DefaultParagraphFont"/>
    <w:link w:val="Footer"/>
    <w:uiPriority w:val="99"/>
    <w:rsid w:val="003E259B"/>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03D71"/>
  </w:style>
  <w:style w:type="character" w:customStyle="1" w:styleId="relative">
    <w:name w:val="relative"/>
    <w:basedOn w:val="DefaultParagraphFont"/>
    <w:rsid w:val="00F54529"/>
  </w:style>
  <w:style w:type="character" w:customStyle="1" w:styleId="ms-1">
    <w:name w:val="ms-1"/>
    <w:basedOn w:val="DefaultParagraphFont"/>
    <w:rsid w:val="00F54529"/>
  </w:style>
  <w:style w:type="character" w:customStyle="1" w:styleId="max-w-full">
    <w:name w:val="max-w-full"/>
    <w:basedOn w:val="DefaultParagraphFont"/>
    <w:rsid w:val="00F54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75491">
      <w:bodyDiv w:val="1"/>
      <w:marLeft w:val="0"/>
      <w:marRight w:val="0"/>
      <w:marTop w:val="0"/>
      <w:marBottom w:val="0"/>
      <w:divBdr>
        <w:top w:val="none" w:sz="0" w:space="0" w:color="auto"/>
        <w:left w:val="none" w:sz="0" w:space="0" w:color="auto"/>
        <w:bottom w:val="none" w:sz="0" w:space="0" w:color="auto"/>
        <w:right w:val="none" w:sz="0" w:space="0" w:color="auto"/>
      </w:divBdr>
    </w:div>
    <w:div w:id="920601933">
      <w:bodyDiv w:val="1"/>
      <w:marLeft w:val="0"/>
      <w:marRight w:val="0"/>
      <w:marTop w:val="0"/>
      <w:marBottom w:val="0"/>
      <w:divBdr>
        <w:top w:val="none" w:sz="0" w:space="0" w:color="auto"/>
        <w:left w:val="none" w:sz="0" w:space="0" w:color="auto"/>
        <w:bottom w:val="none" w:sz="0" w:space="0" w:color="auto"/>
        <w:right w:val="none" w:sz="0" w:space="0" w:color="auto"/>
      </w:divBdr>
    </w:div>
    <w:div w:id="1184444734">
      <w:bodyDiv w:val="1"/>
      <w:marLeft w:val="0"/>
      <w:marRight w:val="0"/>
      <w:marTop w:val="0"/>
      <w:marBottom w:val="0"/>
      <w:divBdr>
        <w:top w:val="none" w:sz="0" w:space="0" w:color="auto"/>
        <w:left w:val="none" w:sz="0" w:space="0" w:color="auto"/>
        <w:bottom w:val="none" w:sz="0" w:space="0" w:color="auto"/>
        <w:right w:val="none" w:sz="0" w:space="0" w:color="auto"/>
      </w:divBdr>
    </w:div>
    <w:div w:id="1282686584">
      <w:bodyDiv w:val="1"/>
      <w:marLeft w:val="0"/>
      <w:marRight w:val="0"/>
      <w:marTop w:val="0"/>
      <w:marBottom w:val="0"/>
      <w:divBdr>
        <w:top w:val="none" w:sz="0" w:space="0" w:color="auto"/>
        <w:left w:val="none" w:sz="0" w:space="0" w:color="auto"/>
        <w:bottom w:val="none" w:sz="0" w:space="0" w:color="auto"/>
        <w:right w:val="none" w:sz="0" w:space="0" w:color="auto"/>
      </w:divBdr>
    </w:div>
    <w:div w:id="1667593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3427</Words>
  <Characters>19535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4</cp:revision>
  <dcterms:created xsi:type="dcterms:W3CDTF">2025-04-16T11:22:00Z</dcterms:created>
  <dcterms:modified xsi:type="dcterms:W3CDTF">2025-04-18T11:44:00Z</dcterms:modified>
</cp:coreProperties>
</file>