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ED202" w14:textId="77777777" w:rsidR="0047531C" w:rsidRPr="0047531C" w:rsidRDefault="0047531C" w:rsidP="0047531C">
      <w:pPr>
        <w:snapToGrid w:val="0"/>
        <w:spacing w:after="0" w:line="240" w:lineRule="auto"/>
        <w:rPr>
          <w:rFonts w:eastAsia="Times New Roman" w:cs="Times New Roman"/>
          <w:kern w:val="0"/>
          <w:sz w:val="22"/>
          <w:szCs w:val="22"/>
          <w14:ligatures w14:val="none"/>
        </w:rPr>
      </w:pPr>
      <w:r w:rsidRPr="0047531C">
        <w:rPr>
          <w:rFonts w:eastAsia="Times New Roman" w:cs="Times New Roman"/>
          <w:b/>
          <w:bCs/>
          <w:kern w:val="0"/>
          <w:sz w:val="22"/>
          <w:szCs w:val="22"/>
          <w14:ligatures w14:val="none"/>
        </w:rPr>
        <w:t>How far do you agree that longer life expectancy creates more problems than benefits?</w:t>
      </w:r>
    </w:p>
    <w:p w14:paraId="3AAEBA6F" w14:textId="77777777" w:rsidR="0047531C" w:rsidRDefault="0047531C" w:rsidP="0047531C">
      <w:pPr>
        <w:snapToGrid w:val="0"/>
        <w:spacing w:after="0" w:line="240" w:lineRule="auto"/>
        <w:rPr>
          <w:rFonts w:eastAsia="Times New Roman" w:cs="Times New Roman"/>
          <w:kern w:val="0"/>
          <w:sz w:val="22"/>
          <w:szCs w:val="22"/>
          <w14:ligatures w14:val="none"/>
        </w:rPr>
      </w:pPr>
    </w:p>
    <w:p w14:paraId="37B4E9C4" w14:textId="77777777" w:rsidR="0047531C" w:rsidRPr="0047531C" w:rsidRDefault="0047531C" w:rsidP="0047531C">
      <w:pPr>
        <w:snapToGrid w:val="0"/>
        <w:spacing w:after="0" w:line="240" w:lineRule="auto"/>
        <w:rPr>
          <w:rFonts w:eastAsia="Times New Roman" w:cs="Times New Roman"/>
          <w:kern w:val="0"/>
          <w:sz w:val="22"/>
          <w:szCs w:val="22"/>
          <w14:ligatures w14:val="none"/>
        </w:rPr>
      </w:pPr>
      <w:r w:rsidRPr="0047531C">
        <w:rPr>
          <w:rFonts w:eastAsia="Times New Roman" w:cs="Times New Roman"/>
          <w:b/>
          <w:bCs/>
          <w:kern w:val="0"/>
          <w:sz w:val="22"/>
          <w:szCs w:val="22"/>
          <w14:ligatures w14:val="none"/>
        </w:rPr>
        <w:t>Introduction – Comparison: Medical Progress vs Societal Readiness</w:t>
      </w:r>
    </w:p>
    <w:p w14:paraId="3FC3E1AC" w14:textId="77777777" w:rsidR="0047531C" w:rsidRDefault="0047531C" w:rsidP="0047531C">
      <w:pPr>
        <w:snapToGrid w:val="0"/>
        <w:spacing w:after="0" w:line="240" w:lineRule="auto"/>
        <w:rPr>
          <w:rFonts w:eastAsia="Times New Roman" w:cs="Times New Roman"/>
          <w:kern w:val="0"/>
          <w:sz w:val="22"/>
          <w:szCs w:val="22"/>
          <w14:ligatures w14:val="none"/>
        </w:rPr>
      </w:pPr>
    </w:p>
    <w:p w14:paraId="3278E17D" w14:textId="2AEC213D" w:rsidR="0047531C" w:rsidRPr="0047531C" w:rsidRDefault="0047531C" w:rsidP="0047531C">
      <w:pPr>
        <w:snapToGrid w:val="0"/>
        <w:spacing w:after="0" w:line="240" w:lineRule="auto"/>
        <w:ind w:firstLine="720"/>
        <w:rPr>
          <w:rFonts w:eastAsia="Times New Roman" w:cs="Times New Roman"/>
          <w:kern w:val="0"/>
          <w:sz w:val="22"/>
          <w:szCs w:val="22"/>
          <w14:ligatures w14:val="none"/>
        </w:rPr>
      </w:pPr>
      <w:r w:rsidRPr="0047531C">
        <w:rPr>
          <w:rFonts w:eastAsia="Times New Roman" w:cs="Times New Roman"/>
          <w:kern w:val="0"/>
          <w:sz w:val="22"/>
          <w:szCs w:val="22"/>
          <w14:ligatures w14:val="none"/>
        </w:rPr>
        <w:t xml:space="preserve">Few developments in modern history reflect scientific and medical progress as clearly as the dramatic rise in human life expectancy. Advances in healthcare, nutrition, and technology have extended average lifespans across the globe, turning what was once a rarity, living past </w:t>
      </w:r>
      <w:proofErr w:type="gramStart"/>
      <w:r w:rsidRPr="0047531C">
        <w:rPr>
          <w:rFonts w:eastAsia="Times New Roman" w:cs="Times New Roman"/>
          <w:kern w:val="0"/>
          <w:sz w:val="22"/>
          <w:szCs w:val="22"/>
          <w14:ligatures w14:val="none"/>
        </w:rPr>
        <w:t>80</w:t>
      </w:r>
      <w:proofErr w:type="gramEnd"/>
      <w:r w:rsidRPr="0047531C">
        <w:rPr>
          <w:rFonts w:eastAsia="Times New Roman" w:cs="Times New Roman"/>
          <w:kern w:val="0"/>
          <w:sz w:val="22"/>
          <w:szCs w:val="22"/>
          <w14:ligatures w14:val="none"/>
        </w:rPr>
        <w:t xml:space="preserve">, into a widespread phenomenon. Yet, this achievement also presents profound societal, economic, and ethical challenges. On one side, longer life expectancy is celebrated as a triumph that allows individuals more time to pursue purpose, relationships, and personal growth. On the other </w:t>
      </w:r>
      <w:proofErr w:type="gramStart"/>
      <w:r w:rsidRPr="0047531C">
        <w:rPr>
          <w:rFonts w:eastAsia="Times New Roman" w:cs="Times New Roman"/>
          <w:kern w:val="0"/>
          <w:sz w:val="22"/>
          <w:szCs w:val="22"/>
          <w14:ligatures w14:val="none"/>
        </w:rPr>
        <w:t>side</w:t>
      </w:r>
      <w:proofErr w:type="gramEnd"/>
      <w:r w:rsidRPr="0047531C">
        <w:rPr>
          <w:rFonts w:eastAsia="Times New Roman" w:cs="Times New Roman"/>
          <w:kern w:val="0"/>
          <w:sz w:val="22"/>
          <w:szCs w:val="22"/>
          <w14:ligatures w14:val="none"/>
        </w:rPr>
        <w:t xml:space="preserve">, it raises serious concerns about resource allocation, social integration, healthcare costs, and age-related stigma. These tensions suggest that increased longevity is not inherently beneficial or </w:t>
      </w:r>
      <w:proofErr w:type="gramStart"/>
      <w:r w:rsidRPr="0047531C">
        <w:rPr>
          <w:rFonts w:eastAsia="Times New Roman" w:cs="Times New Roman"/>
          <w:kern w:val="0"/>
          <w:sz w:val="22"/>
          <w:szCs w:val="22"/>
          <w14:ligatures w14:val="none"/>
        </w:rPr>
        <w:t>harmful, but</w:t>
      </w:r>
      <w:proofErr w:type="gramEnd"/>
      <w:r w:rsidRPr="0047531C">
        <w:rPr>
          <w:rFonts w:eastAsia="Times New Roman" w:cs="Times New Roman"/>
          <w:kern w:val="0"/>
          <w:sz w:val="22"/>
          <w:szCs w:val="22"/>
          <w14:ligatures w14:val="none"/>
        </w:rPr>
        <w:t xml:space="preserve"> rather depends on how societies adapt their institutions and values to meet the needs of an ageing population. I </w:t>
      </w:r>
      <w:proofErr w:type="gramStart"/>
      <w:r w:rsidRPr="0047531C">
        <w:rPr>
          <w:rFonts w:eastAsia="Times New Roman" w:cs="Times New Roman"/>
          <w:kern w:val="0"/>
          <w:sz w:val="22"/>
          <w:szCs w:val="22"/>
          <w14:ligatures w14:val="none"/>
        </w:rPr>
        <w:t>am of the opinion that</w:t>
      </w:r>
      <w:proofErr w:type="gramEnd"/>
      <w:r w:rsidRPr="0047531C">
        <w:rPr>
          <w:rFonts w:eastAsia="Times New Roman" w:cs="Times New Roman"/>
          <w:kern w:val="0"/>
          <w:sz w:val="22"/>
          <w:szCs w:val="22"/>
          <w14:ligatures w14:val="none"/>
        </w:rPr>
        <w:t xml:space="preserve"> while longer life expectancy can generate difficulties, the benefits far outweigh the harms when countries proactively support the elderly through inclusive policies, infrastructure, and innovation. Ultimately, the comparative experiences of different nations show that the true impact of ageing populations hinges on how societies choose to respond.</w:t>
      </w:r>
    </w:p>
    <w:p w14:paraId="430BD0D4" w14:textId="77777777" w:rsidR="0047531C" w:rsidRDefault="0047531C" w:rsidP="0047531C">
      <w:pPr>
        <w:snapToGrid w:val="0"/>
        <w:spacing w:after="0" w:line="240" w:lineRule="auto"/>
        <w:rPr>
          <w:rFonts w:eastAsia="Times New Roman" w:cs="Times New Roman"/>
          <w:kern w:val="0"/>
          <w:sz w:val="22"/>
          <w:szCs w:val="22"/>
          <w14:ligatures w14:val="none"/>
        </w:rPr>
      </w:pPr>
    </w:p>
    <w:p w14:paraId="6485097B" w14:textId="58B56C62" w:rsidR="0047531C" w:rsidRPr="0047531C" w:rsidRDefault="0047531C" w:rsidP="0047531C">
      <w:pPr>
        <w:snapToGrid w:val="0"/>
        <w:spacing w:after="0" w:line="240" w:lineRule="auto"/>
        <w:rPr>
          <w:rFonts w:eastAsia="Times New Roman" w:cs="Times New Roman"/>
          <w:kern w:val="0"/>
          <w:sz w:val="22"/>
          <w:szCs w:val="22"/>
          <w14:ligatures w14:val="none"/>
        </w:rPr>
      </w:pPr>
      <w:r w:rsidRPr="0047531C">
        <w:rPr>
          <w:rFonts w:eastAsia="Times New Roman" w:cs="Times New Roman"/>
          <w:b/>
          <w:bCs/>
          <w:kern w:val="0"/>
          <w:sz w:val="22"/>
          <w:szCs w:val="22"/>
          <w14:ligatures w14:val="none"/>
        </w:rPr>
        <w:t xml:space="preserve">Opposing Viewpoint – Comparison: Social Contribution vs Ageist </w:t>
      </w:r>
      <w:proofErr w:type="spellStart"/>
      <w:r w:rsidRPr="0047531C">
        <w:rPr>
          <w:rFonts w:eastAsia="Times New Roman" w:cs="Times New Roman"/>
          <w:b/>
          <w:bCs/>
          <w:kern w:val="0"/>
          <w:sz w:val="22"/>
          <w:szCs w:val="22"/>
          <w14:ligatures w14:val="none"/>
        </w:rPr>
        <w:t>Marginalisation</w:t>
      </w:r>
      <w:proofErr w:type="spellEnd"/>
    </w:p>
    <w:p w14:paraId="28F4DEFB" w14:textId="77777777" w:rsidR="0047531C" w:rsidRDefault="0047531C" w:rsidP="0047531C">
      <w:pPr>
        <w:snapToGrid w:val="0"/>
        <w:spacing w:after="0" w:line="240" w:lineRule="auto"/>
        <w:rPr>
          <w:rFonts w:eastAsia="Times New Roman" w:cs="Times New Roman"/>
          <w:kern w:val="0"/>
          <w:sz w:val="22"/>
          <w:szCs w:val="22"/>
          <w14:ligatures w14:val="none"/>
        </w:rPr>
      </w:pPr>
    </w:p>
    <w:p w14:paraId="5EC99324" w14:textId="37573E11" w:rsidR="0047531C" w:rsidRPr="0047531C" w:rsidRDefault="0047531C" w:rsidP="0047531C">
      <w:pPr>
        <w:snapToGrid w:val="0"/>
        <w:spacing w:after="0" w:line="240" w:lineRule="auto"/>
        <w:ind w:firstLine="720"/>
        <w:rPr>
          <w:rFonts w:eastAsia="Times New Roman" w:cs="Times New Roman"/>
          <w:kern w:val="0"/>
          <w:sz w:val="22"/>
          <w:szCs w:val="22"/>
          <w14:ligatures w14:val="none"/>
        </w:rPr>
      </w:pPr>
      <w:r w:rsidRPr="0047531C">
        <w:rPr>
          <w:rFonts w:eastAsia="Times New Roman" w:cs="Times New Roman"/>
          <w:kern w:val="0"/>
          <w:sz w:val="22"/>
          <w:szCs w:val="22"/>
          <w14:ligatures w14:val="none"/>
        </w:rPr>
        <w:t xml:space="preserve">While the extension of human lifespan is often seen as a positive development, critics argue that in societies where the elderly are </w:t>
      </w:r>
      <w:proofErr w:type="spellStart"/>
      <w:r w:rsidRPr="0047531C">
        <w:rPr>
          <w:rFonts w:eastAsia="Times New Roman" w:cs="Times New Roman"/>
          <w:kern w:val="0"/>
          <w:sz w:val="22"/>
          <w:szCs w:val="22"/>
          <w14:ligatures w14:val="none"/>
        </w:rPr>
        <w:t>marginalised</w:t>
      </w:r>
      <w:proofErr w:type="spellEnd"/>
      <w:r w:rsidRPr="0047531C">
        <w:rPr>
          <w:rFonts w:eastAsia="Times New Roman" w:cs="Times New Roman"/>
          <w:kern w:val="0"/>
          <w:sz w:val="22"/>
          <w:szCs w:val="22"/>
          <w14:ligatures w14:val="none"/>
        </w:rPr>
        <w:t xml:space="preserve">, longer life expectancy can be more burdensome than beneficial. In economies driven by speed and productivity, older individuals are frequently viewed as less efficient and more dependent, leading to their exclusion from the workforce and public discourse. This perception fosters ageist attitudes that equate ageing with obsolescence, causing the elderly to be </w:t>
      </w:r>
      <w:proofErr w:type="spellStart"/>
      <w:r w:rsidRPr="0047531C">
        <w:rPr>
          <w:rFonts w:eastAsia="Times New Roman" w:cs="Times New Roman"/>
          <w:kern w:val="0"/>
          <w:sz w:val="22"/>
          <w:szCs w:val="22"/>
          <w14:ligatures w14:val="none"/>
        </w:rPr>
        <w:t>stigmatised</w:t>
      </w:r>
      <w:proofErr w:type="spellEnd"/>
      <w:r w:rsidRPr="0047531C">
        <w:rPr>
          <w:rFonts w:eastAsia="Times New Roman" w:cs="Times New Roman"/>
          <w:kern w:val="0"/>
          <w:sz w:val="22"/>
          <w:szCs w:val="22"/>
          <w14:ligatures w14:val="none"/>
        </w:rPr>
        <w:t xml:space="preserve"> or even seen as a drain on public resources. For instance, in many developed countries, depression among the elderly is on the rise, exacerbated by a sense of purposelessness and isolation. A report by Home Care Assistance highlighted that </w:t>
      </w:r>
      <w:proofErr w:type="spellStart"/>
      <w:r w:rsidRPr="0047531C">
        <w:rPr>
          <w:rFonts w:eastAsia="Times New Roman" w:cs="Times New Roman"/>
          <w:kern w:val="0"/>
          <w:sz w:val="22"/>
          <w:szCs w:val="22"/>
          <w14:ligatures w14:val="none"/>
        </w:rPr>
        <w:t>internalised</w:t>
      </w:r>
      <w:proofErr w:type="spellEnd"/>
      <w:r w:rsidRPr="0047531C">
        <w:rPr>
          <w:rFonts w:eastAsia="Times New Roman" w:cs="Times New Roman"/>
          <w:kern w:val="0"/>
          <w:sz w:val="22"/>
          <w:szCs w:val="22"/>
          <w14:ligatures w14:val="none"/>
        </w:rPr>
        <w:t xml:space="preserve"> ageist beliefs discourage seniors from seeking help for mental health issues, reinforcing a cycle of decline. In extreme cases, such as in parts of Europe where euthanasia is legal, some elderly individuals have chosen to end their lives due to fears of being a burden or enduring prolonged suffering. These examples reflect a troubling reality: in contexts where the elderly are devalued, longer life may lead not to fulfilment but to prolonged </w:t>
      </w:r>
      <w:proofErr w:type="spellStart"/>
      <w:r w:rsidRPr="0047531C">
        <w:rPr>
          <w:rFonts w:eastAsia="Times New Roman" w:cs="Times New Roman"/>
          <w:kern w:val="0"/>
          <w:sz w:val="22"/>
          <w:szCs w:val="22"/>
          <w14:ligatures w14:val="none"/>
        </w:rPr>
        <w:t>marginalisation</w:t>
      </w:r>
      <w:proofErr w:type="spellEnd"/>
      <w:r w:rsidRPr="0047531C">
        <w:rPr>
          <w:rFonts w:eastAsia="Times New Roman" w:cs="Times New Roman"/>
          <w:kern w:val="0"/>
          <w:sz w:val="22"/>
          <w:szCs w:val="22"/>
          <w14:ligatures w14:val="none"/>
        </w:rPr>
        <w:t>, diminished mental well-being, and reduced quality of life.</w:t>
      </w:r>
    </w:p>
    <w:p w14:paraId="0780D70B" w14:textId="77777777" w:rsidR="0047531C" w:rsidRDefault="0047531C" w:rsidP="0047531C">
      <w:pPr>
        <w:snapToGrid w:val="0"/>
        <w:spacing w:after="0" w:line="240" w:lineRule="auto"/>
        <w:rPr>
          <w:rFonts w:eastAsia="Times New Roman" w:cs="Times New Roman"/>
          <w:kern w:val="0"/>
          <w:sz w:val="22"/>
          <w:szCs w:val="22"/>
          <w14:ligatures w14:val="none"/>
        </w:rPr>
      </w:pPr>
    </w:p>
    <w:p w14:paraId="132B9EE3" w14:textId="551AFDA0" w:rsidR="0047531C" w:rsidRPr="0047531C" w:rsidRDefault="0047531C" w:rsidP="0047531C">
      <w:pPr>
        <w:snapToGrid w:val="0"/>
        <w:spacing w:after="0" w:line="240" w:lineRule="auto"/>
        <w:rPr>
          <w:rFonts w:eastAsia="Times New Roman" w:cs="Times New Roman"/>
          <w:kern w:val="0"/>
          <w:sz w:val="22"/>
          <w:szCs w:val="22"/>
          <w14:ligatures w14:val="none"/>
        </w:rPr>
      </w:pPr>
      <w:r w:rsidRPr="0047531C">
        <w:rPr>
          <w:rFonts w:eastAsia="Times New Roman" w:cs="Times New Roman"/>
          <w:b/>
          <w:bCs/>
          <w:kern w:val="0"/>
          <w:sz w:val="22"/>
          <w:szCs w:val="22"/>
          <w14:ligatures w14:val="none"/>
        </w:rPr>
        <w:t xml:space="preserve">Rebuttal – Comparison: </w:t>
      </w:r>
      <w:proofErr w:type="spellStart"/>
      <w:r w:rsidRPr="0047531C">
        <w:rPr>
          <w:rFonts w:eastAsia="Times New Roman" w:cs="Times New Roman"/>
          <w:b/>
          <w:bCs/>
          <w:kern w:val="0"/>
          <w:sz w:val="22"/>
          <w:szCs w:val="22"/>
          <w14:ligatures w14:val="none"/>
        </w:rPr>
        <w:t>Marginalisation</w:t>
      </w:r>
      <w:proofErr w:type="spellEnd"/>
      <w:r w:rsidRPr="0047531C">
        <w:rPr>
          <w:rFonts w:eastAsia="Times New Roman" w:cs="Times New Roman"/>
          <w:b/>
          <w:bCs/>
          <w:kern w:val="0"/>
          <w:sz w:val="22"/>
          <w:szCs w:val="22"/>
          <w14:ligatures w14:val="none"/>
        </w:rPr>
        <w:t xml:space="preserve"> vs Empowered Ageing through Policy and Design</w:t>
      </w:r>
    </w:p>
    <w:p w14:paraId="7C6C37C1" w14:textId="77777777" w:rsidR="0047531C" w:rsidRDefault="0047531C" w:rsidP="0047531C">
      <w:pPr>
        <w:snapToGrid w:val="0"/>
        <w:spacing w:after="0" w:line="240" w:lineRule="auto"/>
        <w:rPr>
          <w:rFonts w:eastAsia="Times New Roman" w:cs="Times New Roman"/>
          <w:kern w:val="0"/>
          <w:sz w:val="22"/>
          <w:szCs w:val="22"/>
          <w14:ligatures w14:val="none"/>
        </w:rPr>
      </w:pPr>
    </w:p>
    <w:p w14:paraId="0B7B2E6E" w14:textId="74C67465" w:rsidR="0047531C" w:rsidRPr="0047531C" w:rsidRDefault="0047531C" w:rsidP="0047531C">
      <w:pPr>
        <w:snapToGrid w:val="0"/>
        <w:spacing w:after="0" w:line="240" w:lineRule="auto"/>
        <w:ind w:firstLine="720"/>
        <w:rPr>
          <w:rFonts w:eastAsia="Times New Roman" w:cs="Times New Roman"/>
          <w:kern w:val="0"/>
          <w:sz w:val="22"/>
          <w:szCs w:val="22"/>
          <w14:ligatures w14:val="none"/>
        </w:rPr>
      </w:pPr>
      <w:r w:rsidRPr="0047531C">
        <w:rPr>
          <w:rFonts w:eastAsia="Times New Roman" w:cs="Times New Roman"/>
          <w:kern w:val="0"/>
          <w:sz w:val="22"/>
          <w:szCs w:val="22"/>
          <w14:ligatures w14:val="none"/>
        </w:rPr>
        <w:t xml:space="preserve">Yet, these problems are not inevitable. When governments create inclusive policies and age-friendly environments, longer life expectancy becomes an opportunity rather than a liability. The key lies in whether societies support their ageing populations with adequate healthcare, employment opportunities, and social integration. In Singapore, for example, recent policy changes such as gradually increasing the retirement age to 65 by 2030 are designed to help older individuals remain economically active and independent. These measures reduce the risk of age-related poverty and affirm the elderly’s role as contributors rather than dependents. Beyond employment, eldercare infrastructure plays a critical role. In the Netherlands, the </w:t>
      </w:r>
      <w:proofErr w:type="spellStart"/>
      <w:r w:rsidRPr="0047531C">
        <w:rPr>
          <w:rFonts w:eastAsia="Times New Roman" w:cs="Times New Roman"/>
          <w:kern w:val="0"/>
          <w:sz w:val="22"/>
          <w:szCs w:val="22"/>
          <w14:ligatures w14:val="none"/>
        </w:rPr>
        <w:t>Hogeweyk</w:t>
      </w:r>
      <w:proofErr w:type="spellEnd"/>
      <w:r w:rsidRPr="0047531C">
        <w:rPr>
          <w:rFonts w:eastAsia="Times New Roman" w:cs="Times New Roman"/>
          <w:kern w:val="0"/>
          <w:sz w:val="22"/>
          <w:szCs w:val="22"/>
          <w14:ligatures w14:val="none"/>
        </w:rPr>
        <w:t xml:space="preserve"> dementia village allows residents to live in a safe yet </w:t>
      </w:r>
      <w:proofErr w:type="spellStart"/>
      <w:r w:rsidRPr="0047531C">
        <w:rPr>
          <w:rFonts w:eastAsia="Times New Roman" w:cs="Times New Roman"/>
          <w:kern w:val="0"/>
          <w:sz w:val="22"/>
          <w:szCs w:val="22"/>
          <w14:ligatures w14:val="none"/>
        </w:rPr>
        <w:t>normalised</w:t>
      </w:r>
      <w:proofErr w:type="spellEnd"/>
      <w:r w:rsidRPr="0047531C">
        <w:rPr>
          <w:rFonts w:eastAsia="Times New Roman" w:cs="Times New Roman"/>
          <w:kern w:val="0"/>
          <w:sz w:val="22"/>
          <w:szCs w:val="22"/>
          <w14:ligatures w14:val="none"/>
        </w:rPr>
        <w:t xml:space="preserve"> environment with grocery stores, cafes, and outdoor spaces, maintaining dignity and daily autonomy. Residents reportedly show </w:t>
      </w:r>
      <w:r w:rsidRPr="0047531C">
        <w:rPr>
          <w:rFonts w:eastAsia="Times New Roman" w:cs="Times New Roman"/>
          <w:kern w:val="0"/>
          <w:sz w:val="22"/>
          <w:szCs w:val="22"/>
          <w14:ligatures w14:val="none"/>
        </w:rPr>
        <w:lastRenderedPageBreak/>
        <w:t>improved well-being and require less medication, a clear indication that design and policy can radically enhance the quality of later life. These examples show that with the right support systems, societies can foster empowered ageing where seniors continue to participate meaningfully in community and economic life. Rather than being a source of decline, a longer life becomes a phase of continued vitality and purpose.</w:t>
      </w:r>
    </w:p>
    <w:p w14:paraId="517D99B5" w14:textId="77777777" w:rsidR="0047531C" w:rsidRDefault="0047531C" w:rsidP="0047531C">
      <w:pPr>
        <w:snapToGrid w:val="0"/>
        <w:spacing w:after="0" w:line="240" w:lineRule="auto"/>
        <w:rPr>
          <w:rFonts w:eastAsia="Times New Roman" w:cs="Times New Roman"/>
          <w:kern w:val="0"/>
          <w:sz w:val="22"/>
          <w:szCs w:val="22"/>
          <w14:ligatures w14:val="none"/>
        </w:rPr>
      </w:pPr>
    </w:p>
    <w:p w14:paraId="0EEBFC0C" w14:textId="5EA3EB0F" w:rsidR="0047531C" w:rsidRPr="0047531C" w:rsidRDefault="0047531C" w:rsidP="0047531C">
      <w:pPr>
        <w:snapToGrid w:val="0"/>
        <w:spacing w:after="0" w:line="240" w:lineRule="auto"/>
        <w:rPr>
          <w:rFonts w:eastAsia="Times New Roman" w:cs="Times New Roman"/>
          <w:kern w:val="0"/>
          <w:sz w:val="22"/>
          <w:szCs w:val="22"/>
          <w14:ligatures w14:val="none"/>
        </w:rPr>
      </w:pPr>
      <w:r w:rsidRPr="0047531C">
        <w:rPr>
          <w:rFonts w:eastAsia="Times New Roman" w:cs="Times New Roman"/>
          <w:b/>
          <w:bCs/>
          <w:kern w:val="0"/>
          <w:sz w:val="22"/>
          <w:szCs w:val="22"/>
          <w14:ligatures w14:val="none"/>
        </w:rPr>
        <w:t>Supporting Viewpoint 1 – Comparison: Financial Dependency vs Economic Asset</w:t>
      </w:r>
    </w:p>
    <w:p w14:paraId="43091C36" w14:textId="77777777" w:rsidR="0047531C" w:rsidRDefault="0047531C" w:rsidP="0047531C">
      <w:pPr>
        <w:snapToGrid w:val="0"/>
        <w:spacing w:after="0" w:line="240" w:lineRule="auto"/>
        <w:rPr>
          <w:rFonts w:eastAsia="Times New Roman" w:cs="Times New Roman"/>
          <w:kern w:val="0"/>
          <w:sz w:val="22"/>
          <w:szCs w:val="22"/>
          <w14:ligatures w14:val="none"/>
        </w:rPr>
      </w:pPr>
    </w:p>
    <w:p w14:paraId="09BCCCA2" w14:textId="7768AC5B" w:rsidR="0047531C" w:rsidRPr="0047531C" w:rsidRDefault="0047531C" w:rsidP="0047531C">
      <w:pPr>
        <w:snapToGrid w:val="0"/>
        <w:spacing w:after="0" w:line="240" w:lineRule="auto"/>
        <w:ind w:firstLine="720"/>
        <w:rPr>
          <w:rFonts w:eastAsia="Times New Roman" w:cs="Times New Roman"/>
          <w:kern w:val="0"/>
          <w:sz w:val="22"/>
          <w:szCs w:val="22"/>
          <w14:ligatures w14:val="none"/>
        </w:rPr>
      </w:pPr>
      <w:r w:rsidRPr="0047531C">
        <w:rPr>
          <w:rFonts w:eastAsia="Times New Roman" w:cs="Times New Roman"/>
          <w:kern w:val="0"/>
          <w:sz w:val="22"/>
          <w:szCs w:val="22"/>
          <w14:ligatures w14:val="none"/>
        </w:rPr>
        <w:t xml:space="preserve">Although increased longevity is often seen as a financial burden on younger generations and public pension systems, this view neglects the economic value that the elderly can offer when provided with meaningful opportunities to contribute. Older individuals possess years of experience and institutional knowledge that can significantly benefit companies and governments. For example, allowing seniors to work longer delays their reliance on pensions and enables them to contribute to the tax base, reducing fiscal pressure on social systems. In Germany, companies like Porsche have embraced this reality by implementing adaptive technologies such as wearable exoskeletons that assist older employees with physically demanding tasks. These innovations allow experienced workers to continue contributing effectively while reducing injury risks. But must society always assume that growing old equates to growing irrelevant? Intergenerational mentorship within workplaces also fosters knowledge transfer and leadership continuity. These strategies not only empower older workers but also benefit </w:t>
      </w:r>
      <w:proofErr w:type="spellStart"/>
      <w:r w:rsidRPr="0047531C">
        <w:rPr>
          <w:rFonts w:eastAsia="Times New Roman" w:cs="Times New Roman"/>
          <w:kern w:val="0"/>
          <w:sz w:val="22"/>
          <w:szCs w:val="22"/>
          <w14:ligatures w14:val="none"/>
        </w:rPr>
        <w:t>organisations</w:t>
      </w:r>
      <w:proofErr w:type="spellEnd"/>
      <w:r w:rsidRPr="0047531C">
        <w:rPr>
          <w:rFonts w:eastAsia="Times New Roman" w:cs="Times New Roman"/>
          <w:kern w:val="0"/>
          <w:sz w:val="22"/>
          <w:szCs w:val="22"/>
          <w14:ligatures w14:val="none"/>
        </w:rPr>
        <w:t xml:space="preserve"> seeking a stable and experienced workforce. The broader insight here is clear: longer life expectancy does not automatically translate into greater economic strain. When older adults are provided with the tools and opportunities to remain engaged, they strengthen rather than weaken economic resilience.</w:t>
      </w:r>
    </w:p>
    <w:p w14:paraId="4DA07FAF" w14:textId="77777777" w:rsidR="0047531C" w:rsidRDefault="0047531C" w:rsidP="0047531C">
      <w:pPr>
        <w:snapToGrid w:val="0"/>
        <w:spacing w:after="0" w:line="240" w:lineRule="auto"/>
        <w:rPr>
          <w:rFonts w:eastAsia="Times New Roman" w:cs="Times New Roman"/>
          <w:b/>
          <w:bCs/>
          <w:kern w:val="0"/>
          <w:sz w:val="22"/>
          <w:szCs w:val="22"/>
          <w14:ligatures w14:val="none"/>
        </w:rPr>
      </w:pPr>
    </w:p>
    <w:p w14:paraId="2B032889" w14:textId="4F8C1F7B" w:rsidR="0047531C" w:rsidRPr="0047531C" w:rsidRDefault="0047531C" w:rsidP="0047531C">
      <w:pPr>
        <w:snapToGrid w:val="0"/>
        <w:spacing w:after="0" w:line="240" w:lineRule="auto"/>
        <w:rPr>
          <w:rFonts w:eastAsia="Times New Roman" w:cs="Times New Roman"/>
          <w:kern w:val="0"/>
          <w:sz w:val="22"/>
          <w:szCs w:val="22"/>
          <w14:ligatures w14:val="none"/>
        </w:rPr>
      </w:pPr>
      <w:r w:rsidRPr="0047531C">
        <w:rPr>
          <w:rFonts w:eastAsia="Times New Roman" w:cs="Times New Roman"/>
          <w:b/>
          <w:bCs/>
          <w:kern w:val="0"/>
          <w:sz w:val="22"/>
          <w:szCs w:val="22"/>
          <w14:ligatures w14:val="none"/>
        </w:rPr>
        <w:t>Supporting Viewpoint 2 – Comparison: Age-Related Decline vs Technological Empowerment</w:t>
      </w:r>
    </w:p>
    <w:p w14:paraId="450434F2" w14:textId="77777777" w:rsidR="0047531C" w:rsidRDefault="0047531C" w:rsidP="0047531C">
      <w:pPr>
        <w:snapToGrid w:val="0"/>
        <w:spacing w:after="0" w:line="240" w:lineRule="auto"/>
        <w:rPr>
          <w:rFonts w:eastAsia="Times New Roman" w:cs="Times New Roman"/>
          <w:kern w:val="0"/>
          <w:sz w:val="22"/>
          <w:szCs w:val="22"/>
          <w14:ligatures w14:val="none"/>
        </w:rPr>
      </w:pPr>
    </w:p>
    <w:p w14:paraId="3336E6C3" w14:textId="05A9252F" w:rsidR="0047531C" w:rsidRPr="0047531C" w:rsidRDefault="0047531C" w:rsidP="0047531C">
      <w:pPr>
        <w:snapToGrid w:val="0"/>
        <w:spacing w:after="0" w:line="240" w:lineRule="auto"/>
        <w:ind w:firstLine="720"/>
        <w:rPr>
          <w:rFonts w:eastAsia="Times New Roman" w:cs="Times New Roman"/>
          <w:kern w:val="0"/>
          <w:sz w:val="22"/>
          <w:szCs w:val="22"/>
          <w14:ligatures w14:val="none"/>
        </w:rPr>
      </w:pPr>
      <w:r w:rsidRPr="0047531C">
        <w:rPr>
          <w:rFonts w:eastAsia="Times New Roman" w:cs="Times New Roman"/>
          <w:kern w:val="0"/>
          <w:sz w:val="22"/>
          <w:szCs w:val="22"/>
          <w14:ligatures w14:val="none"/>
        </w:rPr>
        <w:t xml:space="preserve">Furthermore, while longer life spans are often </w:t>
      </w:r>
      <w:proofErr w:type="spellStart"/>
      <w:r w:rsidRPr="0047531C">
        <w:rPr>
          <w:rFonts w:eastAsia="Times New Roman" w:cs="Times New Roman"/>
          <w:kern w:val="0"/>
          <w:sz w:val="22"/>
          <w:szCs w:val="22"/>
          <w14:ligatures w14:val="none"/>
        </w:rPr>
        <w:t>criticised</w:t>
      </w:r>
      <w:proofErr w:type="spellEnd"/>
      <w:r w:rsidRPr="0047531C">
        <w:rPr>
          <w:rFonts w:eastAsia="Times New Roman" w:cs="Times New Roman"/>
          <w:kern w:val="0"/>
          <w:sz w:val="22"/>
          <w:szCs w:val="22"/>
          <w14:ligatures w14:val="none"/>
        </w:rPr>
        <w:t xml:space="preserve"> due to the inevitability of physical and cognitive decline, recent technological advancements challenge this view by empowering the elderly to maintain independence and a high quality of life in old age. From health monitoring systems to mobility aids, innovations are increasingly designed to meet the unique needs of ageing individuals. At the University of Toronto, the Technologies for Aging Gracefully Lab has developed tools like InTouch, a digital platform that addresses loneliness and mobility impairments by allowing users to connect with others through accessible communication interfaces. The platform also includes large-print and audio-enabled </w:t>
      </w:r>
      <w:proofErr w:type="spellStart"/>
      <w:r w:rsidRPr="0047531C">
        <w:rPr>
          <w:rFonts w:eastAsia="Times New Roman" w:cs="Times New Roman"/>
          <w:kern w:val="0"/>
          <w:sz w:val="22"/>
          <w:szCs w:val="22"/>
          <w14:ligatures w14:val="none"/>
        </w:rPr>
        <w:t>ebooks</w:t>
      </w:r>
      <w:proofErr w:type="spellEnd"/>
      <w:r w:rsidRPr="0047531C">
        <w:rPr>
          <w:rFonts w:eastAsia="Times New Roman" w:cs="Times New Roman"/>
          <w:kern w:val="0"/>
          <w:sz w:val="22"/>
          <w:szCs w:val="22"/>
          <w14:ligatures w14:val="none"/>
        </w:rPr>
        <w:t>, supporting literacy and autonomy for seniors with visual or motor difficulties. Such technologies reduce the need for institutional care, promote mental stimulation, and extend the capacity for self-care. In this way, technology helps reframe old age not as a period of inevitable decline, but as a stage of life where individuals can remain connected, capable, and in control. The implication is that the drawbacks of longer life, such as deteriorating health or isolation, can be significantly mitigated through well-designed technological solutions that preserve human dignity.</w:t>
      </w:r>
    </w:p>
    <w:p w14:paraId="5C39C3B5" w14:textId="77777777" w:rsidR="0047531C" w:rsidRDefault="0047531C" w:rsidP="0047531C">
      <w:pPr>
        <w:snapToGrid w:val="0"/>
        <w:spacing w:after="0" w:line="240" w:lineRule="auto"/>
        <w:rPr>
          <w:rFonts w:eastAsia="Times New Roman" w:cs="Times New Roman"/>
          <w:kern w:val="0"/>
          <w:sz w:val="22"/>
          <w:szCs w:val="22"/>
          <w14:ligatures w14:val="none"/>
        </w:rPr>
      </w:pPr>
    </w:p>
    <w:p w14:paraId="0F5A6C84" w14:textId="4D6FFC95" w:rsidR="0047531C" w:rsidRPr="0047531C" w:rsidRDefault="0047531C" w:rsidP="0047531C">
      <w:pPr>
        <w:snapToGrid w:val="0"/>
        <w:spacing w:after="0" w:line="240" w:lineRule="auto"/>
        <w:rPr>
          <w:rFonts w:eastAsia="Times New Roman" w:cs="Times New Roman"/>
          <w:kern w:val="0"/>
          <w:sz w:val="22"/>
          <w:szCs w:val="22"/>
          <w14:ligatures w14:val="none"/>
        </w:rPr>
      </w:pPr>
      <w:r w:rsidRPr="0047531C">
        <w:rPr>
          <w:rFonts w:eastAsia="Times New Roman" w:cs="Times New Roman"/>
          <w:b/>
          <w:bCs/>
          <w:kern w:val="0"/>
          <w:sz w:val="22"/>
          <w:szCs w:val="22"/>
          <w14:ligatures w14:val="none"/>
        </w:rPr>
        <w:t>Conclusion – Comparative Insight: Population Burden vs Opportunity for Reinvention</w:t>
      </w:r>
    </w:p>
    <w:p w14:paraId="753D6E60" w14:textId="77777777" w:rsidR="0047531C" w:rsidRDefault="0047531C" w:rsidP="0047531C">
      <w:pPr>
        <w:snapToGrid w:val="0"/>
        <w:spacing w:after="0" w:line="240" w:lineRule="auto"/>
        <w:rPr>
          <w:rFonts w:eastAsia="Times New Roman" w:cs="Times New Roman"/>
          <w:kern w:val="0"/>
          <w:sz w:val="22"/>
          <w:szCs w:val="22"/>
          <w14:ligatures w14:val="none"/>
        </w:rPr>
      </w:pPr>
    </w:p>
    <w:p w14:paraId="1B01C3F2" w14:textId="050EA5FF" w:rsidR="0047531C" w:rsidRPr="0047531C" w:rsidRDefault="0047531C" w:rsidP="0047531C">
      <w:pPr>
        <w:snapToGrid w:val="0"/>
        <w:spacing w:after="0" w:line="240" w:lineRule="auto"/>
        <w:ind w:firstLine="720"/>
        <w:rPr>
          <w:rFonts w:eastAsia="Times New Roman" w:cs="Times New Roman"/>
          <w:kern w:val="0"/>
          <w:sz w:val="22"/>
          <w:szCs w:val="22"/>
          <w14:ligatures w14:val="none"/>
        </w:rPr>
      </w:pPr>
      <w:r w:rsidRPr="0047531C">
        <w:rPr>
          <w:rFonts w:eastAsia="Times New Roman" w:cs="Times New Roman"/>
          <w:kern w:val="0"/>
          <w:sz w:val="22"/>
          <w:szCs w:val="22"/>
          <w14:ligatures w14:val="none"/>
        </w:rPr>
        <w:t xml:space="preserve">In evaluating whether longer life expectancy creates more problems than benefits, the answer ultimately lies not in longevity itself, but in the structures that shape the experience of ageing. In societies where the elderly are excluded, under-supported, or devalued, a longer life may indeed extend suffering and deepen inequality. However, where policies foster inclusion, innovation targets age-related challenges, and cultural narratives value lifelong contribution, the </w:t>
      </w:r>
      <w:r w:rsidRPr="0047531C">
        <w:rPr>
          <w:rFonts w:eastAsia="Times New Roman" w:cs="Times New Roman"/>
          <w:kern w:val="0"/>
          <w:sz w:val="22"/>
          <w:szCs w:val="22"/>
          <w14:ligatures w14:val="none"/>
        </w:rPr>
        <w:lastRenderedPageBreak/>
        <w:t xml:space="preserve">elderly can thrive and continue adding value to society. Comparative examples from countries like Singapore, the Netherlands, and Germany demonstrate that the key to </w:t>
      </w:r>
      <w:proofErr w:type="spellStart"/>
      <w:r w:rsidRPr="0047531C">
        <w:rPr>
          <w:rFonts w:eastAsia="Times New Roman" w:cs="Times New Roman"/>
          <w:kern w:val="0"/>
          <w:sz w:val="22"/>
          <w:szCs w:val="22"/>
          <w14:ligatures w14:val="none"/>
        </w:rPr>
        <w:t>maximising</w:t>
      </w:r>
      <w:proofErr w:type="spellEnd"/>
      <w:r w:rsidRPr="0047531C">
        <w:rPr>
          <w:rFonts w:eastAsia="Times New Roman" w:cs="Times New Roman"/>
          <w:kern w:val="0"/>
          <w:sz w:val="22"/>
          <w:szCs w:val="22"/>
          <w14:ligatures w14:val="none"/>
        </w:rPr>
        <w:t xml:space="preserve"> the benefits of longer life is adaptive, forward-looking governance that embraces the full potential of its ageing population. With strategic investment in health, employment, and technology, increased longevity can be a powerful asset that enriches families, communities, and economies alike.</w:t>
      </w:r>
      <w:r>
        <w:rPr>
          <w:rFonts w:eastAsia="Times New Roman" w:cs="Times New Roman"/>
          <w:kern w:val="0"/>
          <w:sz w:val="22"/>
          <w:szCs w:val="22"/>
          <w14:ligatures w14:val="none"/>
        </w:rPr>
        <w:t xml:space="preserve"> (1, 082 words)</w:t>
      </w:r>
    </w:p>
    <w:p w14:paraId="14C1F12C" w14:textId="77777777" w:rsidR="0047531C" w:rsidRPr="0047531C" w:rsidRDefault="0047531C" w:rsidP="0047531C">
      <w:pPr>
        <w:snapToGrid w:val="0"/>
        <w:spacing w:after="0" w:line="240" w:lineRule="auto"/>
        <w:rPr>
          <w:sz w:val="22"/>
          <w:szCs w:val="22"/>
        </w:rPr>
      </w:pPr>
    </w:p>
    <w:sectPr w:rsidR="0047531C" w:rsidRPr="004753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31C"/>
    <w:rsid w:val="0047531C"/>
    <w:rsid w:val="005A3531"/>
    <w:rsid w:val="00950A3C"/>
    <w:rsid w:val="00A65107"/>
    <w:rsid w:val="00DD32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EFDBE"/>
  <w15:chartTrackingRefBased/>
  <w15:docId w15:val="{EF4CCD3B-5702-429F-9B2D-7951AE67A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3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3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3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3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3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3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3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3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3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3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3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3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3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3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3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3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3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31C"/>
    <w:rPr>
      <w:rFonts w:eastAsiaTheme="majorEastAsia" w:cstheme="majorBidi"/>
      <w:color w:val="272727" w:themeColor="text1" w:themeTint="D8"/>
    </w:rPr>
  </w:style>
  <w:style w:type="paragraph" w:styleId="Title">
    <w:name w:val="Title"/>
    <w:basedOn w:val="Normal"/>
    <w:next w:val="Normal"/>
    <w:link w:val="TitleChar"/>
    <w:uiPriority w:val="10"/>
    <w:qFormat/>
    <w:rsid w:val="00475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3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3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31C"/>
    <w:pPr>
      <w:spacing w:before="160"/>
      <w:jc w:val="center"/>
    </w:pPr>
    <w:rPr>
      <w:i/>
      <w:iCs/>
      <w:color w:val="404040" w:themeColor="text1" w:themeTint="BF"/>
    </w:rPr>
  </w:style>
  <w:style w:type="character" w:customStyle="1" w:styleId="QuoteChar">
    <w:name w:val="Quote Char"/>
    <w:basedOn w:val="DefaultParagraphFont"/>
    <w:link w:val="Quote"/>
    <w:uiPriority w:val="29"/>
    <w:rsid w:val="0047531C"/>
    <w:rPr>
      <w:i/>
      <w:iCs/>
      <w:color w:val="404040" w:themeColor="text1" w:themeTint="BF"/>
    </w:rPr>
  </w:style>
  <w:style w:type="paragraph" w:styleId="ListParagraph">
    <w:name w:val="List Paragraph"/>
    <w:basedOn w:val="Normal"/>
    <w:uiPriority w:val="34"/>
    <w:qFormat/>
    <w:rsid w:val="0047531C"/>
    <w:pPr>
      <w:ind w:left="720"/>
      <w:contextualSpacing/>
    </w:pPr>
  </w:style>
  <w:style w:type="character" w:styleId="IntenseEmphasis">
    <w:name w:val="Intense Emphasis"/>
    <w:basedOn w:val="DefaultParagraphFont"/>
    <w:uiPriority w:val="21"/>
    <w:qFormat/>
    <w:rsid w:val="0047531C"/>
    <w:rPr>
      <w:i/>
      <w:iCs/>
      <w:color w:val="0F4761" w:themeColor="accent1" w:themeShade="BF"/>
    </w:rPr>
  </w:style>
  <w:style w:type="paragraph" w:styleId="IntenseQuote">
    <w:name w:val="Intense Quote"/>
    <w:basedOn w:val="Normal"/>
    <w:next w:val="Normal"/>
    <w:link w:val="IntenseQuoteChar"/>
    <w:uiPriority w:val="30"/>
    <w:qFormat/>
    <w:rsid w:val="00475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31C"/>
    <w:rPr>
      <w:i/>
      <w:iCs/>
      <w:color w:val="0F4761" w:themeColor="accent1" w:themeShade="BF"/>
    </w:rPr>
  </w:style>
  <w:style w:type="character" w:styleId="IntenseReference">
    <w:name w:val="Intense Reference"/>
    <w:basedOn w:val="DefaultParagraphFont"/>
    <w:uiPriority w:val="32"/>
    <w:qFormat/>
    <w:rsid w:val="004753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400905">
      <w:bodyDiv w:val="1"/>
      <w:marLeft w:val="0"/>
      <w:marRight w:val="0"/>
      <w:marTop w:val="0"/>
      <w:marBottom w:val="0"/>
      <w:divBdr>
        <w:top w:val="none" w:sz="0" w:space="0" w:color="auto"/>
        <w:left w:val="none" w:sz="0" w:space="0" w:color="auto"/>
        <w:bottom w:val="none" w:sz="0" w:space="0" w:color="auto"/>
        <w:right w:val="none" w:sz="0" w:space="0" w:color="auto"/>
      </w:divBdr>
    </w:div>
    <w:div w:id="1385367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1220</Words>
  <Characters>6955</Characters>
  <Application>Microsoft Office Word</Application>
  <DocSecurity>0</DocSecurity>
  <Lines>57</Lines>
  <Paragraphs>16</Paragraphs>
  <ScaleCrop>false</ScaleCrop>
  <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Chee Leong William (SCHOOLS)</dc:creator>
  <cp:keywords/>
  <dc:description/>
  <cp:lastModifiedBy>Chan Chee Leong William (SCHOOLS)</cp:lastModifiedBy>
  <cp:revision>1</cp:revision>
  <dcterms:created xsi:type="dcterms:W3CDTF">2025-07-31T03:05:00Z</dcterms:created>
  <dcterms:modified xsi:type="dcterms:W3CDTF">2025-07-31T03:11:00Z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2025-07-31T03:11:56Z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1132c5bb-ca8d-4027-9e65-c859ce615aa7</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