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B37D9" w14:textId="77777777" w:rsidR="006557A1" w:rsidRPr="009D1A0A" w:rsidRDefault="006557A1" w:rsidP="006557A1">
      <w:pPr>
        <w:pStyle w:val="NormalWeb"/>
        <w:spacing w:before="0" w:beforeAutospacing="0" w:after="0" w:afterAutospacing="0"/>
        <w:rPr>
          <w:rFonts w:asciiTheme="minorHAnsi" w:hAnsiTheme="minorHAnsi"/>
          <w:sz w:val="20"/>
          <w:szCs w:val="20"/>
        </w:rPr>
      </w:pPr>
    </w:p>
    <w:p w14:paraId="2836D8EF" w14:textId="77777777" w:rsidR="006557A1" w:rsidRPr="009D1A0A" w:rsidRDefault="006557A1" w:rsidP="006557A1">
      <w:pPr>
        <w:tabs>
          <w:tab w:val="left" w:pos="4500"/>
        </w:tabs>
        <w:spacing w:after="0"/>
        <w:ind w:left="48"/>
        <w:jc w:val="both"/>
        <w:rPr>
          <w:rFonts w:eastAsia="Arial" w:cs="Arial"/>
          <w:sz w:val="20"/>
          <w:szCs w:val="20"/>
        </w:rPr>
      </w:pPr>
      <w:r w:rsidRPr="009D1A0A">
        <w:rPr>
          <w:rFonts w:eastAsia="Arial" w:cs="Arial"/>
          <w:sz w:val="20"/>
          <w:szCs w:val="20"/>
        </w:rPr>
        <w:t>The reading passages cover a range of views about the millennials. To what extent are the millennials a positive influence in your society?</w:t>
      </w:r>
    </w:p>
    <w:p w14:paraId="5B2D1B3E" w14:textId="77777777" w:rsidR="006557A1" w:rsidRPr="009D1A0A" w:rsidRDefault="006557A1" w:rsidP="006557A1">
      <w:pPr>
        <w:tabs>
          <w:tab w:val="left" w:pos="4500"/>
        </w:tabs>
        <w:spacing w:after="0"/>
        <w:ind w:left="48"/>
        <w:rPr>
          <w:rFonts w:eastAsia="Arial" w:cs="Arial"/>
          <w:sz w:val="20"/>
          <w:szCs w:val="20"/>
        </w:rPr>
      </w:pPr>
    </w:p>
    <w:p w14:paraId="6C7B123B" w14:textId="77777777" w:rsidR="006557A1" w:rsidRPr="009D1A0A" w:rsidRDefault="006557A1" w:rsidP="006557A1">
      <w:pPr>
        <w:tabs>
          <w:tab w:val="left" w:pos="4500"/>
        </w:tabs>
        <w:spacing w:after="0"/>
        <w:ind w:left="48"/>
        <w:rPr>
          <w:rFonts w:eastAsia="Arial" w:cs="Arial"/>
          <w:sz w:val="20"/>
          <w:szCs w:val="20"/>
        </w:rPr>
      </w:pPr>
      <w:r w:rsidRPr="009D1A0A">
        <w:rPr>
          <w:rFonts w:eastAsia="Arial" w:cs="Arial"/>
          <w:sz w:val="20"/>
          <w:szCs w:val="20"/>
        </w:rPr>
        <w:t>Support your answer with reference to:</w:t>
      </w:r>
    </w:p>
    <w:p w14:paraId="4877532D" w14:textId="77777777" w:rsidR="006557A1" w:rsidRPr="009D1A0A" w:rsidRDefault="006557A1" w:rsidP="006557A1">
      <w:pPr>
        <w:pStyle w:val="ListParagraph"/>
        <w:numPr>
          <w:ilvl w:val="0"/>
          <w:numId w:val="1"/>
        </w:numPr>
        <w:tabs>
          <w:tab w:val="left" w:pos="4500"/>
        </w:tabs>
        <w:spacing w:after="0" w:line="256" w:lineRule="auto"/>
        <w:ind w:left="768"/>
        <w:rPr>
          <w:rFonts w:eastAsia="Arial" w:cs="Arial"/>
          <w:sz w:val="20"/>
          <w:szCs w:val="20"/>
        </w:rPr>
      </w:pPr>
      <w:r w:rsidRPr="009D1A0A">
        <w:rPr>
          <w:rFonts w:eastAsia="Arial" w:cs="Arial"/>
          <w:sz w:val="20"/>
          <w:szCs w:val="20"/>
        </w:rPr>
        <w:t xml:space="preserve">the ideas and opinions from </w:t>
      </w:r>
      <w:r w:rsidRPr="009D1A0A">
        <w:rPr>
          <w:rFonts w:eastAsia="Arial" w:cs="Arial"/>
          <w:b/>
          <w:bCs/>
          <w:sz w:val="20"/>
          <w:szCs w:val="20"/>
        </w:rPr>
        <w:t>at least</w:t>
      </w:r>
      <w:r w:rsidRPr="009D1A0A">
        <w:rPr>
          <w:rFonts w:eastAsia="Arial" w:cs="Arial"/>
          <w:sz w:val="20"/>
          <w:szCs w:val="20"/>
        </w:rPr>
        <w:t xml:space="preserve"> one of the reading passages</w:t>
      </w:r>
    </w:p>
    <w:p w14:paraId="24BEB500" w14:textId="77777777" w:rsidR="006557A1" w:rsidRPr="009D1A0A" w:rsidRDefault="006557A1" w:rsidP="006557A1">
      <w:pPr>
        <w:pStyle w:val="ListParagraph"/>
        <w:numPr>
          <w:ilvl w:val="0"/>
          <w:numId w:val="1"/>
        </w:numPr>
        <w:tabs>
          <w:tab w:val="left" w:pos="4500"/>
          <w:tab w:val="right" w:pos="9652"/>
        </w:tabs>
        <w:spacing w:after="0" w:line="256" w:lineRule="auto"/>
        <w:ind w:left="768"/>
        <w:rPr>
          <w:rFonts w:eastAsia="Arial" w:cs="Arial"/>
          <w:sz w:val="20"/>
          <w:szCs w:val="20"/>
        </w:rPr>
      </w:pPr>
      <w:r w:rsidRPr="009D1A0A">
        <w:rPr>
          <w:rFonts w:eastAsia="Arial" w:cs="Arial"/>
          <w:sz w:val="20"/>
          <w:szCs w:val="20"/>
        </w:rPr>
        <w:t>examples drawn from your own experience and that of your society.</w:t>
      </w:r>
      <w:r w:rsidRPr="009D1A0A">
        <w:rPr>
          <w:rFonts w:cstheme="minorHAnsi"/>
          <w:sz w:val="20"/>
          <w:szCs w:val="20"/>
        </w:rPr>
        <w:t xml:space="preserve">     </w:t>
      </w:r>
      <w:r w:rsidRPr="009D1A0A">
        <w:rPr>
          <w:rFonts w:cstheme="minorHAnsi"/>
          <w:sz w:val="20"/>
          <w:szCs w:val="20"/>
        </w:rPr>
        <w:tab/>
      </w:r>
      <w:r w:rsidRPr="009D1A0A">
        <w:rPr>
          <w:rFonts w:eastAsia="Arial" w:cs="Arial"/>
          <w:sz w:val="20"/>
          <w:szCs w:val="20"/>
        </w:rPr>
        <w:t>[12]</w:t>
      </w:r>
    </w:p>
    <w:p w14:paraId="433277B3" w14:textId="77777777" w:rsidR="006557A1" w:rsidRPr="009D1A0A" w:rsidRDefault="006557A1" w:rsidP="006557A1">
      <w:pPr>
        <w:spacing w:after="0"/>
        <w:rPr>
          <w:sz w:val="20"/>
          <w:szCs w:val="20"/>
          <w:lang w:val="en-SG"/>
        </w:rPr>
      </w:pPr>
    </w:p>
    <w:tbl>
      <w:tblPr>
        <w:tblStyle w:val="TableGrid"/>
        <w:tblW w:w="0" w:type="auto"/>
        <w:tblLook w:val="04A0" w:firstRow="1" w:lastRow="0" w:firstColumn="1" w:lastColumn="0" w:noHBand="0" w:noVBand="1"/>
      </w:tblPr>
      <w:tblGrid>
        <w:gridCol w:w="2689"/>
        <w:gridCol w:w="6661"/>
      </w:tblGrid>
      <w:tr w:rsidR="00FF7636" w:rsidRPr="009D1A0A" w14:paraId="5D781B01" w14:textId="77777777" w:rsidTr="00071E4B">
        <w:tc>
          <w:tcPr>
            <w:tcW w:w="2689" w:type="dxa"/>
          </w:tcPr>
          <w:p w14:paraId="536E105D" w14:textId="77777777" w:rsidR="00FF7636" w:rsidRPr="009D1A0A" w:rsidRDefault="00FF7636" w:rsidP="00F17814">
            <w:pPr>
              <w:pStyle w:val="NormalWeb"/>
              <w:spacing w:before="0" w:beforeAutospacing="0" w:after="0" w:afterAutospacing="0"/>
              <w:ind w:firstLine="408"/>
              <w:jc w:val="both"/>
              <w:rPr>
                <w:rFonts w:asciiTheme="minorHAnsi" w:hAnsiTheme="minorHAnsi"/>
                <w:sz w:val="20"/>
                <w:szCs w:val="20"/>
              </w:rPr>
            </w:pPr>
          </w:p>
        </w:tc>
        <w:tc>
          <w:tcPr>
            <w:tcW w:w="6661" w:type="dxa"/>
          </w:tcPr>
          <w:p w14:paraId="67F8E2BF" w14:textId="634E71BB" w:rsidR="00FF7636" w:rsidRPr="009D1A0A" w:rsidRDefault="00FF7636" w:rsidP="00F17814">
            <w:pPr>
              <w:pStyle w:val="NormalWeb"/>
              <w:spacing w:before="0" w:beforeAutospacing="0" w:after="0" w:afterAutospacing="0"/>
              <w:ind w:firstLine="408"/>
              <w:jc w:val="both"/>
              <w:rPr>
                <w:rFonts w:asciiTheme="minorHAnsi" w:hAnsiTheme="minorHAnsi"/>
                <w:sz w:val="20"/>
                <w:szCs w:val="20"/>
              </w:rPr>
            </w:pPr>
            <w:r w:rsidRPr="009D1A0A">
              <w:rPr>
                <w:rFonts w:asciiTheme="minorHAnsi" w:hAnsiTheme="minorHAnsi"/>
                <w:sz w:val="20"/>
                <w:szCs w:val="20"/>
              </w:rPr>
              <w:t xml:space="preserve">In my view, millennials are a positive influence in Singapore </w:t>
            </w:r>
            <w:r w:rsidRPr="009D1A0A">
              <w:rPr>
                <w:rStyle w:val="Strong"/>
                <w:rFonts w:asciiTheme="minorHAnsi" w:eastAsiaTheme="majorEastAsia" w:hAnsiTheme="minorHAnsi"/>
                <w:b w:val="0"/>
                <w:bCs w:val="0"/>
                <w:sz w:val="20"/>
                <w:szCs w:val="20"/>
              </w:rPr>
              <w:t>to a considerable but qualified extent</w:t>
            </w:r>
            <w:r w:rsidRPr="009D1A0A">
              <w:rPr>
                <w:rFonts w:asciiTheme="minorHAnsi" w:hAnsiTheme="minorHAnsi"/>
                <w:b/>
                <w:bCs/>
                <w:sz w:val="20"/>
                <w:szCs w:val="20"/>
              </w:rPr>
              <w:t>.</w:t>
            </w:r>
            <w:r w:rsidRPr="009D1A0A">
              <w:rPr>
                <w:rFonts w:asciiTheme="minorHAnsi" w:hAnsiTheme="minorHAnsi"/>
                <w:sz w:val="20"/>
                <w:szCs w:val="20"/>
              </w:rPr>
              <w:t xml:space="preserve"> Their attitudes align well with the needs of a small, globally exposed and innovation-driven society, yet the same traits can undermine resilience, depth and social cohesion if left unchecked. Their influence is therefore best seen as </w:t>
            </w:r>
            <w:r w:rsidRPr="009D1A0A">
              <w:rPr>
                <w:rStyle w:val="Strong"/>
                <w:rFonts w:asciiTheme="minorHAnsi" w:eastAsiaTheme="majorEastAsia" w:hAnsiTheme="minorHAnsi"/>
                <w:b w:val="0"/>
                <w:bCs w:val="0"/>
                <w:sz w:val="20"/>
                <w:szCs w:val="20"/>
              </w:rPr>
              <w:t>conditionally beneficial</w:t>
            </w:r>
            <w:r w:rsidRPr="009D1A0A">
              <w:rPr>
                <w:rFonts w:asciiTheme="minorHAnsi" w:hAnsiTheme="minorHAnsi"/>
                <w:sz w:val="20"/>
                <w:szCs w:val="20"/>
              </w:rPr>
              <w:t xml:space="preserve"> rather than automatically so.</w:t>
            </w:r>
          </w:p>
          <w:p w14:paraId="5083704D" w14:textId="77777777" w:rsidR="00FF7636" w:rsidRPr="009D1A0A" w:rsidRDefault="00FF7636" w:rsidP="006557A1">
            <w:pPr>
              <w:rPr>
                <w:sz w:val="20"/>
                <w:szCs w:val="20"/>
                <w:lang w:val="en-SG"/>
              </w:rPr>
            </w:pPr>
          </w:p>
        </w:tc>
      </w:tr>
      <w:tr w:rsidR="00FF7636" w:rsidRPr="009D1A0A" w14:paraId="125460B1" w14:textId="77777777" w:rsidTr="00071E4B">
        <w:tc>
          <w:tcPr>
            <w:tcW w:w="2689" w:type="dxa"/>
          </w:tcPr>
          <w:p w14:paraId="21521C67" w14:textId="77777777" w:rsidR="00FF7636" w:rsidRPr="009D1A0A" w:rsidRDefault="00FF7636" w:rsidP="00F17814">
            <w:pPr>
              <w:pStyle w:val="NormalWeb"/>
              <w:spacing w:before="0" w:beforeAutospacing="0" w:after="0" w:afterAutospacing="0"/>
              <w:ind w:firstLine="408"/>
              <w:jc w:val="both"/>
              <w:rPr>
                <w:rFonts w:asciiTheme="minorHAnsi" w:hAnsiTheme="minorHAnsi"/>
                <w:sz w:val="20"/>
                <w:szCs w:val="20"/>
              </w:rPr>
            </w:pPr>
          </w:p>
        </w:tc>
        <w:tc>
          <w:tcPr>
            <w:tcW w:w="6661" w:type="dxa"/>
          </w:tcPr>
          <w:p w14:paraId="293703A5" w14:textId="40769C2C" w:rsidR="00FF7636" w:rsidRPr="009D1A0A" w:rsidRDefault="00FF7636" w:rsidP="00F17814">
            <w:pPr>
              <w:pStyle w:val="NormalWeb"/>
              <w:spacing w:before="0" w:beforeAutospacing="0" w:after="0" w:afterAutospacing="0"/>
              <w:ind w:firstLine="408"/>
              <w:jc w:val="both"/>
              <w:rPr>
                <w:rFonts w:asciiTheme="minorHAnsi" w:hAnsiTheme="minorHAnsi"/>
                <w:sz w:val="20"/>
                <w:szCs w:val="20"/>
              </w:rPr>
            </w:pPr>
            <w:r w:rsidRPr="009D1A0A">
              <w:rPr>
                <w:rFonts w:asciiTheme="minorHAnsi" w:hAnsiTheme="minorHAnsi"/>
                <w:sz w:val="20"/>
                <w:szCs w:val="20"/>
              </w:rPr>
              <w:t xml:space="preserve">One major area where millennials exert a constructive influence is in </w:t>
            </w:r>
            <w:r w:rsidRPr="009D1A0A">
              <w:rPr>
                <w:rStyle w:val="Strong"/>
                <w:rFonts w:asciiTheme="minorHAnsi" w:eastAsiaTheme="majorEastAsia" w:hAnsiTheme="minorHAnsi"/>
                <w:b w:val="0"/>
                <w:bCs w:val="0"/>
                <w:sz w:val="20"/>
                <w:szCs w:val="20"/>
              </w:rPr>
              <w:t xml:space="preserve">reshaping work culture and economic </w:t>
            </w:r>
            <w:proofErr w:type="spellStart"/>
            <w:r w:rsidRPr="009D1A0A">
              <w:rPr>
                <w:rStyle w:val="Strong"/>
                <w:rFonts w:asciiTheme="minorHAnsi" w:eastAsiaTheme="majorEastAsia" w:hAnsiTheme="minorHAnsi"/>
                <w:b w:val="0"/>
                <w:bCs w:val="0"/>
                <w:sz w:val="20"/>
                <w:szCs w:val="20"/>
              </w:rPr>
              <w:t>behaviour</w:t>
            </w:r>
            <w:proofErr w:type="spellEnd"/>
            <w:r w:rsidRPr="009D1A0A">
              <w:rPr>
                <w:rFonts w:asciiTheme="minorHAnsi" w:hAnsiTheme="minorHAnsi"/>
                <w:b/>
                <w:bCs/>
                <w:sz w:val="20"/>
                <w:szCs w:val="20"/>
              </w:rPr>
              <w:t>,</w:t>
            </w:r>
            <w:r w:rsidRPr="009D1A0A">
              <w:rPr>
                <w:rFonts w:asciiTheme="minorHAnsi" w:hAnsiTheme="minorHAnsi"/>
                <w:sz w:val="20"/>
                <w:szCs w:val="20"/>
              </w:rPr>
              <w:t xml:space="preserve"> particularly through a </w:t>
            </w:r>
            <w:r w:rsidRPr="009D1A0A">
              <w:rPr>
                <w:rStyle w:val="Strong"/>
                <w:rFonts w:asciiTheme="minorHAnsi" w:eastAsiaTheme="majorEastAsia" w:hAnsiTheme="minorHAnsi"/>
                <w:b w:val="0"/>
                <w:bCs w:val="0"/>
                <w:sz w:val="20"/>
                <w:szCs w:val="20"/>
              </w:rPr>
              <w:t>continuous commitment to skills upgrading and greater demand for meaningful work</w:t>
            </w:r>
            <w:r w:rsidRPr="009D1A0A">
              <w:rPr>
                <w:rFonts w:asciiTheme="minorHAnsi" w:hAnsiTheme="minorHAnsi"/>
                <w:b/>
                <w:bCs/>
                <w:sz w:val="20"/>
                <w:szCs w:val="20"/>
              </w:rPr>
              <w:t>.</w:t>
            </w:r>
            <w:r w:rsidRPr="009D1A0A">
              <w:rPr>
                <w:rFonts w:asciiTheme="minorHAnsi" w:hAnsiTheme="minorHAnsi"/>
                <w:sz w:val="20"/>
                <w:szCs w:val="20"/>
              </w:rPr>
              <w:t xml:space="preserve"> Passage 2’s idea that young people are adapting to a changing world is persuasive in the Singapore context, where economic survival depends on continual upgrading. In Singapore, this trend is well-documented as large numbers of workers are actively engaging with </w:t>
            </w:r>
            <w:r w:rsidRPr="009D1A0A">
              <w:rPr>
                <w:rStyle w:val="Strong"/>
                <w:rFonts w:asciiTheme="minorHAnsi" w:eastAsiaTheme="majorEastAsia" w:hAnsiTheme="minorHAnsi"/>
                <w:b w:val="0"/>
                <w:bCs w:val="0"/>
                <w:sz w:val="20"/>
                <w:szCs w:val="20"/>
              </w:rPr>
              <w:t>SkillsFuture Singapore (SSG) initiatives</w:t>
            </w:r>
            <w:r w:rsidRPr="009D1A0A">
              <w:rPr>
                <w:rFonts w:asciiTheme="minorHAnsi" w:hAnsiTheme="minorHAnsi"/>
                <w:b/>
                <w:bCs/>
                <w:sz w:val="20"/>
                <w:szCs w:val="20"/>
              </w:rPr>
              <w:t>,</w:t>
            </w:r>
            <w:r w:rsidRPr="009D1A0A">
              <w:rPr>
                <w:rFonts w:asciiTheme="minorHAnsi" w:hAnsiTheme="minorHAnsi"/>
                <w:sz w:val="20"/>
                <w:szCs w:val="20"/>
              </w:rPr>
              <w:t xml:space="preserve"> </w:t>
            </w:r>
            <w:proofErr w:type="spellStart"/>
            <w:r w:rsidRPr="009D1A0A">
              <w:rPr>
                <w:rFonts w:asciiTheme="minorHAnsi" w:hAnsiTheme="minorHAnsi"/>
                <w:sz w:val="20"/>
                <w:szCs w:val="20"/>
              </w:rPr>
              <w:t>signalling</w:t>
            </w:r>
            <w:proofErr w:type="spellEnd"/>
            <w:r w:rsidRPr="009D1A0A">
              <w:rPr>
                <w:rFonts w:asciiTheme="minorHAnsi" w:hAnsiTheme="minorHAnsi"/>
                <w:sz w:val="20"/>
                <w:szCs w:val="20"/>
              </w:rPr>
              <w:t xml:space="preserve"> that younger adults view employability as an ongoing project rather than a one-off qualification. For example, the </w:t>
            </w:r>
            <w:r w:rsidRPr="009D1A0A">
              <w:rPr>
                <w:rStyle w:val="Strong"/>
                <w:rFonts w:asciiTheme="minorHAnsi" w:eastAsiaTheme="majorEastAsia" w:hAnsiTheme="minorHAnsi"/>
                <w:b w:val="0"/>
                <w:bCs w:val="0"/>
                <w:sz w:val="20"/>
                <w:szCs w:val="20"/>
              </w:rPr>
              <w:t>Careers and Skills Passport</w:t>
            </w:r>
            <w:r w:rsidRPr="009D1A0A">
              <w:rPr>
                <w:rFonts w:asciiTheme="minorHAnsi" w:hAnsiTheme="minorHAnsi"/>
                <w:b/>
                <w:bCs/>
                <w:sz w:val="20"/>
                <w:szCs w:val="20"/>
              </w:rPr>
              <w:t>,</w:t>
            </w:r>
            <w:r w:rsidRPr="009D1A0A">
              <w:rPr>
                <w:rFonts w:asciiTheme="minorHAnsi" w:hAnsiTheme="minorHAnsi"/>
                <w:sz w:val="20"/>
                <w:szCs w:val="20"/>
              </w:rPr>
              <w:t xml:space="preserve"> an SSG-launched digital tool that helps workers consolidate and share verified skills and career records with employers, has already been used by </w:t>
            </w:r>
            <w:r w:rsidRPr="009D1A0A">
              <w:rPr>
                <w:rStyle w:val="Strong"/>
                <w:rFonts w:asciiTheme="minorHAnsi" w:eastAsiaTheme="majorEastAsia" w:hAnsiTheme="minorHAnsi"/>
                <w:b w:val="0"/>
                <w:bCs w:val="0"/>
                <w:sz w:val="20"/>
                <w:szCs w:val="20"/>
              </w:rPr>
              <w:t>over 315,000 Singaporeans</w:t>
            </w:r>
            <w:r w:rsidRPr="009D1A0A">
              <w:rPr>
                <w:rFonts w:asciiTheme="minorHAnsi" w:hAnsiTheme="minorHAnsi"/>
                <w:sz w:val="20"/>
                <w:szCs w:val="20"/>
              </w:rPr>
              <w:t xml:space="preserve"> since its launch in late 2024. It is a significant uptake that reflects how jobseekers increasingly value skills transparency and mobility in the digital economy. Beyond digital tools, participation in </w:t>
            </w:r>
            <w:r w:rsidRPr="009D1A0A">
              <w:rPr>
                <w:rStyle w:val="Strong"/>
                <w:rFonts w:asciiTheme="minorHAnsi" w:eastAsiaTheme="majorEastAsia" w:hAnsiTheme="minorHAnsi"/>
                <w:b w:val="0"/>
                <w:bCs w:val="0"/>
                <w:sz w:val="20"/>
                <w:szCs w:val="20"/>
              </w:rPr>
              <w:t xml:space="preserve">SkillsFuture-supported training </w:t>
            </w:r>
            <w:proofErr w:type="spellStart"/>
            <w:r w:rsidRPr="009D1A0A">
              <w:rPr>
                <w:rStyle w:val="Strong"/>
                <w:rFonts w:asciiTheme="minorHAnsi" w:eastAsiaTheme="majorEastAsia" w:hAnsiTheme="minorHAnsi"/>
                <w:b w:val="0"/>
                <w:bCs w:val="0"/>
                <w:sz w:val="20"/>
                <w:szCs w:val="20"/>
              </w:rPr>
              <w:t>programmes</w:t>
            </w:r>
            <w:proofErr w:type="spellEnd"/>
            <w:r w:rsidRPr="009D1A0A">
              <w:rPr>
                <w:rStyle w:val="Strong"/>
                <w:rFonts w:asciiTheme="minorHAnsi" w:eastAsiaTheme="majorEastAsia" w:hAnsiTheme="minorHAnsi"/>
                <w:b w:val="0"/>
                <w:bCs w:val="0"/>
                <w:sz w:val="20"/>
                <w:szCs w:val="20"/>
              </w:rPr>
              <w:t xml:space="preserve"> remains strong</w:t>
            </w:r>
            <w:r w:rsidRPr="009D1A0A">
              <w:rPr>
                <w:rFonts w:asciiTheme="minorHAnsi" w:hAnsiTheme="minorHAnsi"/>
                <w:sz w:val="20"/>
                <w:szCs w:val="20"/>
              </w:rPr>
              <w:t xml:space="preserve"> across the workforce. In 2024, about </w:t>
            </w:r>
            <w:r w:rsidRPr="009D1A0A">
              <w:rPr>
                <w:rStyle w:val="Strong"/>
                <w:rFonts w:asciiTheme="minorHAnsi" w:eastAsiaTheme="majorEastAsia" w:hAnsiTheme="minorHAnsi"/>
                <w:b w:val="0"/>
                <w:bCs w:val="0"/>
                <w:sz w:val="20"/>
                <w:szCs w:val="20"/>
              </w:rPr>
              <w:t xml:space="preserve">555,000 individuals participated in SSG </w:t>
            </w:r>
            <w:proofErr w:type="spellStart"/>
            <w:r w:rsidRPr="009D1A0A">
              <w:rPr>
                <w:rStyle w:val="Strong"/>
                <w:rFonts w:asciiTheme="minorHAnsi" w:eastAsiaTheme="majorEastAsia" w:hAnsiTheme="minorHAnsi"/>
                <w:b w:val="0"/>
                <w:bCs w:val="0"/>
                <w:sz w:val="20"/>
                <w:szCs w:val="20"/>
              </w:rPr>
              <w:t>programmes</w:t>
            </w:r>
            <w:proofErr w:type="spellEnd"/>
            <w:r w:rsidRPr="009D1A0A">
              <w:rPr>
                <w:rFonts w:asciiTheme="minorHAnsi" w:hAnsiTheme="minorHAnsi"/>
                <w:b/>
                <w:bCs/>
                <w:sz w:val="20"/>
                <w:szCs w:val="20"/>
              </w:rPr>
              <w:t>,</w:t>
            </w:r>
            <w:r w:rsidRPr="009D1A0A">
              <w:rPr>
                <w:rFonts w:asciiTheme="minorHAnsi" w:hAnsiTheme="minorHAnsi"/>
                <w:sz w:val="20"/>
                <w:szCs w:val="20"/>
              </w:rPr>
              <w:t xml:space="preserve"> with those aged 30–49 among the most active users of their SkillsFuture credits, demonstrating that mid-career and younger workers alike are refreshing their skills to stay relevant in a rapidly transforming labour market. These shifts align with broader labour market sentiments. Surveys on work attitudes in Singapore reveal that </w:t>
            </w:r>
            <w:r w:rsidRPr="009D1A0A">
              <w:rPr>
                <w:rStyle w:val="Strong"/>
                <w:rFonts w:asciiTheme="minorHAnsi" w:eastAsiaTheme="majorEastAsia" w:hAnsiTheme="minorHAnsi"/>
                <w:b w:val="0"/>
                <w:bCs w:val="0"/>
                <w:sz w:val="20"/>
                <w:szCs w:val="20"/>
              </w:rPr>
              <w:t xml:space="preserve">millennials and </w:t>
            </w:r>
            <w:proofErr w:type="spellStart"/>
            <w:r w:rsidRPr="009D1A0A">
              <w:rPr>
                <w:rStyle w:val="Strong"/>
                <w:rFonts w:asciiTheme="minorHAnsi" w:eastAsiaTheme="majorEastAsia" w:hAnsiTheme="minorHAnsi"/>
                <w:b w:val="0"/>
                <w:bCs w:val="0"/>
                <w:sz w:val="20"/>
                <w:szCs w:val="20"/>
              </w:rPr>
              <w:t>Gen</w:t>
            </w:r>
            <w:proofErr w:type="spellEnd"/>
            <w:r w:rsidRPr="009D1A0A">
              <w:rPr>
                <w:rStyle w:val="Strong"/>
                <w:rFonts w:asciiTheme="minorHAnsi" w:eastAsiaTheme="majorEastAsia" w:hAnsiTheme="minorHAnsi"/>
                <w:b w:val="0"/>
                <w:bCs w:val="0"/>
                <w:sz w:val="20"/>
                <w:szCs w:val="20"/>
              </w:rPr>
              <w:t xml:space="preserve"> Z place a strong emphasis on factors such as work-life balance and meaningful work</w:t>
            </w:r>
            <w:r w:rsidRPr="009D1A0A">
              <w:rPr>
                <w:rFonts w:asciiTheme="minorHAnsi" w:hAnsiTheme="minorHAnsi"/>
                <w:sz w:val="20"/>
                <w:szCs w:val="20"/>
              </w:rPr>
              <w:t xml:space="preserve"> over traditional markers like salary or hierarchical progression, underlining a generational push toward more flexible, purpose-filled, and skills-oriented careers. Together, this evidence supports the claim that millennials in Singapore are not only </w:t>
            </w:r>
            <w:r w:rsidRPr="009D1A0A">
              <w:rPr>
                <w:rStyle w:val="Strong"/>
                <w:rFonts w:asciiTheme="minorHAnsi" w:eastAsiaTheme="majorEastAsia" w:hAnsiTheme="minorHAnsi"/>
                <w:b w:val="0"/>
                <w:bCs w:val="0"/>
                <w:sz w:val="20"/>
                <w:szCs w:val="20"/>
              </w:rPr>
              <w:t>actively adapting to change</w:t>
            </w:r>
            <w:r w:rsidRPr="009D1A0A">
              <w:rPr>
                <w:rFonts w:asciiTheme="minorHAnsi" w:hAnsiTheme="minorHAnsi"/>
                <w:sz w:val="20"/>
                <w:szCs w:val="20"/>
              </w:rPr>
              <w:t xml:space="preserve"> but are also driving </w:t>
            </w:r>
            <w:proofErr w:type="spellStart"/>
            <w:r w:rsidRPr="009D1A0A">
              <w:rPr>
                <w:rStyle w:val="Strong"/>
                <w:rFonts w:asciiTheme="minorHAnsi" w:eastAsiaTheme="majorEastAsia" w:hAnsiTheme="minorHAnsi"/>
                <w:b w:val="0"/>
                <w:bCs w:val="0"/>
                <w:sz w:val="20"/>
                <w:szCs w:val="20"/>
              </w:rPr>
              <w:t>skill-centred</w:t>
            </w:r>
            <w:proofErr w:type="spellEnd"/>
            <w:r w:rsidRPr="009D1A0A">
              <w:rPr>
                <w:rStyle w:val="Strong"/>
                <w:rFonts w:asciiTheme="minorHAnsi" w:eastAsiaTheme="majorEastAsia" w:hAnsiTheme="minorHAnsi"/>
                <w:b w:val="0"/>
                <w:bCs w:val="0"/>
                <w:sz w:val="20"/>
                <w:szCs w:val="20"/>
              </w:rPr>
              <w:t xml:space="preserve"> labour mobility and expectations for improved work environments</w:t>
            </w:r>
            <w:r w:rsidRPr="009D1A0A">
              <w:rPr>
                <w:rFonts w:asciiTheme="minorHAnsi" w:hAnsiTheme="minorHAnsi"/>
                <w:sz w:val="20"/>
                <w:szCs w:val="20"/>
              </w:rPr>
              <w:t>, as workers increasingly seek employers who support continuous learning and holistic career growth.</w:t>
            </w:r>
          </w:p>
          <w:p w14:paraId="63B0D7D1" w14:textId="77777777" w:rsidR="00FF7636" w:rsidRPr="009D1A0A" w:rsidRDefault="00FF7636" w:rsidP="00F17814">
            <w:pPr>
              <w:jc w:val="both"/>
              <w:rPr>
                <w:sz w:val="20"/>
                <w:szCs w:val="20"/>
                <w:lang w:val="en-SG"/>
              </w:rPr>
            </w:pPr>
          </w:p>
        </w:tc>
      </w:tr>
      <w:tr w:rsidR="00FF7636" w:rsidRPr="009D1A0A" w14:paraId="1DA5EEF0" w14:textId="77777777" w:rsidTr="00071E4B">
        <w:tc>
          <w:tcPr>
            <w:tcW w:w="2689" w:type="dxa"/>
          </w:tcPr>
          <w:p w14:paraId="4F85E29E" w14:textId="77777777" w:rsidR="00FF7636" w:rsidRPr="009D1A0A" w:rsidRDefault="00FF7636" w:rsidP="00F17814">
            <w:pPr>
              <w:ind w:firstLine="408"/>
              <w:jc w:val="both"/>
              <w:rPr>
                <w:rFonts w:eastAsia="Times New Roman" w:cs="Times New Roman"/>
                <w:kern w:val="0"/>
                <w:sz w:val="20"/>
                <w:szCs w:val="20"/>
                <w14:ligatures w14:val="none"/>
              </w:rPr>
            </w:pPr>
          </w:p>
        </w:tc>
        <w:tc>
          <w:tcPr>
            <w:tcW w:w="6661" w:type="dxa"/>
          </w:tcPr>
          <w:p w14:paraId="5D22E812" w14:textId="66185BC8" w:rsidR="00FF7636" w:rsidRPr="009D1A0A" w:rsidRDefault="00FF7636" w:rsidP="00F17814">
            <w:pPr>
              <w:ind w:firstLine="408"/>
              <w:jc w:val="both"/>
              <w:rPr>
                <w:rFonts w:eastAsia="Times New Roman" w:cs="Times New Roman"/>
                <w:kern w:val="0"/>
                <w:sz w:val="20"/>
                <w:szCs w:val="20"/>
                <w14:ligatures w14:val="none"/>
              </w:rPr>
            </w:pPr>
            <w:r w:rsidRPr="009D1A0A">
              <w:rPr>
                <w:rFonts w:eastAsia="Times New Roman" w:cs="Times New Roman"/>
                <w:kern w:val="0"/>
                <w:sz w:val="20"/>
                <w:szCs w:val="20"/>
                <w14:ligatures w14:val="none"/>
              </w:rPr>
              <w:t xml:space="preserve">However, this influence is positive only to the extent that mobility reflects strategic growth rather than impatience. In Singapore, the “always ready to move” mindset is real: a </w:t>
            </w:r>
            <w:r w:rsidRPr="009D1A0A">
              <w:rPr>
                <w:rFonts w:eastAsia="Times New Roman" w:cs="Times New Roman"/>
                <w:i/>
                <w:iCs/>
                <w:kern w:val="0"/>
                <w:sz w:val="20"/>
                <w:szCs w:val="20"/>
                <w14:ligatures w14:val="none"/>
              </w:rPr>
              <w:t>LinkedIn</w:t>
            </w:r>
            <w:r w:rsidRPr="009D1A0A">
              <w:rPr>
                <w:rFonts w:eastAsia="Times New Roman" w:cs="Times New Roman"/>
                <w:kern w:val="0"/>
                <w:sz w:val="20"/>
                <w:szCs w:val="20"/>
                <w14:ligatures w14:val="none"/>
              </w:rPr>
              <w:t xml:space="preserve"> poll reported by </w:t>
            </w:r>
            <w:r w:rsidRPr="009D1A0A">
              <w:rPr>
                <w:rFonts w:eastAsia="Times New Roman" w:cs="Times New Roman"/>
                <w:i/>
                <w:iCs/>
                <w:kern w:val="0"/>
                <w:sz w:val="20"/>
                <w:szCs w:val="20"/>
                <w14:ligatures w14:val="none"/>
              </w:rPr>
              <w:t>The Straits Times</w:t>
            </w:r>
            <w:r w:rsidRPr="009D1A0A">
              <w:rPr>
                <w:rFonts w:eastAsia="Times New Roman" w:cs="Times New Roman"/>
                <w:kern w:val="0"/>
                <w:sz w:val="20"/>
                <w:szCs w:val="20"/>
                <w14:ligatures w14:val="none"/>
              </w:rPr>
              <w:t xml:space="preserve"> found that 86% of over 1,000 professionals here were considering a new job in 2024, with better pay and work-life balance among the top motivations. Even though actual switching has cooled (MOM data reported by </w:t>
            </w:r>
            <w:r w:rsidRPr="009D1A0A">
              <w:rPr>
                <w:rFonts w:eastAsia="Times New Roman" w:cs="Times New Roman"/>
                <w:i/>
                <w:iCs/>
                <w:kern w:val="0"/>
                <w:sz w:val="20"/>
                <w:szCs w:val="20"/>
                <w14:ligatures w14:val="none"/>
              </w:rPr>
              <w:t>The Straits Times</w:t>
            </w:r>
            <w:r w:rsidRPr="009D1A0A">
              <w:rPr>
                <w:rFonts w:eastAsia="Times New Roman" w:cs="Times New Roman"/>
                <w:kern w:val="0"/>
                <w:sz w:val="20"/>
                <w:szCs w:val="20"/>
                <w14:ligatures w14:val="none"/>
              </w:rPr>
              <w:t xml:space="preserve"> shows the share of employed residents who changed jobs fell from 7.6% in 2024 to 6.2% in 2025, and younger workers still switch more as they “explore career options”), the underlying preference for mobility can still weaken institutional continuity. This risk is sharper in people-intensive sectors where relationships and tacit knowledge matter: for instance, public healthcare continues to track attrition closely, with MOH reporting entry-level nurse attrition at 8.5% in 2024 (and higher rates for some support care roles), underscoring how turnover can strain service stability. Thus, millennials’ flexible mindset can improve Singapore’s adaptability, yet may simultaneously dilute the depth and long-term commitment that complex </w:t>
            </w:r>
            <w:proofErr w:type="spellStart"/>
            <w:r w:rsidRPr="009D1A0A">
              <w:rPr>
                <w:rFonts w:eastAsia="Times New Roman" w:cs="Times New Roman"/>
                <w:kern w:val="0"/>
                <w:sz w:val="20"/>
                <w:szCs w:val="20"/>
                <w14:ligatures w14:val="none"/>
              </w:rPr>
              <w:t>organisations</w:t>
            </w:r>
            <w:proofErr w:type="spellEnd"/>
            <w:r w:rsidRPr="009D1A0A">
              <w:rPr>
                <w:rFonts w:eastAsia="Times New Roman" w:cs="Times New Roman"/>
                <w:kern w:val="0"/>
                <w:sz w:val="20"/>
                <w:szCs w:val="20"/>
                <w14:ligatures w14:val="none"/>
              </w:rPr>
              <w:t xml:space="preserve"> require.</w:t>
            </w:r>
          </w:p>
          <w:p w14:paraId="4A0E3221" w14:textId="77777777" w:rsidR="00FF7636" w:rsidRPr="009D1A0A" w:rsidRDefault="00FF7636" w:rsidP="00F17814">
            <w:pPr>
              <w:jc w:val="both"/>
              <w:rPr>
                <w:sz w:val="20"/>
                <w:szCs w:val="20"/>
                <w:lang w:val="en-SG"/>
              </w:rPr>
            </w:pPr>
          </w:p>
        </w:tc>
      </w:tr>
      <w:tr w:rsidR="00071E4B" w:rsidRPr="009D1A0A" w14:paraId="61DE08A3" w14:textId="77777777" w:rsidTr="00071E4B">
        <w:tc>
          <w:tcPr>
            <w:tcW w:w="2689" w:type="dxa"/>
          </w:tcPr>
          <w:p w14:paraId="04E09817" w14:textId="77777777" w:rsidR="00071E4B" w:rsidRPr="009D1A0A" w:rsidRDefault="00071E4B" w:rsidP="00F17814">
            <w:pPr>
              <w:pStyle w:val="NormalWeb"/>
              <w:spacing w:before="0" w:beforeAutospacing="0" w:after="0" w:afterAutospacing="0"/>
              <w:jc w:val="both"/>
              <w:rPr>
                <w:rFonts w:asciiTheme="minorHAnsi" w:hAnsiTheme="minorHAnsi"/>
                <w:sz w:val="20"/>
                <w:szCs w:val="20"/>
              </w:rPr>
            </w:pPr>
          </w:p>
        </w:tc>
        <w:tc>
          <w:tcPr>
            <w:tcW w:w="6661" w:type="dxa"/>
          </w:tcPr>
          <w:p w14:paraId="7B38C461" w14:textId="77777777" w:rsidR="00071E4B" w:rsidRPr="009D1A0A" w:rsidRDefault="00071E4B" w:rsidP="00F17814">
            <w:pPr>
              <w:pStyle w:val="NormalWeb"/>
              <w:spacing w:before="0" w:beforeAutospacing="0" w:after="0" w:afterAutospacing="0"/>
              <w:jc w:val="both"/>
              <w:rPr>
                <w:rFonts w:asciiTheme="minorHAnsi" w:hAnsiTheme="minorHAnsi"/>
                <w:sz w:val="20"/>
                <w:szCs w:val="20"/>
              </w:rPr>
            </w:pPr>
            <w:r w:rsidRPr="009D1A0A">
              <w:rPr>
                <w:rFonts w:asciiTheme="minorHAnsi" w:hAnsiTheme="minorHAnsi"/>
                <w:sz w:val="20"/>
                <w:szCs w:val="20"/>
              </w:rPr>
              <w:t xml:space="preserve">A second domain of positive influence lies in </w:t>
            </w:r>
            <w:r w:rsidRPr="009D1A0A">
              <w:rPr>
                <w:rStyle w:val="Strong"/>
                <w:rFonts w:asciiTheme="minorHAnsi" w:eastAsiaTheme="majorEastAsia" w:hAnsiTheme="minorHAnsi"/>
                <w:b w:val="0"/>
                <w:bCs w:val="0"/>
                <w:sz w:val="20"/>
                <w:szCs w:val="20"/>
              </w:rPr>
              <w:t>social attitudes</w:t>
            </w:r>
            <w:r w:rsidRPr="009D1A0A">
              <w:rPr>
                <w:rFonts w:asciiTheme="minorHAnsi" w:hAnsiTheme="minorHAnsi"/>
                <w:b/>
                <w:bCs/>
                <w:sz w:val="20"/>
                <w:szCs w:val="20"/>
              </w:rPr>
              <w:t>.</w:t>
            </w:r>
            <w:r w:rsidRPr="009D1A0A">
              <w:rPr>
                <w:rFonts w:asciiTheme="minorHAnsi" w:hAnsiTheme="minorHAnsi"/>
                <w:sz w:val="20"/>
                <w:szCs w:val="20"/>
              </w:rPr>
              <w:t xml:space="preserve"> Passage 2’s claim that younger people tend to be less racist and more socially engaged resonates in Singapore, where </w:t>
            </w:r>
            <w:r w:rsidRPr="009D1A0A">
              <w:rPr>
                <w:rStyle w:val="Strong"/>
                <w:rFonts w:asciiTheme="minorHAnsi" w:eastAsiaTheme="majorEastAsia" w:hAnsiTheme="minorHAnsi"/>
                <w:b w:val="0"/>
                <w:bCs w:val="0"/>
                <w:sz w:val="20"/>
                <w:szCs w:val="20"/>
              </w:rPr>
              <w:t xml:space="preserve">millennials and </w:t>
            </w:r>
            <w:proofErr w:type="spellStart"/>
            <w:r w:rsidRPr="009D1A0A">
              <w:rPr>
                <w:rStyle w:val="Strong"/>
                <w:rFonts w:asciiTheme="minorHAnsi" w:eastAsiaTheme="majorEastAsia" w:hAnsiTheme="minorHAnsi"/>
                <w:b w:val="0"/>
                <w:bCs w:val="0"/>
                <w:sz w:val="20"/>
                <w:szCs w:val="20"/>
              </w:rPr>
              <w:t>Gen</w:t>
            </w:r>
            <w:proofErr w:type="spellEnd"/>
            <w:r w:rsidRPr="009D1A0A">
              <w:rPr>
                <w:rStyle w:val="Strong"/>
                <w:rFonts w:asciiTheme="minorHAnsi" w:eastAsiaTheme="majorEastAsia" w:hAnsiTheme="minorHAnsi"/>
                <w:b w:val="0"/>
                <w:bCs w:val="0"/>
                <w:sz w:val="20"/>
                <w:szCs w:val="20"/>
              </w:rPr>
              <w:t xml:space="preserve"> Z often lead conversations on inclusion, mental health and social justice</w:t>
            </w:r>
            <w:r w:rsidRPr="009D1A0A">
              <w:rPr>
                <w:rFonts w:asciiTheme="minorHAnsi" w:hAnsiTheme="minorHAnsi"/>
                <w:b/>
                <w:bCs/>
                <w:sz w:val="20"/>
                <w:szCs w:val="20"/>
              </w:rPr>
              <w:t>.</w:t>
            </w:r>
            <w:r w:rsidRPr="009D1A0A">
              <w:rPr>
                <w:rFonts w:asciiTheme="minorHAnsi" w:hAnsiTheme="minorHAnsi"/>
                <w:sz w:val="20"/>
                <w:szCs w:val="20"/>
              </w:rPr>
              <w:t xml:space="preserve"> According to the </w:t>
            </w:r>
            <w:r w:rsidRPr="009D1A0A">
              <w:rPr>
                <w:rStyle w:val="Emphasis"/>
                <w:rFonts w:asciiTheme="minorHAnsi" w:eastAsiaTheme="majorEastAsia" w:hAnsiTheme="minorHAnsi"/>
                <w:sz w:val="20"/>
                <w:szCs w:val="20"/>
              </w:rPr>
              <w:t>National Youth Survey</w:t>
            </w:r>
            <w:r w:rsidRPr="009D1A0A">
              <w:rPr>
                <w:rFonts w:asciiTheme="minorHAnsi" w:hAnsiTheme="minorHAnsi"/>
                <w:sz w:val="20"/>
                <w:szCs w:val="20"/>
              </w:rPr>
              <w:t xml:space="preserve"> by the National Youth Council, a significant proportion of young people in Singapore view </w:t>
            </w:r>
            <w:r w:rsidRPr="009D1A0A">
              <w:rPr>
                <w:rStyle w:val="Strong"/>
                <w:rFonts w:asciiTheme="minorHAnsi" w:eastAsiaTheme="majorEastAsia" w:hAnsiTheme="minorHAnsi"/>
                <w:b w:val="0"/>
                <w:bCs w:val="0"/>
                <w:sz w:val="20"/>
                <w:szCs w:val="20"/>
              </w:rPr>
              <w:t>contributing to society as a very important life goal</w:t>
            </w:r>
            <w:r w:rsidRPr="009D1A0A">
              <w:rPr>
                <w:rFonts w:asciiTheme="minorHAnsi" w:hAnsiTheme="minorHAnsi"/>
                <w:sz w:val="20"/>
                <w:szCs w:val="20"/>
              </w:rPr>
              <w:t xml:space="preserve">, with </w:t>
            </w:r>
            <w:r w:rsidRPr="009D1A0A">
              <w:rPr>
                <w:rStyle w:val="Strong"/>
                <w:rFonts w:asciiTheme="minorHAnsi" w:eastAsiaTheme="majorEastAsia" w:hAnsiTheme="minorHAnsi"/>
                <w:b w:val="0"/>
                <w:bCs w:val="0"/>
                <w:sz w:val="20"/>
                <w:szCs w:val="20"/>
              </w:rPr>
              <w:t>about 90 % agreeing that helping the less fortunate and supporting social causes matters</w:t>
            </w:r>
            <w:r w:rsidRPr="009D1A0A">
              <w:rPr>
                <w:rFonts w:asciiTheme="minorHAnsi" w:hAnsiTheme="minorHAnsi"/>
                <w:b/>
                <w:bCs/>
                <w:sz w:val="20"/>
                <w:szCs w:val="20"/>
              </w:rPr>
              <w:t>,</w:t>
            </w:r>
            <w:r w:rsidRPr="009D1A0A">
              <w:rPr>
                <w:rFonts w:asciiTheme="minorHAnsi" w:hAnsiTheme="minorHAnsi"/>
                <w:sz w:val="20"/>
                <w:szCs w:val="20"/>
              </w:rPr>
              <w:t xml:space="preserve"> </w:t>
            </w:r>
            <w:proofErr w:type="spellStart"/>
            <w:r w:rsidRPr="009D1A0A">
              <w:rPr>
                <w:rFonts w:asciiTheme="minorHAnsi" w:hAnsiTheme="minorHAnsi"/>
                <w:sz w:val="20"/>
                <w:szCs w:val="20"/>
              </w:rPr>
              <w:t>signalling</w:t>
            </w:r>
            <w:proofErr w:type="spellEnd"/>
            <w:r w:rsidRPr="009D1A0A">
              <w:rPr>
                <w:rFonts w:asciiTheme="minorHAnsi" w:hAnsiTheme="minorHAnsi"/>
                <w:sz w:val="20"/>
                <w:szCs w:val="20"/>
              </w:rPr>
              <w:t xml:space="preserve"> a strong generational commitment beyond personal advancement. Research on youth civic engagement also shows that Singapore’s young adults are increasingly willing to participate in activities that address societal issues, from volunteering to advocacy, with </w:t>
            </w:r>
            <w:r w:rsidRPr="009D1A0A">
              <w:rPr>
                <w:rStyle w:val="Strong"/>
                <w:rFonts w:asciiTheme="minorHAnsi" w:eastAsiaTheme="majorEastAsia" w:hAnsiTheme="minorHAnsi"/>
                <w:b w:val="0"/>
                <w:bCs w:val="0"/>
                <w:sz w:val="20"/>
                <w:szCs w:val="20"/>
              </w:rPr>
              <w:t>88 % of youths reporting involvement in at least one type of civic activity such as donating to causes, attending discussions, or raising awareness online or offline</w:t>
            </w:r>
            <w:r w:rsidRPr="009D1A0A">
              <w:rPr>
                <w:rFonts w:asciiTheme="minorHAnsi" w:hAnsiTheme="minorHAnsi"/>
                <w:sz w:val="20"/>
                <w:szCs w:val="20"/>
              </w:rPr>
              <w:t xml:space="preserve">, demonstrating a marked increase from earlier years. These patterns are reflected in grassroots activism too: many young Singaporeans engage with environmental and social movements such as </w:t>
            </w:r>
            <w:r w:rsidRPr="009D1A0A">
              <w:rPr>
                <w:rStyle w:val="Strong"/>
                <w:rFonts w:asciiTheme="minorHAnsi" w:eastAsiaTheme="majorEastAsia" w:hAnsiTheme="minorHAnsi"/>
                <w:b w:val="0"/>
                <w:bCs w:val="0"/>
                <w:sz w:val="20"/>
                <w:szCs w:val="20"/>
              </w:rPr>
              <w:t>youth climate action groups</w:t>
            </w:r>
            <w:r w:rsidRPr="009D1A0A">
              <w:rPr>
                <w:rFonts w:asciiTheme="minorHAnsi" w:hAnsiTheme="minorHAnsi"/>
                <w:b/>
                <w:bCs/>
                <w:sz w:val="20"/>
                <w:szCs w:val="20"/>
              </w:rPr>
              <w:t xml:space="preserve"> </w:t>
            </w:r>
            <w:r w:rsidRPr="009D1A0A">
              <w:rPr>
                <w:rFonts w:asciiTheme="minorHAnsi" w:hAnsiTheme="minorHAnsi"/>
                <w:sz w:val="20"/>
                <w:szCs w:val="20"/>
              </w:rPr>
              <w:t xml:space="preserve">and support platforms like </w:t>
            </w:r>
            <w:r w:rsidRPr="009D1A0A">
              <w:rPr>
                <w:rStyle w:val="Strong"/>
                <w:rFonts w:asciiTheme="minorHAnsi" w:eastAsiaTheme="majorEastAsia" w:hAnsiTheme="minorHAnsi"/>
                <w:b w:val="0"/>
                <w:bCs w:val="0"/>
                <w:sz w:val="20"/>
                <w:szCs w:val="20"/>
              </w:rPr>
              <w:t>Giving.sg</w:t>
            </w:r>
            <w:r w:rsidRPr="009D1A0A">
              <w:rPr>
                <w:rFonts w:asciiTheme="minorHAnsi" w:hAnsiTheme="minorHAnsi"/>
                <w:sz w:val="20"/>
                <w:szCs w:val="20"/>
              </w:rPr>
              <w:t xml:space="preserve"> for fundraising and volunteering, showing a readiness to translate concern into action. In workplaces and schools, younger Singaporeans are generally more comfortable in </w:t>
            </w:r>
            <w:r w:rsidRPr="009D1A0A">
              <w:rPr>
                <w:rStyle w:val="Strong"/>
                <w:rFonts w:asciiTheme="minorHAnsi" w:eastAsiaTheme="majorEastAsia" w:hAnsiTheme="minorHAnsi"/>
                <w:b w:val="0"/>
                <w:bCs w:val="0"/>
                <w:sz w:val="20"/>
                <w:szCs w:val="20"/>
              </w:rPr>
              <w:t>diverse teams and challenging insensitive language</w:t>
            </w:r>
            <w:r w:rsidRPr="009D1A0A">
              <w:rPr>
                <w:rFonts w:asciiTheme="minorHAnsi" w:hAnsiTheme="minorHAnsi"/>
                <w:b/>
                <w:bCs/>
                <w:sz w:val="20"/>
                <w:szCs w:val="20"/>
              </w:rPr>
              <w:t>,</w:t>
            </w:r>
            <w:r w:rsidRPr="009D1A0A">
              <w:rPr>
                <w:rFonts w:asciiTheme="minorHAnsi" w:hAnsiTheme="minorHAnsi"/>
                <w:sz w:val="20"/>
                <w:szCs w:val="20"/>
              </w:rPr>
              <w:t xml:space="preserve"> shaped by broader national discussions on inclusion and evolving norms around identity and belonging. The repeal of discriminatory laws such as Section 377A, a milestone for LGBTQ rights in Singapore, and parallel advocacy efforts have been backed by strong public support among younger cohorts and further demonstrate how shifting social attitudes among millennials contribute to broader societal openness.</w:t>
            </w:r>
          </w:p>
          <w:p w14:paraId="37375C55" w14:textId="1AE93803" w:rsidR="00071E4B" w:rsidRPr="009D1A0A" w:rsidRDefault="00071E4B" w:rsidP="00F17814">
            <w:pPr>
              <w:pStyle w:val="NormalWeb"/>
              <w:spacing w:before="0" w:beforeAutospacing="0" w:after="0" w:afterAutospacing="0"/>
              <w:jc w:val="both"/>
              <w:rPr>
                <w:rFonts w:asciiTheme="minorHAnsi" w:hAnsiTheme="minorHAnsi"/>
                <w:sz w:val="20"/>
                <w:szCs w:val="20"/>
              </w:rPr>
            </w:pPr>
          </w:p>
        </w:tc>
      </w:tr>
      <w:tr w:rsidR="00FF7636" w:rsidRPr="009D1A0A" w14:paraId="3D6CFDD5" w14:textId="77777777" w:rsidTr="00071E4B">
        <w:tc>
          <w:tcPr>
            <w:tcW w:w="2689" w:type="dxa"/>
          </w:tcPr>
          <w:p w14:paraId="25281EEB" w14:textId="77777777" w:rsidR="00FF7636" w:rsidRPr="009D1A0A" w:rsidRDefault="00FF7636" w:rsidP="00F17814">
            <w:pPr>
              <w:pStyle w:val="NormalWeb"/>
              <w:spacing w:before="0" w:beforeAutospacing="0" w:after="0" w:afterAutospacing="0"/>
              <w:jc w:val="both"/>
              <w:rPr>
                <w:rFonts w:asciiTheme="minorHAnsi" w:hAnsiTheme="minorHAnsi"/>
                <w:sz w:val="20"/>
                <w:szCs w:val="20"/>
              </w:rPr>
            </w:pPr>
          </w:p>
        </w:tc>
        <w:tc>
          <w:tcPr>
            <w:tcW w:w="6661" w:type="dxa"/>
          </w:tcPr>
          <w:p w14:paraId="2F286C4C" w14:textId="7D1B8E1E" w:rsidR="00FF7636" w:rsidRPr="009D1A0A" w:rsidRDefault="00FF7636" w:rsidP="00F17814">
            <w:pPr>
              <w:pStyle w:val="NormalWeb"/>
              <w:spacing w:before="0" w:beforeAutospacing="0" w:after="0" w:afterAutospacing="0"/>
              <w:jc w:val="both"/>
              <w:rPr>
                <w:rFonts w:asciiTheme="minorHAnsi" w:hAnsiTheme="minorHAnsi"/>
                <w:sz w:val="20"/>
                <w:szCs w:val="20"/>
              </w:rPr>
            </w:pPr>
          </w:p>
          <w:p w14:paraId="65252B05" w14:textId="71D90F2F" w:rsidR="00FF7636" w:rsidRPr="009D1A0A" w:rsidRDefault="00FF7636" w:rsidP="00F17814">
            <w:pPr>
              <w:pStyle w:val="NormalWeb"/>
              <w:spacing w:before="0" w:beforeAutospacing="0" w:after="0" w:afterAutospacing="0"/>
              <w:jc w:val="both"/>
              <w:rPr>
                <w:rFonts w:asciiTheme="minorHAnsi" w:hAnsiTheme="minorHAnsi"/>
                <w:sz w:val="20"/>
                <w:szCs w:val="20"/>
              </w:rPr>
            </w:pPr>
            <w:r w:rsidRPr="009D1A0A">
              <w:rPr>
                <w:rFonts w:asciiTheme="minorHAnsi" w:hAnsiTheme="minorHAnsi"/>
                <w:sz w:val="20"/>
                <w:szCs w:val="20"/>
              </w:rPr>
              <w:t xml:space="preserve">However, the evaluative question is whether this inclusiveness is </w:t>
            </w:r>
            <w:r w:rsidRPr="009D1A0A">
              <w:rPr>
                <w:rStyle w:val="Strong"/>
                <w:rFonts w:asciiTheme="minorHAnsi" w:eastAsiaTheme="majorEastAsia" w:hAnsiTheme="minorHAnsi"/>
                <w:b w:val="0"/>
                <w:bCs w:val="0"/>
                <w:sz w:val="20"/>
                <w:szCs w:val="20"/>
              </w:rPr>
              <w:t>deep or performative</w:t>
            </w:r>
            <w:r w:rsidRPr="009D1A0A">
              <w:rPr>
                <w:rFonts w:asciiTheme="minorHAnsi" w:hAnsiTheme="minorHAnsi"/>
                <w:sz w:val="20"/>
                <w:szCs w:val="20"/>
              </w:rPr>
              <w:t xml:space="preserve">. Passage 1’s warning that millennials may be hyper-connected but self-obsessed is relevant: while online platforms can elevate issues like climate anxiety — with studies showing high levels of concern among young adults — such digital engagement can sometimes become episodic or trend-driven rather than sustained. When social engagement is mediated mainly through screens, moral concern may become tied to visibility rather than long-term effort, limiting the transformative potential of millennial activism and at times even intensifying </w:t>
            </w:r>
            <w:proofErr w:type="spellStart"/>
            <w:r w:rsidRPr="009D1A0A">
              <w:rPr>
                <w:rFonts w:asciiTheme="minorHAnsi" w:hAnsiTheme="minorHAnsi"/>
                <w:sz w:val="20"/>
                <w:szCs w:val="20"/>
              </w:rPr>
              <w:t>polarisation</w:t>
            </w:r>
            <w:proofErr w:type="spellEnd"/>
            <w:r w:rsidRPr="009D1A0A">
              <w:rPr>
                <w:rFonts w:asciiTheme="minorHAnsi" w:hAnsiTheme="minorHAnsi"/>
                <w:sz w:val="20"/>
                <w:szCs w:val="20"/>
              </w:rPr>
              <w:t xml:space="preserve"> when disagreements play out as public spectacles.</w:t>
            </w:r>
          </w:p>
          <w:p w14:paraId="70C7D616" w14:textId="77777777" w:rsidR="00FF7636" w:rsidRPr="009D1A0A" w:rsidRDefault="00FF7636" w:rsidP="00F17814">
            <w:pPr>
              <w:jc w:val="both"/>
              <w:rPr>
                <w:sz w:val="20"/>
                <w:szCs w:val="20"/>
                <w:lang w:val="en-SG"/>
              </w:rPr>
            </w:pPr>
          </w:p>
        </w:tc>
      </w:tr>
      <w:tr w:rsidR="00FF7636" w:rsidRPr="009D1A0A" w14:paraId="12E9F7EB" w14:textId="77777777" w:rsidTr="00071E4B">
        <w:tc>
          <w:tcPr>
            <w:tcW w:w="2689" w:type="dxa"/>
          </w:tcPr>
          <w:p w14:paraId="48553FB5" w14:textId="77777777" w:rsidR="00FF7636" w:rsidRPr="009D1A0A" w:rsidRDefault="00FF7636" w:rsidP="00F17814">
            <w:pPr>
              <w:pStyle w:val="NormalWeb"/>
              <w:spacing w:before="0" w:beforeAutospacing="0" w:after="0" w:afterAutospacing="0"/>
              <w:jc w:val="both"/>
              <w:rPr>
                <w:rFonts w:asciiTheme="minorHAnsi" w:hAnsiTheme="minorHAnsi"/>
                <w:sz w:val="20"/>
                <w:szCs w:val="20"/>
              </w:rPr>
            </w:pPr>
          </w:p>
        </w:tc>
        <w:tc>
          <w:tcPr>
            <w:tcW w:w="6661" w:type="dxa"/>
          </w:tcPr>
          <w:p w14:paraId="3B562BE4" w14:textId="0F36E754" w:rsidR="00FF7636" w:rsidRPr="009D1A0A" w:rsidRDefault="00FF7636" w:rsidP="00F17814">
            <w:pPr>
              <w:pStyle w:val="NormalWeb"/>
              <w:spacing w:before="0" w:beforeAutospacing="0" w:after="0" w:afterAutospacing="0"/>
              <w:jc w:val="both"/>
              <w:rPr>
                <w:rFonts w:asciiTheme="minorHAnsi" w:hAnsiTheme="minorHAnsi"/>
                <w:b/>
                <w:bCs/>
                <w:sz w:val="20"/>
                <w:szCs w:val="20"/>
              </w:rPr>
            </w:pPr>
            <w:r w:rsidRPr="009D1A0A">
              <w:rPr>
                <w:rFonts w:asciiTheme="minorHAnsi" w:hAnsiTheme="minorHAnsi"/>
                <w:sz w:val="20"/>
                <w:szCs w:val="20"/>
              </w:rPr>
              <w:t xml:space="preserve">Overall, millennials are a net positive influence in Singapore </w:t>
            </w:r>
            <w:r w:rsidRPr="009D1A0A">
              <w:rPr>
                <w:rStyle w:val="Strong"/>
                <w:rFonts w:asciiTheme="minorHAnsi" w:eastAsiaTheme="majorEastAsia" w:hAnsiTheme="minorHAnsi"/>
                <w:b w:val="0"/>
                <w:bCs w:val="0"/>
                <w:sz w:val="20"/>
                <w:szCs w:val="20"/>
              </w:rPr>
              <w:t>because their adaptability, digital fluency and inclusive values address key national needs</w:t>
            </w:r>
            <w:r w:rsidRPr="009D1A0A">
              <w:rPr>
                <w:rFonts w:asciiTheme="minorHAnsi" w:hAnsiTheme="minorHAnsi"/>
                <w:sz w:val="20"/>
                <w:szCs w:val="20"/>
              </w:rPr>
              <w:t xml:space="preserve">. They help the workforce remain flexible, encourage more efficient resource use, and challenge outdated prejudices. Yet their impact is fully beneficial </w:t>
            </w:r>
            <w:r w:rsidRPr="009D1A0A">
              <w:rPr>
                <w:rStyle w:val="Strong"/>
                <w:rFonts w:asciiTheme="minorHAnsi" w:eastAsiaTheme="majorEastAsia" w:hAnsiTheme="minorHAnsi"/>
                <w:b w:val="0"/>
                <w:bCs w:val="0"/>
                <w:sz w:val="20"/>
                <w:szCs w:val="20"/>
              </w:rPr>
              <w:t>only when balanced by resilience, humility and long-term commitment</w:t>
            </w:r>
            <w:r w:rsidRPr="009D1A0A">
              <w:rPr>
                <w:rFonts w:asciiTheme="minorHAnsi" w:hAnsiTheme="minorHAnsi"/>
                <w:b/>
                <w:bCs/>
                <w:sz w:val="20"/>
                <w:szCs w:val="20"/>
              </w:rPr>
              <w:t>.</w:t>
            </w:r>
            <w:r w:rsidRPr="009D1A0A">
              <w:rPr>
                <w:rFonts w:asciiTheme="minorHAnsi" w:hAnsiTheme="minorHAnsi"/>
                <w:sz w:val="20"/>
                <w:szCs w:val="20"/>
              </w:rPr>
              <w:t xml:space="preserve"> Without these counterweights, the very traits that make millennials innovative can foster impatience, superficial engagement and social fragmentation. Their influence, therefore, is best judged as </w:t>
            </w:r>
            <w:r w:rsidRPr="009D1A0A">
              <w:rPr>
                <w:rStyle w:val="Strong"/>
                <w:rFonts w:asciiTheme="minorHAnsi" w:eastAsiaTheme="majorEastAsia" w:hAnsiTheme="minorHAnsi"/>
                <w:b w:val="0"/>
                <w:bCs w:val="0"/>
                <w:sz w:val="20"/>
                <w:szCs w:val="20"/>
              </w:rPr>
              <w:t>substantially positive but dependent on the norms and institutions that shape how their values are expressed</w:t>
            </w:r>
            <w:r w:rsidRPr="009D1A0A">
              <w:rPr>
                <w:rFonts w:asciiTheme="minorHAnsi" w:hAnsiTheme="minorHAnsi"/>
                <w:b/>
                <w:bCs/>
                <w:sz w:val="20"/>
                <w:szCs w:val="20"/>
              </w:rPr>
              <w:t>.</w:t>
            </w:r>
          </w:p>
          <w:p w14:paraId="1952A754" w14:textId="77777777" w:rsidR="00FF7636" w:rsidRPr="009D1A0A" w:rsidRDefault="00FF7636" w:rsidP="00F17814">
            <w:pPr>
              <w:jc w:val="both"/>
              <w:rPr>
                <w:sz w:val="20"/>
                <w:szCs w:val="20"/>
              </w:rPr>
            </w:pPr>
          </w:p>
        </w:tc>
      </w:tr>
    </w:tbl>
    <w:p w14:paraId="3FADAB60" w14:textId="77777777" w:rsidR="006557A1" w:rsidRPr="009D1A0A" w:rsidRDefault="006557A1" w:rsidP="006557A1">
      <w:pPr>
        <w:spacing w:after="0"/>
        <w:rPr>
          <w:sz w:val="20"/>
          <w:szCs w:val="20"/>
          <w:lang w:val="en-SG"/>
        </w:rPr>
      </w:pPr>
    </w:p>
    <w:p w14:paraId="2749DBF7" w14:textId="77777777" w:rsidR="006557A1" w:rsidRPr="009D1A0A" w:rsidRDefault="006557A1" w:rsidP="006557A1">
      <w:pPr>
        <w:pStyle w:val="NormalWeb"/>
        <w:spacing w:before="0" w:beforeAutospacing="0" w:after="0" w:afterAutospacing="0"/>
        <w:rPr>
          <w:rFonts w:asciiTheme="minorHAnsi" w:hAnsiTheme="minorHAnsi"/>
          <w:sz w:val="20"/>
          <w:szCs w:val="20"/>
        </w:rPr>
      </w:pPr>
    </w:p>
    <w:p w14:paraId="22A6C02C" w14:textId="77777777" w:rsidR="006557A1" w:rsidRPr="009D1A0A" w:rsidRDefault="006557A1" w:rsidP="006557A1">
      <w:pPr>
        <w:spacing w:after="0" w:line="240" w:lineRule="auto"/>
        <w:rPr>
          <w:rFonts w:eastAsia="Times New Roman" w:cs="Times New Roman"/>
          <w:kern w:val="0"/>
          <w:sz w:val="20"/>
          <w:szCs w:val="20"/>
          <w14:ligatures w14:val="none"/>
        </w:rPr>
      </w:pPr>
    </w:p>
    <w:p w14:paraId="44F6C492" w14:textId="77777777" w:rsidR="00934FFA" w:rsidRPr="009D1A0A" w:rsidRDefault="00934FFA">
      <w:pPr>
        <w:rPr>
          <w:rFonts w:ascii="Aptos" w:hAnsi="Aptos"/>
          <w:sz w:val="20"/>
          <w:szCs w:val="20"/>
        </w:rPr>
      </w:pPr>
    </w:p>
    <w:sectPr w:rsidR="00934FFA" w:rsidRPr="009D1A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E7311"/>
    <w:multiLevelType w:val="hybridMultilevel"/>
    <w:tmpl w:val="31365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95152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4"/>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FFA"/>
    <w:rsid w:val="00071E4B"/>
    <w:rsid w:val="001A0F37"/>
    <w:rsid w:val="003A7008"/>
    <w:rsid w:val="00451F51"/>
    <w:rsid w:val="00591B9C"/>
    <w:rsid w:val="006557A1"/>
    <w:rsid w:val="00847CBC"/>
    <w:rsid w:val="00934FFA"/>
    <w:rsid w:val="00950A3C"/>
    <w:rsid w:val="009D1A0A"/>
    <w:rsid w:val="00A65107"/>
    <w:rsid w:val="00B212CD"/>
    <w:rsid w:val="00DA0479"/>
    <w:rsid w:val="00DB5912"/>
    <w:rsid w:val="00DD3283"/>
    <w:rsid w:val="00F17814"/>
    <w:rsid w:val="00FC4BE4"/>
    <w:rsid w:val="00FF76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190C1"/>
  <w15:chartTrackingRefBased/>
  <w15:docId w15:val="{C30DC7D5-176B-41EC-9661-FB39D930D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FFA"/>
    <w:rPr>
      <w:rFonts w:eastAsiaTheme="majorEastAsia" w:cstheme="majorBidi"/>
      <w:color w:val="272727" w:themeColor="text1" w:themeTint="D8"/>
    </w:rPr>
  </w:style>
  <w:style w:type="paragraph" w:styleId="Title">
    <w:name w:val="Title"/>
    <w:basedOn w:val="Normal"/>
    <w:next w:val="Normal"/>
    <w:link w:val="TitleChar"/>
    <w:uiPriority w:val="10"/>
    <w:qFormat/>
    <w:rsid w:val="00934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FFA"/>
    <w:pPr>
      <w:spacing w:before="160"/>
      <w:jc w:val="center"/>
    </w:pPr>
    <w:rPr>
      <w:i/>
      <w:iCs/>
      <w:color w:val="404040" w:themeColor="text1" w:themeTint="BF"/>
    </w:rPr>
  </w:style>
  <w:style w:type="character" w:customStyle="1" w:styleId="QuoteChar">
    <w:name w:val="Quote Char"/>
    <w:basedOn w:val="DefaultParagraphFont"/>
    <w:link w:val="Quote"/>
    <w:uiPriority w:val="29"/>
    <w:rsid w:val="00934FFA"/>
    <w:rPr>
      <w:i/>
      <w:iCs/>
      <w:color w:val="404040" w:themeColor="text1" w:themeTint="BF"/>
    </w:rPr>
  </w:style>
  <w:style w:type="paragraph" w:styleId="ListParagraph">
    <w:name w:val="List Paragraph"/>
    <w:basedOn w:val="Normal"/>
    <w:uiPriority w:val="34"/>
    <w:qFormat/>
    <w:rsid w:val="00934FFA"/>
    <w:pPr>
      <w:ind w:left="720"/>
      <w:contextualSpacing/>
    </w:pPr>
  </w:style>
  <w:style w:type="character" w:styleId="IntenseEmphasis">
    <w:name w:val="Intense Emphasis"/>
    <w:basedOn w:val="DefaultParagraphFont"/>
    <w:uiPriority w:val="21"/>
    <w:qFormat/>
    <w:rsid w:val="00934FFA"/>
    <w:rPr>
      <w:i/>
      <w:iCs/>
      <w:color w:val="0F4761" w:themeColor="accent1" w:themeShade="BF"/>
    </w:rPr>
  </w:style>
  <w:style w:type="paragraph" w:styleId="IntenseQuote">
    <w:name w:val="Intense Quote"/>
    <w:basedOn w:val="Normal"/>
    <w:next w:val="Normal"/>
    <w:link w:val="IntenseQuoteChar"/>
    <w:uiPriority w:val="30"/>
    <w:qFormat/>
    <w:rsid w:val="00934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FFA"/>
    <w:rPr>
      <w:i/>
      <w:iCs/>
      <w:color w:val="0F4761" w:themeColor="accent1" w:themeShade="BF"/>
    </w:rPr>
  </w:style>
  <w:style w:type="character" w:styleId="IntenseReference">
    <w:name w:val="Intense Reference"/>
    <w:basedOn w:val="DefaultParagraphFont"/>
    <w:uiPriority w:val="32"/>
    <w:qFormat/>
    <w:rsid w:val="00934FFA"/>
    <w:rPr>
      <w:b/>
      <w:bCs/>
      <w:smallCaps/>
      <w:color w:val="0F4761" w:themeColor="accent1" w:themeShade="BF"/>
      <w:spacing w:val="5"/>
    </w:rPr>
  </w:style>
  <w:style w:type="paragraph" w:styleId="NormalWeb">
    <w:name w:val="Normal (Web)"/>
    <w:basedOn w:val="Normal"/>
    <w:uiPriority w:val="99"/>
    <w:unhideWhenUsed/>
    <w:rsid w:val="00934F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4FFA"/>
    <w:rPr>
      <w:b/>
      <w:bCs/>
    </w:rPr>
  </w:style>
  <w:style w:type="character" w:customStyle="1" w:styleId="whitespace-normal">
    <w:name w:val="whitespace-normal"/>
    <w:basedOn w:val="DefaultParagraphFont"/>
    <w:rsid w:val="00934FFA"/>
  </w:style>
  <w:style w:type="table" w:styleId="TableGrid">
    <w:name w:val="Table Grid"/>
    <w:basedOn w:val="TableNormal"/>
    <w:uiPriority w:val="39"/>
    <w:rsid w:val="003A7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557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1091</Words>
  <Characters>6222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Chee Leong William (SCHOOLS)</dc:creator>
  <cp:keywords/>
  <dc:description/>
  <cp:lastModifiedBy>William Chan</cp:lastModifiedBy>
  <cp:revision>2</cp:revision>
  <dcterms:created xsi:type="dcterms:W3CDTF">2026-02-14T00:41:00Z</dcterms:created>
  <dcterms:modified xsi:type="dcterms:W3CDTF">2026-02-14T00:41:00Z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2026-02-11T08:25:49Z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01c00251-1faa-44db-8e74-9f0c046cf8b8</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