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A8F3" w14:textId="77777777" w:rsidR="00836758" w:rsidRPr="00171B4C" w:rsidRDefault="00836758" w:rsidP="00836758">
      <w:pPr>
        <w:jc w:val="center"/>
        <w:rPr>
          <w:rFonts w:ascii="Aptos" w:hAnsi="Aptos" w:cs="Calibri"/>
          <w:b/>
          <w:bCs/>
          <w:sz w:val="22"/>
          <w:szCs w:val="22"/>
        </w:rPr>
      </w:pPr>
      <w:r w:rsidRPr="00171B4C">
        <w:rPr>
          <w:rFonts w:ascii="Aptos" w:hAnsi="Aptos" w:cs="Calibri"/>
          <w:b/>
          <w:bCs/>
          <w:sz w:val="22"/>
          <w:szCs w:val="22"/>
        </w:rPr>
        <w:t>Theme: International Relations, Conflict &amp; Security</w:t>
      </w:r>
    </w:p>
    <w:p w14:paraId="7CF8DCD0" w14:textId="77777777" w:rsidR="000F7C8C" w:rsidRPr="00171B4C" w:rsidRDefault="000F7C8C" w:rsidP="000F7C8C">
      <w:pPr>
        <w:pStyle w:val="ListParagraph"/>
        <w:rPr>
          <w:rFonts w:ascii="Aptos" w:hAnsi="Aptos" w:cs="Calibri"/>
          <w:b/>
          <w:bCs/>
          <w:sz w:val="22"/>
          <w:szCs w:val="22"/>
          <w:u w:val="single"/>
        </w:rPr>
      </w:pPr>
    </w:p>
    <w:p w14:paraId="723C0C13" w14:textId="53D67CAC" w:rsidR="000F7C8C" w:rsidRPr="00171B4C" w:rsidRDefault="000F7C8C" w:rsidP="000F7C8C">
      <w:pPr>
        <w:jc w:val="center"/>
        <w:rPr>
          <w:rFonts w:ascii="Aptos" w:hAnsi="Aptos" w:cs="Calibri"/>
          <w:b/>
          <w:bCs/>
          <w:sz w:val="22"/>
          <w:szCs w:val="22"/>
          <w:u w:val="single"/>
        </w:rPr>
      </w:pPr>
      <w:r w:rsidRPr="00171B4C">
        <w:rPr>
          <w:rFonts w:ascii="Aptos" w:hAnsi="Aptos" w:cs="Calibri"/>
          <w:b/>
          <w:bCs/>
          <w:sz w:val="22"/>
          <w:szCs w:val="22"/>
          <w:u w:val="single"/>
        </w:rPr>
        <w:t xml:space="preserve">Part </w:t>
      </w:r>
      <w:r w:rsidR="00836758" w:rsidRPr="00171B4C">
        <w:rPr>
          <w:rFonts w:ascii="Aptos" w:hAnsi="Aptos" w:cs="Calibri"/>
          <w:b/>
          <w:bCs/>
          <w:sz w:val="22"/>
          <w:szCs w:val="22"/>
          <w:u w:val="single"/>
        </w:rPr>
        <w:t>5</w:t>
      </w:r>
      <w:r w:rsidRPr="00171B4C">
        <w:rPr>
          <w:rFonts w:ascii="Aptos" w:hAnsi="Aptos" w:cs="Calibri"/>
          <w:b/>
          <w:bCs/>
          <w:sz w:val="22"/>
          <w:szCs w:val="22"/>
          <w:u w:val="single"/>
        </w:rPr>
        <w:t>: Supplementary Notes</w:t>
      </w:r>
    </w:p>
    <w:p w14:paraId="04A82021" w14:textId="77777777" w:rsidR="000F7C8C" w:rsidRPr="00171B4C" w:rsidRDefault="000F7C8C" w:rsidP="000F7C8C">
      <w:pPr>
        <w:jc w:val="both"/>
        <w:rPr>
          <w:rFonts w:ascii="Aptos" w:hAnsi="Aptos" w:cs="Calibri"/>
          <w:sz w:val="22"/>
          <w:szCs w:val="22"/>
        </w:rPr>
      </w:pPr>
    </w:p>
    <w:p w14:paraId="40E542C4" w14:textId="77777777" w:rsidR="000F7C8C" w:rsidRPr="00171B4C" w:rsidRDefault="000F7C8C" w:rsidP="000F7C8C">
      <w:pPr>
        <w:jc w:val="both"/>
        <w:rPr>
          <w:rFonts w:ascii="Aptos" w:hAnsi="Aptos" w:cs="Calibri"/>
          <w:b/>
          <w:bCs/>
          <w:sz w:val="22"/>
          <w:szCs w:val="22"/>
          <w:u w:val="single"/>
        </w:rPr>
      </w:pPr>
      <w:r w:rsidRPr="00171B4C">
        <w:rPr>
          <w:rFonts w:ascii="Aptos" w:hAnsi="Aptos" w:cs="Calibri"/>
          <w:b/>
          <w:bCs/>
          <w:sz w:val="22"/>
          <w:szCs w:val="22"/>
          <w:u w:val="single"/>
        </w:rPr>
        <w:t>The UN</w:t>
      </w:r>
    </w:p>
    <w:p w14:paraId="363F3C8F" w14:textId="77777777" w:rsidR="000F7C8C" w:rsidRPr="00171B4C" w:rsidRDefault="000F7C8C" w:rsidP="000F7C8C">
      <w:pPr>
        <w:jc w:val="both"/>
        <w:rPr>
          <w:rFonts w:ascii="Aptos" w:hAnsi="Aptos" w:cs="Calibri"/>
          <w:sz w:val="22"/>
          <w:szCs w:val="22"/>
        </w:rPr>
      </w:pPr>
    </w:p>
    <w:p w14:paraId="33030E3F" w14:textId="77777777" w:rsidR="000F7C8C" w:rsidRPr="00171B4C" w:rsidRDefault="000F7C8C" w:rsidP="000F7C8C">
      <w:pPr>
        <w:jc w:val="both"/>
        <w:rPr>
          <w:rFonts w:ascii="Aptos" w:hAnsi="Aptos" w:cs="Calibri"/>
          <w:sz w:val="22"/>
          <w:szCs w:val="22"/>
        </w:rPr>
      </w:pPr>
      <w:r w:rsidRPr="00171B4C">
        <w:rPr>
          <w:rFonts w:ascii="Aptos" w:hAnsi="Aptos" w:cs="Calibri"/>
          <w:sz w:val="22"/>
          <w:szCs w:val="22"/>
        </w:rPr>
        <w:t>The principles of the UN are to save future generations from war, reaffirm human rights, and establish equal rights for all persons. In addition, it also aims to promote justice, freedom, and social progress for the peoples of all of its member states.</w:t>
      </w:r>
    </w:p>
    <w:p w14:paraId="174647A1" w14:textId="77777777" w:rsidR="000F7C8C" w:rsidRPr="00171B4C" w:rsidRDefault="000F7C8C" w:rsidP="000F7C8C">
      <w:pPr>
        <w:jc w:val="both"/>
        <w:rPr>
          <w:rFonts w:ascii="Aptos" w:hAnsi="Aptos" w:cs="Calibri"/>
          <w:sz w:val="22"/>
          <w:szCs w:val="22"/>
        </w:rPr>
      </w:pPr>
    </w:p>
    <w:p w14:paraId="7E369C90" w14:textId="77777777" w:rsidR="000F7C8C" w:rsidRPr="00171B4C" w:rsidRDefault="000F7C8C" w:rsidP="000F7C8C">
      <w:pPr>
        <w:rPr>
          <w:rFonts w:ascii="Aptos" w:hAnsi="Aptos" w:cs="Calibri"/>
          <w:b/>
          <w:bCs/>
          <w:sz w:val="22"/>
          <w:szCs w:val="22"/>
          <w:u w:val="single"/>
        </w:rPr>
      </w:pPr>
      <w:r w:rsidRPr="00171B4C">
        <w:rPr>
          <w:rFonts w:ascii="Aptos" w:hAnsi="Aptos" w:cs="Calibri"/>
          <w:b/>
          <w:bCs/>
          <w:sz w:val="22"/>
          <w:szCs w:val="22"/>
          <w:u w:val="single"/>
        </w:rPr>
        <w:t>Organization of the UN Today</w:t>
      </w:r>
    </w:p>
    <w:p w14:paraId="10213F8B" w14:textId="77777777" w:rsidR="000F7C8C" w:rsidRPr="00171B4C" w:rsidRDefault="000F7C8C" w:rsidP="000F7C8C">
      <w:pPr>
        <w:rPr>
          <w:rFonts w:ascii="Aptos" w:hAnsi="Aptos" w:cs="Calibri"/>
          <w:b/>
          <w:bCs/>
          <w:sz w:val="22"/>
          <w:szCs w:val="22"/>
          <w:u w:val="single"/>
        </w:rPr>
      </w:pPr>
    </w:p>
    <w:p w14:paraId="668F7B74" w14:textId="77777777" w:rsidR="000F7C8C" w:rsidRPr="00171B4C" w:rsidRDefault="000F7C8C" w:rsidP="000F7C8C">
      <w:pPr>
        <w:rPr>
          <w:rFonts w:ascii="Aptos" w:hAnsi="Aptos" w:cs="Calibri"/>
          <w:sz w:val="22"/>
          <w:szCs w:val="22"/>
        </w:rPr>
      </w:pPr>
      <w:r w:rsidRPr="00171B4C">
        <w:rPr>
          <w:rFonts w:ascii="Aptos" w:hAnsi="Aptos" w:cs="Calibri"/>
          <w:sz w:val="22"/>
          <w:szCs w:val="22"/>
        </w:rPr>
        <w:t>To handle the complex task of getting its member states to cooperate most efficiently, the UN today is divided into five branches. The first is the UN General Assembly. This is the main decision-making and representative assembly and is responsible for upholding the principles of the UN through its policies and recommendations. It is composed of all member states, is headed by a president elected from the member states, and meets from September to December each year.</w:t>
      </w:r>
    </w:p>
    <w:p w14:paraId="298007AE" w14:textId="77777777" w:rsidR="000F7C8C" w:rsidRPr="00171B4C" w:rsidRDefault="000F7C8C" w:rsidP="000F7C8C">
      <w:pPr>
        <w:rPr>
          <w:rFonts w:ascii="Aptos" w:hAnsi="Aptos" w:cs="Calibri"/>
          <w:sz w:val="22"/>
          <w:szCs w:val="22"/>
        </w:rPr>
      </w:pPr>
    </w:p>
    <w:p w14:paraId="2FB35F53" w14:textId="77777777" w:rsidR="000F7C8C" w:rsidRPr="00171B4C" w:rsidRDefault="000F7C8C" w:rsidP="000F7C8C">
      <w:pPr>
        <w:rPr>
          <w:rFonts w:ascii="Aptos" w:hAnsi="Aptos" w:cs="Calibri"/>
          <w:sz w:val="22"/>
          <w:szCs w:val="22"/>
        </w:rPr>
      </w:pPr>
    </w:p>
    <w:p w14:paraId="0F5CC713" w14:textId="77777777" w:rsidR="000F7C8C" w:rsidRPr="00171B4C" w:rsidRDefault="000F7C8C" w:rsidP="000F7C8C">
      <w:pPr>
        <w:rPr>
          <w:rFonts w:ascii="Aptos" w:hAnsi="Aptos" w:cs="Calibri"/>
          <w:sz w:val="22"/>
          <w:szCs w:val="22"/>
        </w:rPr>
      </w:pPr>
      <w:r w:rsidRPr="00171B4C">
        <w:rPr>
          <w:rFonts w:ascii="Aptos" w:hAnsi="Aptos" w:cs="Calibri"/>
          <w:sz w:val="22"/>
          <w:szCs w:val="22"/>
        </w:rPr>
        <w:t>The UN Security Council is another branch and is the most powerful. It can authorize the deployment of UN member states' militaries, can mandate a cease-fire during conflicts and can enforce penalties on countries if they do not comply with given mandates. It is composed of five permanent members and 10 rotating members.</w:t>
      </w:r>
    </w:p>
    <w:p w14:paraId="754DE829" w14:textId="77777777" w:rsidR="000F7C8C" w:rsidRPr="00171B4C" w:rsidRDefault="000F7C8C" w:rsidP="000F7C8C">
      <w:pPr>
        <w:rPr>
          <w:rFonts w:ascii="Aptos" w:hAnsi="Aptos" w:cs="Calibri"/>
          <w:sz w:val="22"/>
          <w:szCs w:val="22"/>
        </w:rPr>
      </w:pPr>
    </w:p>
    <w:p w14:paraId="48D058F1" w14:textId="77777777" w:rsidR="000F7C8C" w:rsidRPr="00171B4C" w:rsidRDefault="000F7C8C" w:rsidP="000F7C8C">
      <w:pPr>
        <w:jc w:val="both"/>
        <w:rPr>
          <w:rFonts w:ascii="Aptos" w:hAnsi="Aptos" w:cs="Calibri"/>
          <w:sz w:val="22"/>
          <w:szCs w:val="22"/>
        </w:rPr>
      </w:pPr>
      <w:r w:rsidRPr="00171B4C">
        <w:rPr>
          <w:rFonts w:ascii="Aptos" w:hAnsi="Aptos" w:cs="Calibri"/>
          <w:sz w:val="22"/>
          <w:szCs w:val="22"/>
        </w:rPr>
        <w:t>The next branch of the UN is the International Court of Justice, located in The Hague, Netherlands. Next, the Economic and Social Council assists the General Assembly in promoting economic and social development as well as the cooperation of member states. Finally, the Secretariat is the branch headed by the Secretary-General. Its main responsibility is providing studies, information, and other data when needed by other UN branches for their meetings.</w:t>
      </w:r>
    </w:p>
    <w:p w14:paraId="7BF0ECB0" w14:textId="77777777" w:rsidR="000F7C8C" w:rsidRPr="00171B4C" w:rsidRDefault="000F7C8C" w:rsidP="000F7C8C">
      <w:pPr>
        <w:rPr>
          <w:rFonts w:ascii="Aptos" w:hAnsi="Aptos" w:cs="Calibri"/>
          <w:b/>
          <w:bCs/>
          <w:sz w:val="22"/>
          <w:szCs w:val="22"/>
          <w:u w:val="single"/>
        </w:rPr>
      </w:pPr>
    </w:p>
    <w:p w14:paraId="64B525A7" w14:textId="77777777" w:rsidR="000F7C8C" w:rsidRPr="00171B4C" w:rsidRDefault="000F7C8C" w:rsidP="000F7C8C">
      <w:pPr>
        <w:rPr>
          <w:rFonts w:ascii="Aptos" w:hAnsi="Aptos" w:cs="Calibri"/>
          <w:b/>
          <w:bCs/>
          <w:sz w:val="22"/>
          <w:szCs w:val="22"/>
          <w:u w:val="single"/>
        </w:rPr>
      </w:pPr>
      <w:r w:rsidRPr="00171B4C">
        <w:rPr>
          <w:rFonts w:ascii="Aptos" w:hAnsi="Aptos" w:cs="Calibri"/>
          <w:b/>
          <w:bCs/>
          <w:sz w:val="22"/>
          <w:szCs w:val="22"/>
          <w:u w:val="single"/>
        </w:rPr>
        <w:t>Membership</w:t>
      </w:r>
    </w:p>
    <w:p w14:paraId="1472727A" w14:textId="77777777" w:rsidR="000F7C8C" w:rsidRPr="00171B4C" w:rsidRDefault="000F7C8C" w:rsidP="000F7C8C">
      <w:pPr>
        <w:rPr>
          <w:rFonts w:ascii="Aptos" w:hAnsi="Aptos" w:cs="Calibri"/>
          <w:b/>
          <w:bCs/>
          <w:sz w:val="22"/>
          <w:szCs w:val="22"/>
          <w:u w:val="single"/>
        </w:rPr>
      </w:pPr>
    </w:p>
    <w:p w14:paraId="059E8100" w14:textId="77777777" w:rsidR="000F7C8C" w:rsidRPr="00171B4C" w:rsidRDefault="000F7C8C" w:rsidP="000F7C8C">
      <w:pPr>
        <w:jc w:val="both"/>
        <w:rPr>
          <w:rFonts w:ascii="Aptos" w:hAnsi="Aptos" w:cs="Calibri"/>
          <w:sz w:val="22"/>
          <w:szCs w:val="22"/>
        </w:rPr>
      </w:pPr>
      <w:r w:rsidRPr="00171B4C">
        <w:rPr>
          <w:rFonts w:ascii="Aptos" w:hAnsi="Aptos" w:cs="Calibri"/>
          <w:sz w:val="22"/>
          <w:szCs w:val="22"/>
        </w:rPr>
        <w:t>Today, almost every fully recognized independent state is a member of the UN. To become a member of the UN, a state must accept both peace and all obligations outlined in charter and be willing to carry out any action to satisfy those obligations. The final decision on admission to the UN is carried out by the General Assembly after recommendation by the Security Council.</w:t>
      </w:r>
    </w:p>
    <w:p w14:paraId="455D6EFB" w14:textId="77777777" w:rsidR="000F7C8C" w:rsidRPr="00171B4C" w:rsidRDefault="000F7C8C" w:rsidP="000F7C8C">
      <w:pPr>
        <w:rPr>
          <w:rFonts w:ascii="Aptos" w:hAnsi="Aptos" w:cs="Calibri"/>
          <w:b/>
          <w:bCs/>
          <w:sz w:val="22"/>
          <w:szCs w:val="22"/>
          <w:u w:val="single"/>
        </w:rPr>
      </w:pPr>
    </w:p>
    <w:p w14:paraId="3A15D724" w14:textId="4FF4E30B" w:rsidR="00173435" w:rsidRPr="00171B4C" w:rsidRDefault="00173435" w:rsidP="000F7C8C">
      <w:pPr>
        <w:rPr>
          <w:rFonts w:ascii="Aptos" w:hAnsi="Aptos" w:cs="Calibri"/>
          <w:b/>
          <w:bCs/>
          <w:sz w:val="22"/>
          <w:szCs w:val="22"/>
          <w:u w:val="single"/>
        </w:rPr>
      </w:pPr>
      <w:r w:rsidRPr="00171B4C">
        <w:rPr>
          <w:rFonts w:ascii="Aptos" w:hAnsi="Aptos" w:cs="Calibri"/>
          <w:b/>
          <w:bCs/>
          <w:sz w:val="22"/>
          <w:szCs w:val="22"/>
          <w:u w:val="single"/>
        </w:rPr>
        <w:t>Functions of the United Nations Today</w:t>
      </w:r>
    </w:p>
    <w:p w14:paraId="72EB5E56" w14:textId="77777777" w:rsidR="00173435" w:rsidRPr="00171B4C" w:rsidRDefault="00173435" w:rsidP="000F7C8C">
      <w:pPr>
        <w:rPr>
          <w:rFonts w:ascii="Aptos" w:hAnsi="Aptos" w:cs="Calibri"/>
          <w:b/>
          <w:bCs/>
          <w:sz w:val="22"/>
          <w:szCs w:val="22"/>
          <w:u w:val="single"/>
        </w:rPr>
      </w:pPr>
    </w:p>
    <w:p w14:paraId="4A8EF66A" w14:textId="77777777" w:rsidR="00173435" w:rsidRPr="00171B4C" w:rsidRDefault="00173435" w:rsidP="000F7C8C">
      <w:pPr>
        <w:rPr>
          <w:rFonts w:ascii="Aptos" w:hAnsi="Aptos" w:cs="Calibri"/>
          <w:sz w:val="22"/>
          <w:szCs w:val="22"/>
        </w:rPr>
      </w:pPr>
      <w:r w:rsidRPr="00171B4C">
        <w:rPr>
          <w:rFonts w:ascii="Aptos" w:hAnsi="Aptos" w:cs="Calibri"/>
          <w:sz w:val="22"/>
          <w:szCs w:val="22"/>
        </w:rPr>
        <w:t>As it was in the past, the main function of the UN today is to maintain peace and security for all of its member states. Though the UN does not maintain its own military, it does have peacekeeping forces that are supplied by its member states. On approval of the UN Security Council, these peacekeepers are, for example, sent to regions where armed conflict has recently ended to discourage combatants from resuming fighting. In 1988, the peacekeeping force won a Nobel Peace Prize for its actions.</w:t>
      </w:r>
    </w:p>
    <w:p w14:paraId="69900D02" w14:textId="77777777" w:rsidR="00173435" w:rsidRPr="00171B4C" w:rsidRDefault="00173435" w:rsidP="000F7C8C">
      <w:pPr>
        <w:rPr>
          <w:rFonts w:ascii="Aptos" w:hAnsi="Aptos" w:cs="Calibri"/>
          <w:sz w:val="22"/>
          <w:szCs w:val="22"/>
        </w:rPr>
      </w:pPr>
    </w:p>
    <w:p w14:paraId="564FF106" w14:textId="77777777" w:rsidR="00173435" w:rsidRPr="00171B4C" w:rsidRDefault="00173435" w:rsidP="000F7C8C">
      <w:pPr>
        <w:rPr>
          <w:rFonts w:ascii="Aptos" w:hAnsi="Aptos" w:cs="Calibri"/>
          <w:sz w:val="22"/>
          <w:szCs w:val="22"/>
        </w:rPr>
      </w:pPr>
      <w:r w:rsidRPr="00171B4C">
        <w:rPr>
          <w:rFonts w:ascii="Aptos" w:hAnsi="Aptos" w:cs="Calibri"/>
          <w:sz w:val="22"/>
          <w:szCs w:val="22"/>
        </w:rPr>
        <w:t xml:space="preserve">In addition to maintaining peace, the UN aims to protect human rights and provide humanitarian assistance when needed. In 1948, the General Assembly adopted the Universal Declaration of Human Rights as a standard for its human rights operations. The UN currently </w:t>
      </w:r>
      <w:r w:rsidRPr="00171B4C">
        <w:rPr>
          <w:rFonts w:ascii="Aptos" w:hAnsi="Aptos" w:cs="Calibri"/>
          <w:sz w:val="22"/>
          <w:szCs w:val="22"/>
        </w:rPr>
        <w:lastRenderedPageBreak/>
        <w:t>provides technical assistance in elections, helps to improve judicial structures and draft constitutions trains human rights officials, and provides food, drinking water, shelter, and other humanitarian services to peoples displaced by famine, war, and natural disaster.</w:t>
      </w:r>
    </w:p>
    <w:p w14:paraId="53DE5137" w14:textId="77777777" w:rsidR="00173435" w:rsidRPr="00171B4C" w:rsidRDefault="00173435" w:rsidP="000F7C8C">
      <w:pPr>
        <w:rPr>
          <w:rFonts w:ascii="Aptos" w:hAnsi="Aptos" w:cs="Calibri"/>
          <w:sz w:val="22"/>
          <w:szCs w:val="22"/>
        </w:rPr>
      </w:pPr>
    </w:p>
    <w:p w14:paraId="12DE8340" w14:textId="77777777" w:rsidR="00173435" w:rsidRPr="00171B4C" w:rsidRDefault="00173435" w:rsidP="000F7C8C">
      <w:pPr>
        <w:rPr>
          <w:rFonts w:ascii="Aptos" w:hAnsi="Aptos" w:cs="Calibri"/>
          <w:sz w:val="22"/>
          <w:szCs w:val="22"/>
        </w:rPr>
      </w:pPr>
      <w:r w:rsidRPr="00171B4C">
        <w:rPr>
          <w:rFonts w:ascii="Aptos" w:hAnsi="Aptos" w:cs="Calibri"/>
          <w:sz w:val="22"/>
          <w:szCs w:val="22"/>
        </w:rPr>
        <w:t>Finally, the UN plays an integral part in social and economic development through its UN Development Program. This is the largest source of technical grant assistance in the world. In addition, the World Health Organization; UNAIDS; The Global Fund to Fight AIDS, Tuberculosis, and Malaria; the UN Population Fund; and the World Bank Group, to name a few, play an essential role in this aspect of the UN. The parent organization also annually publishes the Human Development Index to rank countries in terms of poverty, literacy, education, and life expectancy.</w:t>
      </w:r>
    </w:p>
    <w:p w14:paraId="7D5DE0AC" w14:textId="77777777" w:rsidR="00173435" w:rsidRPr="00171B4C" w:rsidRDefault="00173435" w:rsidP="000F7C8C">
      <w:pPr>
        <w:rPr>
          <w:rFonts w:ascii="Aptos" w:hAnsi="Aptos" w:cs="Calibri"/>
          <w:sz w:val="22"/>
          <w:szCs w:val="22"/>
        </w:rPr>
      </w:pPr>
    </w:p>
    <w:p w14:paraId="1581300E" w14:textId="77777777" w:rsidR="00173435" w:rsidRPr="00171B4C" w:rsidRDefault="00173435" w:rsidP="000F7C8C">
      <w:pPr>
        <w:rPr>
          <w:rFonts w:ascii="Aptos" w:hAnsi="Aptos" w:cs="Calibri"/>
          <w:b/>
          <w:bCs/>
          <w:sz w:val="22"/>
          <w:szCs w:val="22"/>
          <w:u w:val="single"/>
        </w:rPr>
      </w:pPr>
      <w:r w:rsidRPr="00171B4C">
        <w:rPr>
          <w:rFonts w:ascii="Aptos" w:hAnsi="Aptos" w:cs="Calibri"/>
          <w:b/>
          <w:bCs/>
          <w:sz w:val="22"/>
          <w:szCs w:val="22"/>
          <w:u w:val="single"/>
        </w:rPr>
        <w:t>Millennium Development Goals</w:t>
      </w:r>
    </w:p>
    <w:p w14:paraId="181D4F72" w14:textId="77777777" w:rsidR="00173435" w:rsidRPr="00171B4C" w:rsidRDefault="00173435" w:rsidP="000F7C8C">
      <w:pPr>
        <w:rPr>
          <w:rFonts w:ascii="Aptos" w:hAnsi="Aptos" w:cs="Calibri"/>
          <w:b/>
          <w:bCs/>
          <w:sz w:val="22"/>
          <w:szCs w:val="22"/>
          <w:u w:val="single"/>
        </w:rPr>
      </w:pPr>
    </w:p>
    <w:p w14:paraId="377D9165" w14:textId="77777777" w:rsidR="00173435" w:rsidRPr="00171B4C" w:rsidRDefault="00173435" w:rsidP="000F7C8C">
      <w:pPr>
        <w:rPr>
          <w:rFonts w:ascii="Aptos" w:hAnsi="Aptos" w:cs="Calibri"/>
          <w:sz w:val="22"/>
          <w:szCs w:val="22"/>
        </w:rPr>
      </w:pPr>
      <w:r w:rsidRPr="00171B4C">
        <w:rPr>
          <w:rFonts w:ascii="Aptos" w:hAnsi="Aptos" w:cs="Calibri"/>
          <w:sz w:val="22"/>
          <w:szCs w:val="22"/>
        </w:rPr>
        <w:t>At the turn of the century, the UN established what it called its Millennium Development Goals. Most of its member states and various international organizations agreed to target goals relating to reducing poverty and child mortality, fighting diseases and epidemics, and developing a global partnership in terms of international development, by 2015.</w:t>
      </w:r>
    </w:p>
    <w:p w14:paraId="673FA662" w14:textId="77777777" w:rsidR="00173435" w:rsidRPr="00171B4C" w:rsidRDefault="00173435" w:rsidP="000F7C8C">
      <w:pPr>
        <w:rPr>
          <w:rFonts w:ascii="Aptos" w:hAnsi="Aptos" w:cs="Calibri"/>
          <w:sz w:val="22"/>
          <w:szCs w:val="22"/>
        </w:rPr>
      </w:pPr>
    </w:p>
    <w:p w14:paraId="0FDEDD83" w14:textId="77777777" w:rsidR="00173435" w:rsidRPr="00171B4C" w:rsidRDefault="00173435" w:rsidP="000F7C8C">
      <w:pPr>
        <w:rPr>
          <w:rFonts w:ascii="Aptos" w:hAnsi="Aptos" w:cs="Calibri"/>
          <w:sz w:val="22"/>
          <w:szCs w:val="22"/>
        </w:rPr>
      </w:pPr>
      <w:r w:rsidRPr="00171B4C">
        <w:rPr>
          <w:rFonts w:ascii="Aptos" w:hAnsi="Aptos" w:cs="Calibri"/>
          <w:sz w:val="22"/>
          <w:szCs w:val="22"/>
        </w:rPr>
        <w:t>A report issued as the deadline neared noted the progress that had been made, lauding efforts in developing nations, and noted shortfalls as well that need continued focus: people still living in poverty without access to services, gender inequality, the wealth gap, and climate change's effects on the poorest people.</w:t>
      </w:r>
    </w:p>
    <w:p w14:paraId="73E4B13F" w14:textId="77777777" w:rsidR="00173435" w:rsidRPr="00171B4C" w:rsidRDefault="00173435" w:rsidP="000F7C8C">
      <w:pPr>
        <w:snapToGrid w:val="0"/>
        <w:rPr>
          <w:rFonts w:ascii="Aptos" w:hAnsi="Aptos" w:cs="Calibri"/>
          <w:sz w:val="22"/>
          <w:szCs w:val="22"/>
        </w:rPr>
      </w:pPr>
    </w:p>
    <w:p w14:paraId="2770A2BE" w14:textId="77777777" w:rsidR="00173435" w:rsidRPr="00171B4C" w:rsidRDefault="00173435" w:rsidP="000F7C8C">
      <w:pPr>
        <w:pStyle w:val="Heading1"/>
        <w:shd w:val="clear" w:color="auto" w:fill="FFFFFF"/>
        <w:snapToGrid w:val="0"/>
        <w:spacing w:before="0" w:beforeAutospacing="0" w:after="0" w:afterAutospacing="0"/>
        <w:rPr>
          <w:rFonts w:ascii="Aptos" w:hAnsi="Aptos" w:cs="Calibri"/>
          <w:color w:val="14262B"/>
          <w:sz w:val="22"/>
          <w:szCs w:val="22"/>
          <w:lang w:val="e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2859"/>
        <w:gridCol w:w="3448"/>
      </w:tblGrid>
      <w:tr w:rsidR="00171B4C" w:rsidRPr="00171B4C" w14:paraId="41BCA3E5" w14:textId="77777777" w:rsidTr="00122900">
        <w:trPr>
          <w:tblHeader/>
          <w:tblCellSpacing w:w="15" w:type="dxa"/>
        </w:trPr>
        <w:tc>
          <w:tcPr>
            <w:tcW w:w="0" w:type="auto"/>
            <w:hideMark/>
          </w:tcPr>
          <w:p w14:paraId="7658FFEA" w14:textId="77777777" w:rsidR="00171B4C" w:rsidRPr="00171B4C" w:rsidRDefault="00171B4C" w:rsidP="00171B4C">
            <w:pPr>
              <w:jc w:val="center"/>
              <w:rPr>
                <w:rFonts w:ascii="Aptos" w:eastAsia="Times New Roman" w:hAnsi="Aptos" w:cs="Times New Roman"/>
                <w:b/>
                <w:bCs/>
                <w:color w:val="000000"/>
                <w:sz w:val="22"/>
                <w:szCs w:val="22"/>
              </w:rPr>
            </w:pPr>
            <w:r w:rsidRPr="00171B4C">
              <w:rPr>
                <w:rFonts w:ascii="Aptos" w:eastAsia="Times New Roman" w:hAnsi="Aptos" w:cs="Times New Roman"/>
                <w:b/>
                <w:bCs/>
                <w:color w:val="000000"/>
                <w:sz w:val="22"/>
                <w:szCs w:val="22"/>
              </w:rPr>
              <w:t>Conflict</w:t>
            </w:r>
          </w:p>
        </w:tc>
        <w:tc>
          <w:tcPr>
            <w:tcW w:w="0" w:type="auto"/>
            <w:hideMark/>
          </w:tcPr>
          <w:p w14:paraId="4F5EB7CE" w14:textId="77777777" w:rsidR="00171B4C" w:rsidRPr="00171B4C" w:rsidRDefault="00171B4C" w:rsidP="00171B4C">
            <w:pPr>
              <w:jc w:val="center"/>
              <w:rPr>
                <w:rFonts w:ascii="Aptos" w:eastAsia="Times New Roman" w:hAnsi="Aptos" w:cs="Times New Roman"/>
                <w:b/>
                <w:bCs/>
                <w:color w:val="000000"/>
                <w:sz w:val="22"/>
                <w:szCs w:val="22"/>
              </w:rPr>
            </w:pPr>
            <w:r w:rsidRPr="00171B4C">
              <w:rPr>
                <w:rFonts w:ascii="Aptos" w:eastAsia="Times New Roman" w:hAnsi="Aptos" w:cs="Times New Roman"/>
                <w:b/>
                <w:bCs/>
                <w:color w:val="000000"/>
                <w:sz w:val="22"/>
                <w:szCs w:val="22"/>
              </w:rPr>
              <w:t>Root causes</w:t>
            </w:r>
          </w:p>
        </w:tc>
        <w:tc>
          <w:tcPr>
            <w:tcW w:w="0" w:type="auto"/>
            <w:hideMark/>
          </w:tcPr>
          <w:p w14:paraId="7FBE4727" w14:textId="77777777" w:rsidR="00171B4C" w:rsidRPr="00171B4C" w:rsidRDefault="00171B4C" w:rsidP="00171B4C">
            <w:pPr>
              <w:jc w:val="center"/>
              <w:rPr>
                <w:rFonts w:ascii="Aptos" w:eastAsia="Times New Roman" w:hAnsi="Aptos" w:cs="Times New Roman"/>
                <w:b/>
                <w:bCs/>
                <w:color w:val="000000"/>
                <w:sz w:val="22"/>
                <w:szCs w:val="22"/>
              </w:rPr>
            </w:pPr>
            <w:r w:rsidRPr="00171B4C">
              <w:rPr>
                <w:rFonts w:ascii="Aptos" w:eastAsia="Times New Roman" w:hAnsi="Aptos" w:cs="Times New Roman"/>
                <w:b/>
                <w:bCs/>
                <w:color w:val="000000"/>
                <w:sz w:val="22"/>
                <w:szCs w:val="22"/>
              </w:rPr>
              <w:t>Immediate causes</w:t>
            </w:r>
          </w:p>
        </w:tc>
      </w:tr>
      <w:tr w:rsidR="00171B4C" w:rsidRPr="00171B4C" w14:paraId="4F282EB0" w14:textId="77777777" w:rsidTr="00122900">
        <w:trPr>
          <w:tblCellSpacing w:w="15" w:type="dxa"/>
        </w:trPr>
        <w:tc>
          <w:tcPr>
            <w:tcW w:w="0" w:type="auto"/>
            <w:hideMark/>
          </w:tcPr>
          <w:p w14:paraId="7A619A70"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Russia-Ukraine war</w:t>
            </w:r>
          </w:p>
        </w:tc>
        <w:tc>
          <w:tcPr>
            <w:tcW w:w="0" w:type="auto"/>
            <w:hideMark/>
          </w:tcPr>
          <w:p w14:paraId="0D6EA9CF"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Long-standing Russian revisionism over the post-Soviet order, Ukraine’s struggle to consolidate a sovereign pro-European path, unresolved tensions after Crimea and Donbas, and a wider contest over European security architecture.</w:t>
            </w:r>
          </w:p>
        </w:tc>
        <w:tc>
          <w:tcPr>
            <w:tcW w:w="0" w:type="auto"/>
            <w:hideMark/>
          </w:tcPr>
          <w:p w14:paraId="69752C0F"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full-scale Russian invasion in 2022 turned a limited conflict into a major interstate war. In 2026, stalled negotiations, continuing Russian offensives, drone and missile strikes, and Ukraine’s determination not to concede territory keep the war active and highly dangerous.</w:t>
            </w:r>
          </w:p>
        </w:tc>
      </w:tr>
      <w:tr w:rsidR="00171B4C" w:rsidRPr="00171B4C" w14:paraId="36D37BAB" w14:textId="77777777" w:rsidTr="00122900">
        <w:trPr>
          <w:tblCellSpacing w:w="15" w:type="dxa"/>
        </w:trPr>
        <w:tc>
          <w:tcPr>
            <w:tcW w:w="0" w:type="auto"/>
            <w:hideMark/>
          </w:tcPr>
          <w:p w14:paraId="6F791EE8"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Sudan civil war</w:t>
            </w:r>
          </w:p>
        </w:tc>
        <w:tc>
          <w:tcPr>
            <w:tcW w:w="0" w:type="auto"/>
            <w:hideMark/>
          </w:tcPr>
          <w:p w14:paraId="14A3AAC9"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Deep structural rivalry between Sudan’s armed institutions, decades of centre-periphery marginalisation, unresolved Darfur grievances, and competition over state power, territory and resource networks such as gold.</w:t>
            </w:r>
          </w:p>
        </w:tc>
        <w:tc>
          <w:tcPr>
            <w:tcW w:w="0" w:type="auto"/>
            <w:hideMark/>
          </w:tcPr>
          <w:p w14:paraId="65DBA846"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immediate trigger was the collapse of cooperation between the Sudanese Armed Forces and the Rapid Support Forces over security-sector integration and political control. Since April 2023, the war has expanded across major urban centres and regions, with fresh offensives, atrocities and famine conditions sustaining the conflict into 2026.</w:t>
            </w:r>
          </w:p>
        </w:tc>
      </w:tr>
      <w:tr w:rsidR="00171B4C" w:rsidRPr="00171B4C" w14:paraId="4E4CE16D" w14:textId="77777777" w:rsidTr="00122900">
        <w:trPr>
          <w:tblCellSpacing w:w="15" w:type="dxa"/>
        </w:trPr>
        <w:tc>
          <w:tcPr>
            <w:tcW w:w="0" w:type="auto"/>
            <w:hideMark/>
          </w:tcPr>
          <w:p w14:paraId="1EDA0F9D"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lastRenderedPageBreak/>
              <w:t>Israel-Iran regional war, with wider Middle East escalation</w:t>
            </w:r>
          </w:p>
        </w:tc>
        <w:tc>
          <w:tcPr>
            <w:tcW w:w="0" w:type="auto"/>
            <w:hideMark/>
          </w:tcPr>
          <w:p w14:paraId="2E95BCCC"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Decades of hostility between Israel and Iran, Iran’s regional proxy strategy, the unresolved nuclear question, and broader US-Iran confrontation over power in the Middle East.</w:t>
            </w:r>
          </w:p>
        </w:tc>
        <w:tc>
          <w:tcPr>
            <w:tcW w:w="0" w:type="auto"/>
            <w:hideMark/>
          </w:tcPr>
          <w:p w14:paraId="4178B1E1"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Direct military escalation between Israel and Iran, rather than proxy confrontation alone, has transformed the crisis. Strikes and counter-strikes, attacks affecting shipping and supply routes, and the risk of wider regional involvement have pushed this into the top tier of 2026 conflicts.</w:t>
            </w:r>
          </w:p>
        </w:tc>
      </w:tr>
      <w:tr w:rsidR="00171B4C" w:rsidRPr="00171B4C" w14:paraId="58070C5B" w14:textId="77777777" w:rsidTr="00122900">
        <w:trPr>
          <w:tblCellSpacing w:w="15" w:type="dxa"/>
        </w:trPr>
        <w:tc>
          <w:tcPr>
            <w:tcW w:w="0" w:type="auto"/>
            <w:hideMark/>
          </w:tcPr>
          <w:p w14:paraId="63624AEC"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Israel-Hamas war in Gaza</w:t>
            </w:r>
          </w:p>
        </w:tc>
        <w:tc>
          <w:tcPr>
            <w:tcW w:w="0" w:type="auto"/>
            <w:hideMark/>
          </w:tcPr>
          <w:p w14:paraId="4CE11C45"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historic Israeli-Palestinian conflict, unresolved questions of statehood and occupation, the Gaza blockade, repeated collapse of peace efforts, and mutual radicalisation over many years.</w:t>
            </w:r>
          </w:p>
        </w:tc>
        <w:tc>
          <w:tcPr>
            <w:tcW w:w="0" w:type="auto"/>
            <w:hideMark/>
          </w:tcPr>
          <w:p w14:paraId="7306696A"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immediate trigger was the Hamas attack of 7 October 2023 and Israel’s massive military response in Gaza. In 2026, the conflict remains acute because ceasefire arrangements are fragile, hostages and prisoner issues remain unresolved, and the humanitarian devastation has not been politically resolved.</w:t>
            </w:r>
          </w:p>
        </w:tc>
      </w:tr>
      <w:tr w:rsidR="00171B4C" w:rsidRPr="00171B4C" w14:paraId="08A0CC12" w14:textId="77777777" w:rsidTr="00122900">
        <w:trPr>
          <w:tblCellSpacing w:w="15" w:type="dxa"/>
        </w:trPr>
        <w:tc>
          <w:tcPr>
            <w:tcW w:w="0" w:type="auto"/>
            <w:hideMark/>
          </w:tcPr>
          <w:p w14:paraId="27E57DDE"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Myanmar civil war</w:t>
            </w:r>
          </w:p>
        </w:tc>
        <w:tc>
          <w:tcPr>
            <w:tcW w:w="0" w:type="auto"/>
            <w:hideMark/>
          </w:tcPr>
          <w:p w14:paraId="2A1A689E"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Long-term military dominance over politics, failure to build a genuinely federal state, ethnic armed conflict stretching back decades, and deep mistrust between the military and civilian democratic forces.</w:t>
            </w:r>
          </w:p>
        </w:tc>
        <w:tc>
          <w:tcPr>
            <w:tcW w:w="0" w:type="auto"/>
            <w:hideMark/>
          </w:tcPr>
          <w:p w14:paraId="522C4D5D"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2021 coup was the decisive immediate trigger. It turned a political crisis into nationwide armed resistance. In 2026, junta air strikes, resistance offensives, contested territory and the regime’s attempt to use a controlled electoral process to retain power continue to fuel the war.</w:t>
            </w:r>
          </w:p>
        </w:tc>
      </w:tr>
      <w:tr w:rsidR="00171B4C" w:rsidRPr="00171B4C" w14:paraId="74329157" w14:textId="77777777" w:rsidTr="00122900">
        <w:trPr>
          <w:tblCellSpacing w:w="15" w:type="dxa"/>
        </w:trPr>
        <w:tc>
          <w:tcPr>
            <w:tcW w:w="0" w:type="auto"/>
            <w:hideMark/>
          </w:tcPr>
          <w:p w14:paraId="67C59AB8"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Eastern Democratic Republic of Congo conflict</w:t>
            </w:r>
          </w:p>
        </w:tc>
        <w:tc>
          <w:tcPr>
            <w:tcW w:w="0" w:type="auto"/>
            <w:hideMark/>
          </w:tcPr>
          <w:p w14:paraId="22CD824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Chronic state weakness in eastern Congo, cross-border rivalries, armed group fragmentation, ethnic insecurity, and intense competition over land and mineral wealth.</w:t>
            </w:r>
          </w:p>
        </w:tc>
        <w:tc>
          <w:tcPr>
            <w:tcW w:w="0" w:type="auto"/>
            <w:hideMark/>
          </w:tcPr>
          <w:p w14:paraId="410B93D1"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immediate driver is the renewed M23 insurgency and its offensives, alongside allegations of external backing and repeated breakdowns in ceasefire efforts. The conflict remains highly volatile because territorial gains, displacement and foreign involvement keep reinforcing one another.</w:t>
            </w:r>
          </w:p>
        </w:tc>
      </w:tr>
      <w:tr w:rsidR="00171B4C" w:rsidRPr="00171B4C" w14:paraId="3CE31D70" w14:textId="77777777" w:rsidTr="00122900">
        <w:trPr>
          <w:tblCellSpacing w:w="15" w:type="dxa"/>
        </w:trPr>
        <w:tc>
          <w:tcPr>
            <w:tcW w:w="0" w:type="auto"/>
            <w:hideMark/>
          </w:tcPr>
          <w:p w14:paraId="0CE6A0EC"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Haiti’s gang war</w:t>
            </w:r>
          </w:p>
        </w:tc>
        <w:tc>
          <w:tcPr>
            <w:tcW w:w="0" w:type="auto"/>
            <w:hideMark/>
          </w:tcPr>
          <w:p w14:paraId="06B82573"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Extreme state fragility, entrenched inequality, weak policing and justice systems, corruption, political paralysis, and long-standing social exclusion in urban areas.</w:t>
            </w:r>
          </w:p>
        </w:tc>
        <w:tc>
          <w:tcPr>
            <w:tcW w:w="0" w:type="auto"/>
            <w:hideMark/>
          </w:tcPr>
          <w:p w14:paraId="61816A9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 xml:space="preserve">The assassination of President Jovenel Moïse in 2021 accelerated state collapse. Since then, gangs have expanded from criminal networks into quasi-political armed actors. In 2026, continued gang offensives, displacement, failed security restoration and </w:t>
            </w:r>
            <w:r w:rsidRPr="00171B4C">
              <w:rPr>
                <w:rFonts w:ascii="Aptos" w:eastAsia="Times New Roman" w:hAnsi="Aptos" w:cs="Times New Roman"/>
                <w:color w:val="000000"/>
                <w:sz w:val="22"/>
                <w:szCs w:val="22"/>
              </w:rPr>
              <w:lastRenderedPageBreak/>
              <w:t>delayed political transition make Haiti one of the world’s gravest internal conflicts.</w:t>
            </w:r>
          </w:p>
        </w:tc>
      </w:tr>
      <w:tr w:rsidR="00171B4C" w:rsidRPr="00171B4C" w14:paraId="532E878F" w14:textId="77777777" w:rsidTr="00122900">
        <w:trPr>
          <w:tblCellSpacing w:w="15" w:type="dxa"/>
        </w:trPr>
        <w:tc>
          <w:tcPr>
            <w:tcW w:w="0" w:type="auto"/>
            <w:hideMark/>
          </w:tcPr>
          <w:p w14:paraId="799D20D9"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lastRenderedPageBreak/>
              <w:t>Sahel insurgencies</w:t>
            </w:r>
            <w:r w:rsidRPr="00171B4C">
              <w:rPr>
                <w:rFonts w:ascii="Aptos" w:eastAsia="Times New Roman" w:hAnsi="Aptos" w:cs="Times New Roman"/>
                <w:i/>
                <w:iCs/>
                <w:color w:val="000000"/>
                <w:sz w:val="22"/>
                <w:szCs w:val="22"/>
              </w:rPr>
              <w:t>(especially Mali, Burkina Faso, Niger and spillover zones)</w:t>
            </w:r>
          </w:p>
        </w:tc>
        <w:tc>
          <w:tcPr>
            <w:tcW w:w="0" w:type="auto"/>
            <w:hideMark/>
          </w:tcPr>
          <w:p w14:paraId="1C0223D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Peripheral neglect by central governments, poverty, poor governance, climate stress, weak public services, and the spread of jihadist networks through fragile borderlands.</w:t>
            </w:r>
          </w:p>
        </w:tc>
        <w:tc>
          <w:tcPr>
            <w:tcW w:w="0" w:type="auto"/>
            <w:hideMark/>
          </w:tcPr>
          <w:p w14:paraId="19259E1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Recent coups weakened already fragile institutions and disrupted security partnerships, while insurgent groups exploited military withdrawals and poor border control. In 2026, the immediate driver is the continued southward and cross-border expansion of militant attacks, especially into more vulnerable frontier regions.</w:t>
            </w:r>
          </w:p>
        </w:tc>
      </w:tr>
      <w:tr w:rsidR="00171B4C" w:rsidRPr="00171B4C" w14:paraId="0F27CF67" w14:textId="77777777" w:rsidTr="00122900">
        <w:trPr>
          <w:tblCellSpacing w:w="15" w:type="dxa"/>
        </w:trPr>
        <w:tc>
          <w:tcPr>
            <w:tcW w:w="0" w:type="auto"/>
            <w:hideMark/>
          </w:tcPr>
          <w:p w14:paraId="71DA045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Syria’s post-Assad conflict landscape</w:t>
            </w:r>
          </w:p>
        </w:tc>
        <w:tc>
          <w:tcPr>
            <w:tcW w:w="0" w:type="auto"/>
            <w:hideMark/>
          </w:tcPr>
          <w:p w14:paraId="53E58334"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legacy of the Syrian civil war, sectarian fragmentation, authoritarian repression, foreign intervention, economic collapse and the survival of multiple armed actors with incompatible agendas.</w:t>
            </w:r>
          </w:p>
        </w:tc>
        <w:tc>
          <w:tcPr>
            <w:tcW w:w="0" w:type="auto"/>
            <w:hideMark/>
          </w:tcPr>
          <w:p w14:paraId="26E736A3"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Even after Assad’s fall from power, the conflict did not disappear because the underlying state and security order remained unsettled. Immediate causes include power vacuums, clashes between rival armed factions, Kurdish-state tensions, local sectarian violence and the renewed operational space for Islamic State cells.</w:t>
            </w:r>
          </w:p>
        </w:tc>
      </w:tr>
      <w:tr w:rsidR="00171B4C" w:rsidRPr="00171B4C" w14:paraId="3393C301" w14:textId="77777777" w:rsidTr="00122900">
        <w:trPr>
          <w:tblCellSpacing w:w="15" w:type="dxa"/>
        </w:trPr>
        <w:tc>
          <w:tcPr>
            <w:tcW w:w="0" w:type="auto"/>
            <w:hideMark/>
          </w:tcPr>
          <w:p w14:paraId="5E373076"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b/>
                <w:bCs/>
                <w:color w:val="000000"/>
                <w:sz w:val="22"/>
                <w:szCs w:val="22"/>
              </w:rPr>
              <w:t>South Sudan’s renewed instability</w:t>
            </w:r>
          </w:p>
        </w:tc>
        <w:tc>
          <w:tcPr>
            <w:tcW w:w="0" w:type="auto"/>
            <w:hideMark/>
          </w:tcPr>
          <w:p w14:paraId="064B1A47"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 xml:space="preserve">Weak nation-building after independence, elite rivalry, </w:t>
            </w:r>
            <w:proofErr w:type="spellStart"/>
            <w:r w:rsidRPr="00171B4C">
              <w:rPr>
                <w:rFonts w:ascii="Aptos" w:eastAsia="Times New Roman" w:hAnsi="Aptos" w:cs="Times New Roman"/>
                <w:color w:val="000000"/>
                <w:sz w:val="22"/>
                <w:szCs w:val="22"/>
              </w:rPr>
              <w:t>ethnicised</w:t>
            </w:r>
            <w:proofErr w:type="spellEnd"/>
            <w:r w:rsidRPr="00171B4C">
              <w:rPr>
                <w:rFonts w:ascii="Aptos" w:eastAsia="Times New Roman" w:hAnsi="Aptos" w:cs="Times New Roman"/>
                <w:color w:val="000000"/>
                <w:sz w:val="22"/>
                <w:szCs w:val="22"/>
              </w:rPr>
              <w:t xml:space="preserve"> politics, dependence on oil rents, and the failure to build strong national institutions beyond armed patronage networks.</w:t>
            </w:r>
          </w:p>
        </w:tc>
        <w:tc>
          <w:tcPr>
            <w:tcW w:w="0" w:type="auto"/>
            <w:hideMark/>
          </w:tcPr>
          <w:p w14:paraId="0A3BCF7E" w14:textId="77777777" w:rsidR="00171B4C" w:rsidRPr="00171B4C" w:rsidRDefault="00171B4C" w:rsidP="00171B4C">
            <w:pPr>
              <w:snapToGrid w:val="0"/>
              <w:rPr>
                <w:rFonts w:ascii="Aptos" w:eastAsia="Times New Roman" w:hAnsi="Aptos" w:cs="Times New Roman"/>
                <w:color w:val="000000"/>
                <w:sz w:val="22"/>
                <w:szCs w:val="22"/>
              </w:rPr>
            </w:pPr>
            <w:r w:rsidRPr="00171B4C">
              <w:rPr>
                <w:rFonts w:ascii="Aptos" w:eastAsia="Times New Roman" w:hAnsi="Aptos" w:cs="Times New Roman"/>
                <w:color w:val="000000"/>
                <w:sz w:val="22"/>
                <w:szCs w:val="22"/>
              </w:rPr>
              <w:t>The immediate causes are the erosion of the 2018 peace deal, delayed implementation of transitional arrangements, renewed local massacres, and remobilisation by rival forces. In 2026, rising violence and political mistrust are pushing the country back toward a broader civil-war scenario.</w:t>
            </w:r>
          </w:p>
        </w:tc>
      </w:tr>
    </w:tbl>
    <w:p w14:paraId="353D2E1A" w14:textId="071E5BAA" w:rsidR="00173435" w:rsidRPr="00171B4C" w:rsidRDefault="00173435" w:rsidP="00171B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rPr>
          <w:rFonts w:ascii="Aptos" w:hAnsi="Aptos" w:cs="Calibri"/>
          <w:b/>
          <w:sz w:val="22"/>
          <w:szCs w:val="22"/>
        </w:rPr>
      </w:pPr>
    </w:p>
    <w:sectPr w:rsidR="00173435" w:rsidRPr="00171B4C" w:rsidSect="00122900">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0327" w14:textId="77777777" w:rsidR="002A61CE" w:rsidRDefault="002A61CE" w:rsidP="00410816">
      <w:r>
        <w:separator/>
      </w:r>
    </w:p>
  </w:endnote>
  <w:endnote w:type="continuationSeparator" w:id="0">
    <w:p w14:paraId="160E8304" w14:textId="77777777" w:rsidR="002A61CE" w:rsidRDefault="002A61CE"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ACAB" w14:textId="77777777" w:rsidR="002A61CE" w:rsidRDefault="002A61CE" w:rsidP="00410816">
      <w:r>
        <w:separator/>
      </w:r>
    </w:p>
  </w:footnote>
  <w:footnote w:type="continuationSeparator" w:id="0">
    <w:p w14:paraId="2164BF9E" w14:textId="77777777" w:rsidR="002A61CE" w:rsidRDefault="002A61CE"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23A3AB9D"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0E4A2391" w14:textId="4D4322E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0F656EFD" w14:textId="6558AEB3"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2198734">
    <w:abstractNumId w:val="4"/>
  </w:num>
  <w:num w:numId="2" w16cid:durableId="1588030414">
    <w:abstractNumId w:val="0"/>
  </w:num>
  <w:num w:numId="3" w16cid:durableId="108740577">
    <w:abstractNumId w:val="5"/>
  </w:num>
  <w:num w:numId="4" w16cid:durableId="1559321271">
    <w:abstractNumId w:val="8"/>
  </w:num>
  <w:num w:numId="5" w16cid:durableId="846602324">
    <w:abstractNumId w:val="9"/>
  </w:num>
  <w:num w:numId="6" w16cid:durableId="414398622">
    <w:abstractNumId w:val="7"/>
  </w:num>
  <w:num w:numId="7" w16cid:durableId="1212305931">
    <w:abstractNumId w:val="2"/>
  </w:num>
  <w:num w:numId="8" w16cid:durableId="350031060">
    <w:abstractNumId w:val="6"/>
  </w:num>
  <w:num w:numId="9" w16cid:durableId="510266219">
    <w:abstractNumId w:val="1"/>
  </w:num>
  <w:num w:numId="10" w16cid:durableId="84744999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55B20"/>
    <w:rsid w:val="000F7C8C"/>
    <w:rsid w:val="00122900"/>
    <w:rsid w:val="00171B4C"/>
    <w:rsid w:val="00173435"/>
    <w:rsid w:val="001A3D9B"/>
    <w:rsid w:val="00241052"/>
    <w:rsid w:val="00245BAD"/>
    <w:rsid w:val="002A61CE"/>
    <w:rsid w:val="002B076E"/>
    <w:rsid w:val="002B2D7E"/>
    <w:rsid w:val="002E699C"/>
    <w:rsid w:val="003735C3"/>
    <w:rsid w:val="003A7399"/>
    <w:rsid w:val="003C7167"/>
    <w:rsid w:val="00410816"/>
    <w:rsid w:val="0042307A"/>
    <w:rsid w:val="005246FC"/>
    <w:rsid w:val="00575BFD"/>
    <w:rsid w:val="005D3904"/>
    <w:rsid w:val="00626303"/>
    <w:rsid w:val="00627BC2"/>
    <w:rsid w:val="006A0922"/>
    <w:rsid w:val="006D5DAA"/>
    <w:rsid w:val="006E1F00"/>
    <w:rsid w:val="00753EA5"/>
    <w:rsid w:val="007823D6"/>
    <w:rsid w:val="00802090"/>
    <w:rsid w:val="00836758"/>
    <w:rsid w:val="008851CE"/>
    <w:rsid w:val="00893A4F"/>
    <w:rsid w:val="008D4062"/>
    <w:rsid w:val="008D5458"/>
    <w:rsid w:val="009A769A"/>
    <w:rsid w:val="00B77B6B"/>
    <w:rsid w:val="00BD6509"/>
    <w:rsid w:val="00BD6751"/>
    <w:rsid w:val="00C26746"/>
    <w:rsid w:val="00C26C74"/>
    <w:rsid w:val="00CA5C0E"/>
    <w:rsid w:val="00CC35E1"/>
    <w:rsid w:val="00D2751B"/>
    <w:rsid w:val="00D32F8B"/>
    <w:rsid w:val="00DD4A7E"/>
    <w:rsid w:val="00E46621"/>
    <w:rsid w:val="00E701E9"/>
    <w:rsid w:val="00E83C58"/>
    <w:rsid w:val="00EF508C"/>
    <w:rsid w:val="00F9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1535</Words>
  <Characters>8198</Characters>
  <Application>Microsoft Office Word</Application>
  <DocSecurity>0</DocSecurity>
  <Lines>146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6</cp:revision>
  <dcterms:created xsi:type="dcterms:W3CDTF">2023-02-10T07:54:00Z</dcterms:created>
  <dcterms:modified xsi:type="dcterms:W3CDTF">2026-03-07T00:49:00Z</dcterms:modified>
</cp:coreProperties>
</file>