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Créateur de modèle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rôle principal est d’ajouter de nouvelles créations (CAO) sur la plateforme. Un aperçu de ses créations est alors visible sur le site. Par contre, pour accéder au modèle lui-même et à son éventuel droit d’exploitation, il faut le payer et éventuellement reverser un droit d’auteur. Le créateur récupère évidemment un pourcentage de ce paiement.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créateur est plus ou moins reconnu en fonction du succès que rencontre ses modèles. Lorsqu’un créateur devient assez populaire, il change de statut et peut percevoir une partie des abonnements des imprimeurs. En effet ces derniers ont accès à tout les modèles et donc aux plus populaires.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Toutefois, de manière à éviter les copies ou contrefaçons, un modèle doit être soumis à la validation d’un modérateur. Une fois validé l’auteur d’un modèle peut définir un certain nombre de règles sur ses modalités de création et de distribution. En effet, il peut restreindre son produit à un usage strictement personnel ou bien autoriser une plus large commercialisation.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Créateur de modèle.docx</dc:title>
</cp:coreProperties>
</file>