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160"/>
        <w:jc w:val="center"/>
      </w:pPr>
      <w:r>
        <w:rPr>
          <w:b/>
          <w:sz w:val="44"/>
        </w:rPr>
        <w:t>Aufgabenblatt 1</w:t>
        <w:br/>
        <w:t>Projektskizze: Schwarmintelligenz</w:t>
      </w:r>
    </w:p>
    <w:p>
      <w:pPr>
        <w:jc w:val="center"/>
      </w:pPr>
      <w:r>
        <w:rPr>
          <w:sz w:val="22"/>
        </w:rPr>
        <w:t>Agententechnologien — Grundlagen und Anwendungen</w:t>
      </w:r>
    </w:p>
    <w:p>
      <w:pPr>
        <w:jc w:val="center"/>
      </w:pPr>
      <w:r>
        <w:rPr>
          <w:sz w:val="22"/>
        </w:rPr>
        <w:t>TU Berlin, Sommersemester 2026</w:t>
      </w:r>
    </w:p>
    <w:p>
      <w:pPr>
        <w:jc w:val="center"/>
      </w:pPr>
      <w:r>
        <w:rPr>
          <w:sz w:val="22"/>
        </w:rPr>
      </w:r>
    </w:p>
    <w:p>
      <w:pPr>
        <w:jc w:val="center"/>
      </w:pPr>
      <w:r>
        <w:rPr>
          <w:b/>
          <w:sz w:val="22"/>
        </w:rPr>
        <w:t>Gruppe 11</w:t>
      </w:r>
    </w:p>
    <w:p>
      <w:pPr>
        <w:jc w:val="center"/>
      </w:pPr>
      <w:r>
        <w:rPr>
          <w:sz w:val="22"/>
        </w:rPr>
        <w:t>Ivan Wanylyn</w:t>
      </w:r>
    </w:p>
    <w:p>
      <w:pPr>
        <w:jc w:val="center"/>
      </w:pPr>
      <w:r>
        <w:rPr>
          <w:sz w:val="22"/>
        </w:rPr>
      </w:r>
    </w:p>
    <w:p>
      <w:pPr>
        <w:jc w:val="center"/>
      </w:pPr>
      <w:r>
        <w:rPr>
          <w:sz w:val="22"/>
        </w:rPr>
        <w:t>Abgabe: 04.05.2026</w:t>
      </w:r>
    </w:p>
    <w:p>
      <w:r>
        <w:br/>
      </w:r>
    </w:p>
    <w:p>
      <w:r>
        <w:rPr>
          <w:b/>
        </w:rPr>
        <w:t>Bearbeiter:</w:t>
      </w:r>
      <w:r>
        <w:t xml:space="preserve"> Gruppe 11</w:t>
      </w:r>
    </w:p>
    <w:p/>
    <w:p>
      <w:pPr>
        <w:pStyle w:val="Heading2"/>
      </w:pPr>
      <w:r>
        <w:t>1. Aufgabenstellung in Kurzform</w:t>
      </w:r>
    </w:p>
    <w:p>
      <w:r>
        <w:t>Implementiert wird eine reaktive Multi‑Agenten‑Simulation einer Ameisenkolonie, die in einer 2D‑Gitterwelt Futter sammelt. Die Ameisen orientieren sich aus‑ schließlich lokal über Pheromonspuren (Nest‑ und Futterpheromon). Ziel der Projektskizze ist der Systementwurf: Klassen­diagramm, Sequenz­diagramm, Daten‑ modell der Startkonfiguration, Logging‑Plan sowie eine Forschungs­frage. Die Implementierung folgt in der Projektdokumentation.</w:t>
      </w:r>
    </w:p>
    <w:p/>
    <w:p>
      <w:pPr>
        <w:pStyle w:val="Heading2"/>
      </w:pPr>
      <w:r>
        <w:t>2. Forschungsfrage</w:t>
      </w:r>
    </w:p>
    <w:p>
      <w:pPr>
        <w:pStyle w:val="Heading3"/>
      </w:pPr>
      <w:r>
        <w:t>2.1 Leitfrage</w:t>
      </w:r>
    </w:p>
    <w:p>
      <w:pPr>
        <w:ind w:left="340"/>
      </w:pPr>
      <w:r>
        <w:rPr>
          <w:i/>
        </w:rPr>
        <w:t>Wie verhält sich eine Ameisenkolonie, wenn Nahrung in unterschiedlicher Entfernung vom Nest liegt? Werden alle Quellen gleich gut erreicht oder bevorzugt die Kolonie die nähere?</w:t>
      </w:r>
    </w:p>
    <w:p>
      <w:pPr>
        <w:pStyle w:val="Heading3"/>
      </w:pPr>
      <w:r>
        <w:t>2.2 Vermutung</w:t>
      </w:r>
    </w:p>
    <w:p>
      <w:r>
        <w:t>Wir erwarten, dass die nähere Quelle zuerst gefunden und stabil ausgebeutet wird, bevor sich Trails zur weiter entfernten Quelle etablieren — schlicht weil kürzere Trails weniger durch Pheromon­verdunstung verlieren.</w:t>
      </w:r>
    </w:p>
    <w:p>
      <w:pPr>
        <w:pStyle w:val="Heading3"/>
      </w:pPr>
      <w:r>
        <w:t>2.3 Was wir messen</w:t>
      </w:r>
    </w:p>
    <w:p>
      <w:r>
        <w:t>Pro Lauf protokollieren wir, wann das erste Nahrungs­item aus jeder Quelle im Nest ankommt (</w:t>
      </w:r>
      <w:r>
        <w:rPr>
          <w:rFonts w:ascii="Consolas" w:hAnsi="Consolas"/>
          <w:sz w:val="19"/>
        </w:rPr>
        <w:t>t_first(A)</w:t>
      </w:r>
      <w:r>
        <w:t xml:space="preserve">, </w:t>
      </w:r>
      <w:r>
        <w:rPr>
          <w:rFonts w:ascii="Consolas" w:hAnsi="Consolas"/>
          <w:sz w:val="19"/>
        </w:rPr>
        <w:t>t_first(B)</w:t>
      </w:r>
      <w:r>
        <w:t>) und wie viel Nahrung im Zeitverlauf eingelagert wird. Wir variieren die Distanz der zweiten Quelle (</w:t>
      </w:r>
      <w:r>
        <w:rPr>
          <w:rFonts w:ascii="Consolas" w:hAnsi="Consolas"/>
          <w:sz w:val="19"/>
        </w:rPr>
        <w:t>D₂ ∈ {12, 15, 20}</w:t>
      </w:r>
      <w:r>
        <w:t xml:space="preserve"> gegenüber </w:t>
      </w:r>
      <w:r>
        <w:rPr>
          <w:rFonts w:ascii="Consolas" w:hAnsi="Consolas"/>
          <w:sz w:val="19"/>
        </w:rPr>
        <w:t>D₁ = 5</w:t>
      </w:r>
      <w:r>
        <w:t>) und die Ameisenzahl (</w:t>
      </w:r>
      <w:r>
        <w:rPr>
          <w:rFonts w:ascii="Consolas" w:hAnsi="Consolas"/>
          <w:sz w:val="19"/>
        </w:rPr>
        <w:t>N ∈ {10, 20, 30}</w:t>
      </w:r>
      <w:r>
        <w:t>).</w:t>
      </w:r>
    </w:p>
    <w:p>
      <w:pPr>
        <w:pStyle w:val="Heading3"/>
      </w:pPr>
      <w:r>
        <w:t>2.4 Nebenfrage</w:t>
      </w:r>
    </w:p>
    <w:p>
      <w:r>
        <w:t>Im Warmstart‑Experiment schauen wir zusätzlich, wie schnell sich ein Trail erholt, wenn die Pheromone für kurze Zeit ausgeschaltet werden — erwartet ist, dass die Kolonie relativ zügig zurückfindet.</w:t>
      </w:r>
    </w:p>
    <w:p/>
    <w:p>
      <w:pPr>
        <w:pStyle w:val="Heading2"/>
      </w:pPr>
      <w:r>
        <w:t>3. Domänen‑ und Systemmodell</w:t>
      </w:r>
    </w:p>
    <w:p>
      <w:pPr>
        <w:pStyle w:val="Heading3"/>
      </w:pPr>
      <w:r>
        <w:t>3.1 Begriffe</w:t>
      </w:r>
    </w:p>
    <w:tbl>
      <w:tblPr>
        <w:tblStyle w:val="LightGrid-Accent1"/>
        <w:tblW w:type="auto" w:w="0"/>
        <w:tblLook w:firstColumn="1" w:firstRow="1" w:lastColumn="0" w:lastRow="0" w:noHBand="0" w:noVBand="1" w:val="04A0"/>
      </w:tblPr>
      <w:tblGrid>
        <w:gridCol w:w="4986"/>
        <w:gridCol w:w="4986"/>
      </w:tblGrid>
      <w:tr>
        <w:tc>
          <w:tcPr>
            <w:tcW w:type="dxa" w:w="4986"/>
            <w:vAlign w:val="top"/>
          </w:tcPr>
          <w:p>
            <w:r/>
            <w:r>
              <w:rPr>
                <w:b/>
              </w:rPr>
              <w:t>Begriff</w:t>
            </w:r>
          </w:p>
        </w:tc>
        <w:tc>
          <w:tcPr>
            <w:tcW w:type="dxa" w:w="4986"/>
            <w:vAlign w:val="top"/>
          </w:tcPr>
          <w:p>
            <w:r/>
            <w:r>
              <w:rPr>
                <w:b/>
              </w:rPr>
              <w:t>Bedeutung</w:t>
            </w:r>
          </w:p>
        </w:tc>
      </w:tr>
      <w:tr>
        <w:tc>
          <w:tcPr>
            <w:tcW w:type="dxa" w:w="4986"/>
            <w:vAlign w:val="top"/>
          </w:tcPr>
          <w:p>
            <w:r/>
            <w:r>
              <w:rPr>
                <w:b/>
              </w:rPr>
              <w:t>GridWorld</w:t>
            </w:r>
          </w:p>
        </w:tc>
        <w:tc>
          <w:tcPr>
            <w:tcW w:type="dxa" w:w="4986"/>
            <w:vAlign w:val="top"/>
          </w:tcPr>
          <w:p>
            <w:r/>
            <w:r>
              <w:t xml:space="preserve">n×m‑Raster aus </w:t>
            </w:r>
            <w:r>
              <w:rPr>
                <w:rFonts w:ascii="Consolas" w:hAnsi="Consolas"/>
                <w:sz w:val="19"/>
              </w:rPr>
              <w:t>Cell</w:t>
            </w:r>
            <w:r>
              <w:t xml:space="preserve">‑Objekten; toroidal </w:t>
            </w:r>
            <w:r>
              <w:rPr>
                <w:i/>
              </w:rPr>
              <w:t>aus</w:t>
            </w:r>
            <w:r>
              <w:t xml:space="preserve"> (Ränder blockieren).</w:t>
            </w:r>
          </w:p>
        </w:tc>
      </w:tr>
      <w:tr>
        <w:tc>
          <w:tcPr>
            <w:tcW w:type="dxa" w:w="4986"/>
            <w:vAlign w:val="top"/>
          </w:tcPr>
          <w:p>
            <w:r/>
            <w:r>
              <w:rPr>
                <w:b/>
              </w:rPr>
              <w:t>Cell</w:t>
            </w:r>
          </w:p>
        </w:tc>
        <w:tc>
          <w:tcPr>
            <w:tcW w:type="dxa" w:w="4986"/>
            <w:vAlign w:val="top"/>
          </w:tcPr>
          <w:p>
            <w:r/>
            <w:r>
              <w:t xml:space="preserve">Feld mit Kapazität </w:t>
            </w:r>
            <w:r>
              <w:rPr>
                <w:rFonts w:ascii="Consolas" w:hAnsi="Consolas"/>
                <w:sz w:val="19"/>
              </w:rPr>
              <w:t>c ≥ 0</w:t>
            </w:r>
            <w:r>
              <w:t xml:space="preserve"> (0 = Hindernis), Item‑Stack, Pheromon‑Levels.</w:t>
            </w:r>
          </w:p>
        </w:tc>
      </w:tr>
      <w:tr>
        <w:tc>
          <w:tcPr>
            <w:tcW w:type="dxa" w:w="4986"/>
            <w:vAlign w:val="top"/>
          </w:tcPr>
          <w:p>
            <w:r/>
            <w:r>
              <w:rPr>
                <w:b/>
              </w:rPr>
              <w:t>Agent</w:t>
            </w:r>
          </w:p>
        </w:tc>
        <w:tc>
          <w:tcPr>
            <w:tcW w:type="dxa" w:w="4986"/>
            <w:vAlign w:val="top"/>
          </w:tcPr>
          <w:p>
            <w:r/>
            <w:r>
              <w:t>Ameise mit Position, Energie, Trag­zustand, Bewegungs­regeln.</w:t>
            </w:r>
          </w:p>
        </w:tc>
      </w:tr>
      <w:tr>
        <w:tc>
          <w:tcPr>
            <w:tcW w:type="dxa" w:w="4986"/>
            <w:vAlign w:val="top"/>
          </w:tcPr>
          <w:p>
            <w:r/>
            <w:r>
              <w:rPr>
                <w:b/>
              </w:rPr>
              <w:t>Manager</w:t>
            </w:r>
          </w:p>
        </w:tc>
        <w:tc>
          <w:tcPr>
            <w:tcW w:type="dxa" w:w="4986"/>
            <w:vAlign w:val="top"/>
          </w:tcPr>
          <w:p>
            <w:r/>
            <w:r>
              <w:t>zentrale Instanz: Zeitsteuerung, Wahrnehmung, Konflikt­auflösung, Logging.</w:t>
            </w:r>
          </w:p>
        </w:tc>
      </w:tr>
      <w:tr>
        <w:tc>
          <w:tcPr>
            <w:tcW w:type="dxa" w:w="4986"/>
            <w:vAlign w:val="top"/>
          </w:tcPr>
          <w:p>
            <w:r/>
            <w:r>
              <w:rPr>
                <w:b/>
              </w:rPr>
              <w:t>Tick</w:t>
            </w:r>
          </w:p>
        </w:tc>
        <w:tc>
          <w:tcPr>
            <w:tcW w:type="dxa" w:w="4986"/>
            <w:vAlign w:val="top"/>
          </w:tcPr>
          <w:p>
            <w:r/>
            <w:r>
              <w:t xml:space="preserve">Diskreter Zeitschritt; jeder Agent führt </w:t>
            </w:r>
            <w:r>
              <w:rPr>
                <w:b/>
              </w:rPr>
              <w:t>genau eine</w:t>
            </w:r>
            <w:r>
              <w:t xml:space="preserve"> Aktion aus.</w:t>
            </w:r>
          </w:p>
        </w:tc>
      </w:tr>
      <w:tr>
        <w:tc>
          <w:tcPr>
            <w:tcW w:type="dxa" w:w="4986"/>
            <w:vAlign w:val="top"/>
          </w:tcPr>
          <w:p>
            <w:r/>
            <w:r>
              <w:rPr>
                <w:b/>
              </w:rPr>
              <w:t>Item</w:t>
            </w:r>
          </w:p>
        </w:tc>
        <w:tc>
          <w:tcPr>
            <w:tcW w:type="dxa" w:w="4986"/>
            <w:vAlign w:val="top"/>
          </w:tcPr>
          <w:p>
            <w:r/>
            <w:r>
              <w:t xml:space="preserve">Auf Feld liegendes Objekt: </w:t>
            </w:r>
            <w:r>
              <w:rPr>
                <w:rFonts w:ascii="Consolas" w:hAnsi="Consolas"/>
                <w:sz w:val="19"/>
              </w:rPr>
              <w:t>Food</w:t>
            </w:r>
            <w:r>
              <w:t xml:space="preserve">, </w:t>
            </w:r>
            <w:r>
              <w:rPr>
                <w:rFonts w:ascii="Consolas" w:hAnsi="Consolas"/>
                <w:sz w:val="19"/>
              </w:rPr>
              <w:t>EnergySource</w:t>
            </w:r>
            <w:r>
              <w:t xml:space="preserve">, </w:t>
            </w:r>
            <w:r>
              <w:rPr>
                <w:rFonts w:ascii="Consolas" w:hAnsi="Consolas"/>
                <w:sz w:val="19"/>
              </w:rPr>
              <w:t>NestMarker</w:t>
            </w:r>
            <w:r>
              <w:t>.</w:t>
            </w:r>
          </w:p>
        </w:tc>
      </w:tr>
      <w:tr>
        <w:tc>
          <w:tcPr>
            <w:tcW w:type="dxa" w:w="4986"/>
            <w:vAlign w:val="top"/>
          </w:tcPr>
          <w:p>
            <w:r/>
            <w:r>
              <w:rPr>
                <w:b/>
              </w:rPr>
              <w:t>Pheromon</w:t>
            </w:r>
          </w:p>
        </w:tc>
        <w:tc>
          <w:tcPr>
            <w:tcW w:type="dxa" w:w="4986"/>
            <w:vAlign w:val="top"/>
          </w:tcPr>
          <w:p>
            <w:r/>
            <w:r>
              <w:t>Skalares Feldattribut (</w:t>
            </w:r>
            <w:r>
              <w:rPr>
                <w:rFonts w:ascii="Consolas" w:hAnsi="Consolas"/>
                <w:sz w:val="19"/>
              </w:rPr>
              <w:t>nest</w:t>
            </w:r>
            <w:r>
              <w:t xml:space="preserve">, </w:t>
            </w:r>
            <w:r>
              <w:rPr>
                <w:rFonts w:ascii="Consolas" w:hAnsi="Consolas"/>
                <w:sz w:val="19"/>
              </w:rPr>
              <w:t>food</w:t>
            </w:r>
            <w:r>
              <w:t xml:space="preserve">) mit Verdunstungsrate </w:t>
            </w:r>
            <w:r>
              <w:rPr>
                <w:rFonts w:ascii="Consolas" w:hAnsi="Consolas"/>
                <w:sz w:val="19"/>
              </w:rPr>
              <w:t>ρ</w:t>
            </w:r>
            <w:r>
              <w:t>.</w:t>
            </w:r>
          </w:p>
        </w:tc>
      </w:tr>
    </w:tbl>
    <w:p>
      <w:pPr>
        <w:pStyle w:val="Heading3"/>
      </w:pPr>
      <w:r>
        <w:t>3.2 Klassen­diagramm</w:t>
      </w:r>
    </w:p>
    <w:p>
      <w:r>
        <w:t xml:space="preserve">Siehe </w:t>
      </w:r>
      <w:r>
        <w:rPr>
          <w:color w:val="1A4F8A"/>
          <w:u w:val="single"/>
        </w:rPr>
        <w:t>`diagrams/class-diagram.mmd`</w:t>
      </w:r>
      <w:r>
        <w:t xml:space="preserve"> (Struktur) und </w:t>
      </w:r>
      <w:r>
        <w:rPr>
          <w:color w:val="1A4F8A"/>
          <w:u w:val="single"/>
        </w:rPr>
        <w:t>`diagrams/class-diagram-types.mmd`</w:t>
      </w:r>
      <w:r>
        <w:t xml:space="preserve"> (Wertobjekte). Eingebunden, kommentiert in Abschnitt 4.</w:t>
      </w:r>
    </w:p>
    <w:p>
      <w:pPr>
        <w:pStyle w:val="Heading3"/>
      </w:pPr>
      <w:r>
        <w:t>3.3 Sequenz­diagramm</w:t>
      </w:r>
    </w:p>
    <w:p>
      <w:r>
        <w:t xml:space="preserve">Siehe </w:t>
      </w:r>
      <w:r>
        <w:rPr>
          <w:color w:val="1A4F8A"/>
          <w:u w:val="single"/>
        </w:rPr>
        <w:t>`diagrams/sequence-diagram.mmd`</w:t>
      </w:r>
      <w:r>
        <w:t>. Beschreibung des Tick‑Ablaufs in Abschnitt 5.</w:t>
      </w:r>
    </w:p>
    <w:p>
      <w:pPr>
        <w:pStyle w:val="Heading3"/>
      </w:pPr>
      <w:r>
        <w:t>3.4 Konfigurations­modell</w:t>
      </w:r>
    </w:p>
    <w:p>
      <w:r>
        <w:t xml:space="preserve">Beispiel: </w:t>
      </w:r>
      <w:r>
        <w:rPr>
          <w:color w:val="1A4F8A"/>
          <w:u w:val="single"/>
        </w:rPr>
        <w:t>`config/world_default.json`</w:t>
      </w:r>
      <w:r>
        <w:t xml:space="preserve"> + Schema </w:t>
      </w:r>
      <w:r>
        <w:rPr>
          <w:color w:val="1A4F8A"/>
          <w:u w:val="single"/>
        </w:rPr>
        <w:t>`config/world.schema.json`</w:t>
      </w:r>
      <w:r>
        <w:t>. Erläuterung in Abschnitt 6.</w:t>
      </w:r>
    </w:p>
    <w:p/>
    <w:p>
      <w:pPr>
        <w:pStyle w:val="Heading2"/>
      </w:pPr>
      <w:r>
        <w:t>4. Klassen­diagramm – Erläuterung</w:t>
      </w:r>
    </w:p>
    <w:p>
      <w:pPr>
        <w:jc w:val="center"/>
      </w:pPr>
      <w:r>
        <w:drawing>
          <wp:inline xmlns:a="http://schemas.openxmlformats.org/drawingml/2006/main" xmlns:pic="http://schemas.openxmlformats.org/drawingml/2006/picture">
            <wp:extent cx="5760000" cy="5040000"/>
            <wp:docPr id="1" name="Picture 1"/>
            <wp:cNvGraphicFramePr>
              <a:graphicFrameLocks noChangeAspect="1"/>
            </wp:cNvGraphicFramePr>
            <a:graphic>
              <a:graphicData uri="http://schemas.openxmlformats.org/drawingml/2006/picture">
                <pic:pic>
                  <pic:nvPicPr>
                    <pic:cNvPr id="0" name="class-diagram.png"/>
                    <pic:cNvPicPr/>
                  </pic:nvPicPr>
                  <pic:blipFill>
                    <a:blip r:embed="rId9"/>
                    <a:stretch>
                      <a:fillRect/>
                    </a:stretch>
                  </pic:blipFill>
                  <pic:spPr>
                    <a:xfrm>
                      <a:off x="0" y="0"/>
                      <a:ext cx="5760000" cy="5040000"/>
                    </a:xfrm>
                    <a:prstGeom prst="rect"/>
                  </pic:spPr>
                </pic:pic>
              </a:graphicData>
            </a:graphic>
          </wp:inline>
        </w:drawing>
      </w:r>
    </w:p>
    <w:p>
      <w:pPr>
        <w:jc w:val="center"/>
      </w:pPr>
      <w:r>
        <w:rPr>
          <w:i/>
          <w:color w:val="555555"/>
          <w:sz w:val="18"/>
        </w:rPr>
        <w:t>Abbildung 1a: Klassendiagramm – Struktur und Komposition.</w:t>
      </w:r>
    </w:p>
    <w:p>
      <w:pPr>
        <w:jc w:val="center"/>
      </w:pPr>
      <w:r>
        <w:drawing>
          <wp:inline xmlns:a="http://schemas.openxmlformats.org/drawingml/2006/main" xmlns:pic="http://schemas.openxmlformats.org/drawingml/2006/picture">
            <wp:extent cx="5760000" cy="4180408"/>
            <wp:docPr id="2" name="Picture 2"/>
            <wp:cNvGraphicFramePr>
              <a:graphicFrameLocks noChangeAspect="1"/>
            </wp:cNvGraphicFramePr>
            <a:graphic>
              <a:graphicData uri="http://schemas.openxmlformats.org/drawingml/2006/picture">
                <pic:pic>
                  <pic:nvPicPr>
                    <pic:cNvPr id="0" name="class-diagram-types.png"/>
                    <pic:cNvPicPr/>
                  </pic:nvPicPr>
                  <pic:blipFill>
                    <a:blip r:embed="rId10"/>
                    <a:stretch>
                      <a:fillRect/>
                    </a:stretch>
                  </pic:blipFill>
                  <pic:spPr>
                    <a:xfrm>
                      <a:off x="0" y="0"/>
                      <a:ext cx="5760000" cy="4180408"/>
                    </a:xfrm>
                    <a:prstGeom prst="rect"/>
                  </pic:spPr>
                </pic:pic>
              </a:graphicData>
            </a:graphic>
          </wp:inline>
        </w:drawing>
      </w:r>
    </w:p>
    <w:p>
      <w:pPr>
        <w:jc w:val="center"/>
      </w:pPr>
      <w:r>
        <w:rPr>
          <w:i/>
          <w:color w:val="555555"/>
          <w:sz w:val="18"/>
        </w:rPr>
        <w:t>Abbildung 1b: Klassendiagramm – Wertobjekte (Item-/Action-Hierarchie) und Botschaftsobjekte zwischen Manager und Agent.</w:t>
      </w:r>
    </w:p>
    <w:p>
      <w:r>
        <w:t xml:space="preserve">Das Klassen­diagramm ist auf zwei Panels aufgeteilt, damit jedes Panel auf einer A4‑Seite lesbar bleibt: </w:t>
      </w:r>
      <w:r>
        <w:rPr>
          <w:b/>
        </w:rPr>
        <w:t>(a)</w:t>
      </w:r>
      <w:r>
        <w:t xml:space="preserve"> zeigt die strukturelle Komposition (Manager, Welt, Konfiguration, Logging, RNG), </w:t>
      </w:r>
      <w:r>
        <w:rPr>
          <w:b/>
        </w:rPr>
        <w:t>(b)</w:t>
      </w:r>
      <w:r>
        <w:t xml:space="preserve"> zeigt die Wert­objekte für die Kommunikation (</w:t>
      </w:r>
      <w:r>
        <w:rPr>
          <w:rFonts w:ascii="Consolas" w:hAnsi="Consolas"/>
          <w:sz w:val="19"/>
        </w:rPr>
        <w:t>Perception</w:t>
      </w:r>
      <w:r>
        <w:t xml:space="preserve">, </w:t>
      </w:r>
      <w:r>
        <w:rPr>
          <w:rFonts w:ascii="Consolas" w:hAnsi="Consolas"/>
          <w:sz w:val="19"/>
        </w:rPr>
        <w:t>ActionRequest</w:t>
      </w:r>
      <w:r>
        <w:t xml:space="preserve">) sowie die Vererbungs­hierarchien für </w:t>
      </w:r>
      <w:r>
        <w:rPr>
          <w:rFonts w:ascii="Consolas" w:hAnsi="Consolas"/>
          <w:sz w:val="19"/>
        </w:rPr>
        <w:t>Item</w:t>
      </w:r>
      <w:r>
        <w:t xml:space="preserve"> und </w:t>
      </w:r>
      <w:r>
        <w:rPr>
          <w:rFonts w:ascii="Consolas" w:hAnsi="Consolas"/>
          <w:sz w:val="19"/>
        </w:rPr>
        <w:t>Action</w:t>
      </w:r>
      <w:r>
        <w:t>.</w:t>
      </w:r>
    </w:p>
    <w:p>
      <w:pPr>
        <w:pStyle w:val="Heading3"/>
      </w:pPr>
      <w:r>
        <w:t>4.1 Verantwortlichkeiten (Kern)</w:t>
      </w:r>
    </w:p>
    <w:p>
      <w:r>
        <w:t xml:space="preserve">PDF p.3 fordert für die Skizze die Erläuterung von </w:t>
      </w:r>
      <w:r>
        <w:rPr>
          <w:b/>
        </w:rPr>
        <w:t>Gridwelt, Agenten und Manager</w:t>
      </w:r>
      <w:r>
        <w:t xml:space="preserve"> sowie der </w:t>
      </w:r>
      <w:r>
        <w:rPr>
          <w:b/>
        </w:rPr>
        <w:t>Methoden für den Nachrichten­austausch</w:t>
      </w:r>
      <w:r>
        <w:t xml:space="preserve"> (siehe § 4.2).</w:t>
      </w:r>
    </w:p>
    <w:p>
      <w:pPr>
        <w:pStyle w:val="ListBullet"/>
      </w:pPr>
      <w:r>
        <w:rPr>
          <w:b/>
        </w:rPr>
        <w:t>`SimulationManager`</w:t>
      </w:r>
      <w:r>
        <w:t xml:space="preserve"> – Kontrolliert Zeit, Welt und Agenten­zustände (PDF Hinweise §"Manager"): startet/terminiert die Simulation, stellt Wahrnehmungen zu, führt Aktionen aus, prüft Energielevel, protokolliert. Hat als einziger vollständiges Welt­wissen.</w:t>
      </w:r>
    </w:p>
    <w:p>
      <w:pPr>
        <w:pStyle w:val="ListBullet"/>
      </w:pPr>
      <w:r>
        <w:rPr>
          <w:b/>
        </w:rPr>
        <w:t>`GridWorld`</w:t>
      </w:r>
      <w:r>
        <w:t xml:space="preserve"> – n×m‑Matrix von </w:t>
      </w:r>
      <w:r>
        <w:rPr>
          <w:rFonts w:ascii="Consolas" w:hAnsi="Consolas"/>
          <w:sz w:val="19"/>
        </w:rPr>
        <w:t>Cell</w:t>
      </w:r>
      <w:r>
        <w:t xml:space="preserve">. </w:t>
      </w:r>
      <w:r>
        <w:rPr>
          <w:rFonts w:ascii="Consolas" w:hAnsi="Consolas"/>
          <w:sz w:val="19"/>
        </w:rPr>
        <w:t>capacity == 0</w:t>
      </w:r>
      <w:r>
        <w:t xml:space="preserve"> ⇒ Hindernis. Items und Pheromone liegen auf den Feldern.</w:t>
      </w:r>
    </w:p>
    <w:p>
      <w:pPr>
        <w:pStyle w:val="ListBullet"/>
      </w:pPr>
      <w:r>
        <w:rPr>
          <w:b/>
        </w:rPr>
        <w:t>`AntAgent`</w:t>
      </w:r>
      <w:r>
        <w:t xml:space="preserve"> – Reaktiver Agent. Pro Tick </w:t>
      </w:r>
      <w:r>
        <w:rPr>
          <w:rFonts w:ascii="Consolas" w:hAnsi="Consolas"/>
          <w:sz w:val="19"/>
        </w:rPr>
        <w:t>Sense → Reason → Act</w:t>
      </w:r>
      <w:r>
        <w:t xml:space="preserve"> (PDF Hinweise §"Agenten"). Interner Zustand: </w:t>
      </w:r>
      <w:r>
        <w:rPr>
          <w:rFonts w:ascii="Consolas" w:hAnsi="Consolas"/>
          <w:sz w:val="19"/>
        </w:rPr>
        <w:t>position</w:t>
      </w:r>
      <w:r>
        <w:t xml:space="preserve">, </w:t>
      </w:r>
      <w:r>
        <w:rPr>
          <w:rFonts w:ascii="Consolas" w:hAnsi="Consolas"/>
          <w:sz w:val="19"/>
        </w:rPr>
        <w:t>energy</w:t>
      </w:r>
      <w:r>
        <w:t xml:space="preserve">, </w:t>
      </w:r>
      <w:r>
        <w:rPr>
          <w:rFonts w:ascii="Consolas" w:hAnsi="Consolas"/>
          <w:sz w:val="19"/>
        </w:rPr>
        <w:t>carrying</w:t>
      </w:r>
      <w:r>
        <w:t>, optional Kurzzeit­gedächtnis (letzte Richtung) zur Zyklus­vermeidung.</w:t>
      </w:r>
    </w:p>
    <w:p>
      <w:r>
        <w:t>Weitere Hilfsklassen (Werte­objekte für Aktionen, Wahrnehmungen, Logger etc.) sind im Klassen­diagramm zu sehen.</w:t>
      </w:r>
    </w:p>
    <w:p>
      <w:pPr>
        <w:pStyle w:val="Heading3"/>
      </w:pPr>
      <w:r>
        <w:t>4.2 Botschafts‑/Schnittstellenmodell</w:t>
      </w:r>
    </w:p>
    <w:p>
      <w:r>
        <w:t xml:space="preserve">Manager und Agent kommunizieren über zwei Werte­objekte: der Manager liefert eine </w:t>
      </w:r>
      <w:r>
        <w:rPr>
          <w:b/>
        </w:rPr>
        <w:t>Wahrnehmung</w:t>
      </w:r>
      <w:r>
        <w:t xml:space="preserve"> (was der Agent gerade sieht — Items am aktuellen Feld und Pheromone der Nachbarschaft), der Agent gibt eine </w:t>
      </w:r>
      <w:r>
        <w:rPr>
          <w:b/>
        </w:rPr>
        <w:t>Aktion</w:t>
      </w:r>
      <w:r>
        <w:t xml:space="preserve"> zurück (</w:t>
      </w:r>
      <w:r>
        <w:rPr>
          <w:rFonts w:ascii="Consolas" w:hAnsi="Consolas"/>
          <w:sz w:val="19"/>
        </w:rPr>
        <w:t>Move</w:t>
      </w:r>
      <w:r>
        <w:t>/</w:t>
      </w:r>
      <w:r>
        <w:rPr>
          <w:rFonts w:ascii="Consolas" w:hAnsi="Consolas"/>
          <w:sz w:val="19"/>
        </w:rPr>
        <w:t>PickUp</w:t>
      </w:r>
      <w:r>
        <w:t>/</w:t>
      </w:r>
      <w:r>
        <w:rPr>
          <w:rFonts w:ascii="Consolas" w:hAnsi="Consolas"/>
          <w:sz w:val="19"/>
        </w:rPr>
        <w:t>Drop</w:t>
      </w:r>
      <w:r>
        <w:t>/</w:t>
      </w:r>
      <w:r>
        <w:rPr>
          <w:rFonts w:ascii="Consolas" w:hAnsi="Consolas"/>
          <w:sz w:val="19"/>
        </w:rPr>
        <w:t>NoOp</w:t>
      </w:r>
      <w:r>
        <w:t>). Eine asynchrone Message‑Queue brauchen wir nicht, da die Simulation single‑threaded läuft (vgl. PDF Hinweise: „kein Multi­threading").</w:t>
      </w:r>
    </w:p>
    <w:p>
      <w:pPr>
        <w:pStyle w:val="Heading3"/>
      </w:pPr>
      <w:r>
        <w:t>4.3 Konflikt­auflösung (zentral im Manager)</w:t>
      </w:r>
    </w:p>
    <w:p>
      <w:r>
        <w:t xml:space="preserve">Konflikt: mehrere Agenten wollen in derselben Tick‑Runde auf dasselbe Feld, dessen Kapazität nicht reicht. Strategie laut PDF Hinweise §"Manager": </w:t>
      </w:r>
      <w:r>
        <w:rPr>
          <w:b/>
        </w:rPr>
        <w:t>first come, first serve</w:t>
      </w:r>
      <w:r>
        <w:t xml:space="preserve"> über die Reihenfolge der Agenten‑Indizes — spätere Anwärter erhalten eine Fehler­rückmeldung und führen implizit </w:t>
      </w:r>
      <w:r>
        <w:rPr>
          <w:rFonts w:ascii="Consolas" w:hAnsi="Consolas"/>
          <w:sz w:val="19"/>
        </w:rPr>
        <w:t>NoOp</w:t>
      </w:r>
      <w:r>
        <w:t xml:space="preserve"> aus. Die fixe Reihenfolge ist zwar nicht fair, aber laut PDF akzeptabel und hält die Simulation deterministisch.</w:t>
      </w:r>
    </w:p>
    <w:p/>
    <w:p>
      <w:pPr>
        <w:pStyle w:val="Heading2"/>
      </w:pPr>
      <w:r>
        <w:t>5. Sequenz­diagramm – Tick‑Ablauf</w:t>
      </w:r>
    </w:p>
    <w:p>
      <w:pPr>
        <w:jc w:val="center"/>
      </w:pPr>
      <w:r>
        <w:drawing>
          <wp:inline xmlns:a="http://schemas.openxmlformats.org/drawingml/2006/main" xmlns:pic="http://schemas.openxmlformats.org/drawingml/2006/picture">
            <wp:extent cx="5760000" cy="6678367"/>
            <wp:docPr id="3" name="Picture 3"/>
            <wp:cNvGraphicFramePr>
              <a:graphicFrameLocks noChangeAspect="1"/>
            </wp:cNvGraphicFramePr>
            <a:graphic>
              <a:graphicData uri="http://schemas.openxmlformats.org/drawingml/2006/picture">
                <pic:pic>
                  <pic:nvPicPr>
                    <pic:cNvPr id="0" name="sequence-diagram.png"/>
                    <pic:cNvPicPr/>
                  </pic:nvPicPr>
                  <pic:blipFill>
                    <a:blip r:embed="rId11"/>
                    <a:stretch>
                      <a:fillRect/>
                    </a:stretch>
                  </pic:blipFill>
                  <pic:spPr>
                    <a:xfrm>
                      <a:off x="0" y="0"/>
                      <a:ext cx="5760000" cy="6678367"/>
                    </a:xfrm>
                    <a:prstGeom prst="rect"/>
                  </pic:spPr>
                </pic:pic>
              </a:graphicData>
            </a:graphic>
          </wp:inline>
        </w:drawing>
      </w:r>
    </w:p>
    <w:p>
      <w:pPr>
        <w:jc w:val="center"/>
      </w:pPr>
      <w:r>
        <w:rPr>
          <w:i/>
          <w:color w:val="555555"/>
          <w:sz w:val="18"/>
        </w:rPr>
        <w:t>Abbildung 2: Sequenzdiagramm eines Ticks.</w:t>
      </w:r>
    </w:p>
    <w:p>
      <w:r>
        <w:t xml:space="preserve">Pro Tick fährt der </w:t>
      </w:r>
      <w:r>
        <w:rPr>
          <w:rFonts w:ascii="Consolas" w:hAnsi="Consolas"/>
          <w:sz w:val="19"/>
        </w:rPr>
        <w:t>SimulationManager</w:t>
      </w:r>
      <w:r>
        <w:t xml:space="preserve"> die in den PDF Hinweisen §"Manager" / §"Agenten" beschriebene Schleife. Pro Agent gilt </w:t>
      </w:r>
      <w:r>
        <w:rPr>
          <w:b/>
        </w:rPr>
        <w:t>Sense → Reason → Act</w:t>
      </w:r>
      <w:r>
        <w:t>; der Manager rahmt das mit Aktions­ausführung und Pheromon‑Verdunstung ein.</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vAlign w:val="top"/>
          </w:tcPr>
          <w:p>
            <w:r/>
            <w:r>
              <w:rPr>
                <w:b/>
              </w:rPr>
              <w:t>#</w:t>
            </w:r>
          </w:p>
        </w:tc>
        <w:tc>
          <w:tcPr>
            <w:tcW w:type="dxa" w:w="2493"/>
            <w:vAlign w:val="top"/>
          </w:tcPr>
          <w:p>
            <w:r/>
            <w:r>
              <w:rPr>
                <w:b/>
              </w:rPr>
              <w:t>Phase</w:t>
            </w:r>
          </w:p>
        </w:tc>
        <w:tc>
          <w:tcPr>
            <w:tcW w:type="dxa" w:w="2493"/>
            <w:vAlign w:val="top"/>
          </w:tcPr>
          <w:p>
            <w:r/>
            <w:r>
              <w:rPr>
                <w:b/>
              </w:rPr>
              <w:t>Akteur</w:t>
            </w:r>
          </w:p>
        </w:tc>
        <w:tc>
          <w:tcPr>
            <w:tcW w:type="dxa" w:w="2493"/>
            <w:vAlign w:val="top"/>
          </w:tcPr>
          <w:p>
            <w:r/>
            <w:r>
              <w:rPr>
                <w:b/>
              </w:rPr>
              <w:t>Beschreibung</w:t>
            </w:r>
          </w:p>
        </w:tc>
      </w:tr>
      <w:tr>
        <w:tc>
          <w:tcPr>
            <w:tcW w:type="dxa" w:w="2493"/>
            <w:vAlign w:val="top"/>
          </w:tcPr>
          <w:p>
            <w:r/>
            <w:r>
              <w:t>1</w:t>
            </w:r>
          </w:p>
        </w:tc>
        <w:tc>
          <w:tcPr>
            <w:tcW w:type="dxa" w:w="2493"/>
            <w:vAlign w:val="top"/>
          </w:tcPr>
          <w:p>
            <w:r/>
            <w:r>
              <w:rPr>
                <w:rFonts w:ascii="Consolas" w:hAnsi="Consolas"/>
                <w:sz w:val="19"/>
              </w:rPr>
              <w:t>apply_actions</w:t>
            </w:r>
          </w:p>
        </w:tc>
        <w:tc>
          <w:tcPr>
            <w:tcW w:type="dxa" w:w="2493"/>
            <w:vAlign w:val="top"/>
          </w:tcPr>
          <w:p>
            <w:r/>
            <w:r>
              <w:t>Manager</w:t>
            </w:r>
          </w:p>
        </w:tc>
        <w:tc>
          <w:tcPr>
            <w:tcW w:type="dxa" w:w="2493"/>
            <w:vAlign w:val="top"/>
          </w:tcPr>
          <w:p>
            <w:r/>
            <w:r>
              <w:t xml:space="preserve">Verarbeitet die aus dem Vor­tick gesammelten </w:t>
            </w:r>
            <w:r>
              <w:rPr>
                <w:rFonts w:ascii="Consolas" w:hAnsi="Consolas"/>
                <w:sz w:val="19"/>
              </w:rPr>
              <w:t>Actions</w:t>
            </w:r>
            <w:r>
              <w:t xml:space="preserve"> </w:t>
            </w:r>
            <w:r>
              <w:rPr>
                <w:i/>
              </w:rPr>
              <w:t>first‑come‑first‑serve</w:t>
            </w:r>
            <w:r>
              <w:t>, prüft Anwendbarkeit, zieht Energie ab, schreibt Erfolg/Misserfolg in die Eingabe­queue der Agenten.</w:t>
            </w:r>
          </w:p>
        </w:tc>
      </w:tr>
      <w:tr>
        <w:tc>
          <w:tcPr>
            <w:tcW w:type="dxa" w:w="2493"/>
            <w:vAlign w:val="top"/>
          </w:tcPr>
          <w:p>
            <w:r/>
            <w:r>
              <w:t>2</w:t>
            </w:r>
          </w:p>
        </w:tc>
        <w:tc>
          <w:tcPr>
            <w:tcW w:type="dxa" w:w="2493"/>
            <w:vAlign w:val="top"/>
          </w:tcPr>
          <w:p>
            <w:r/>
            <w:r>
              <w:rPr>
                <w:rFonts w:ascii="Consolas" w:hAnsi="Consolas"/>
                <w:sz w:val="19"/>
              </w:rPr>
              <w:t>sense</w:t>
            </w:r>
          </w:p>
        </w:tc>
        <w:tc>
          <w:tcPr>
            <w:tcW w:type="dxa" w:w="2493"/>
            <w:vAlign w:val="top"/>
          </w:tcPr>
          <w:p>
            <w:r/>
            <w:r>
              <w:t>Manager → Agent</w:t>
            </w:r>
          </w:p>
        </w:tc>
        <w:tc>
          <w:tcPr>
            <w:tcW w:type="dxa" w:w="2493"/>
            <w:vAlign w:val="top"/>
          </w:tcPr>
          <w:p>
            <w:r/>
            <w:r>
              <w:t>Stellt jedem Agenten Wahrnehmungen zu: Items am aktuellen Feld + Pheromone der 4er‑Nachbarschaft (PDF p.2).</w:t>
            </w:r>
          </w:p>
        </w:tc>
      </w:tr>
      <w:tr>
        <w:tc>
          <w:tcPr>
            <w:tcW w:type="dxa" w:w="2493"/>
            <w:vAlign w:val="top"/>
          </w:tcPr>
          <w:p>
            <w:r/>
            <w:r>
              <w:t>3</w:t>
            </w:r>
          </w:p>
        </w:tc>
        <w:tc>
          <w:tcPr>
            <w:tcW w:type="dxa" w:w="2493"/>
            <w:vAlign w:val="top"/>
          </w:tcPr>
          <w:p>
            <w:r/>
            <w:r>
              <w:rPr>
                <w:rFonts w:ascii="Consolas" w:hAnsi="Consolas"/>
                <w:sz w:val="19"/>
              </w:rPr>
              <w:t>reason → act</w:t>
            </w:r>
          </w:p>
        </w:tc>
        <w:tc>
          <w:tcPr>
            <w:tcW w:type="dxa" w:w="2493"/>
            <w:vAlign w:val="top"/>
          </w:tcPr>
          <w:p>
            <w:r/>
            <w:r>
              <w:t>Agent</w:t>
            </w:r>
          </w:p>
        </w:tc>
        <w:tc>
          <w:tcPr>
            <w:tcW w:type="dxa" w:w="2493"/>
            <w:vAlign w:val="top"/>
          </w:tcPr>
          <w:p>
            <w:r/>
            <w:r>
              <w:t xml:space="preserve">Agent entscheidet probabilistisch‑reaktiv und legt seine nächste Aktion in die </w:t>
            </w:r>
            <w:r>
              <w:rPr>
                <w:rFonts w:ascii="Consolas" w:hAnsi="Consolas"/>
                <w:sz w:val="19"/>
              </w:rPr>
              <w:t>Actions</w:t>
            </w:r>
            <w:r>
              <w:t>‑Queue des Managers.</w:t>
            </w:r>
          </w:p>
        </w:tc>
      </w:tr>
      <w:tr>
        <w:tc>
          <w:tcPr>
            <w:tcW w:type="dxa" w:w="2493"/>
            <w:vAlign w:val="top"/>
          </w:tcPr>
          <w:p>
            <w:r/>
            <w:r>
              <w:t>4</w:t>
            </w:r>
          </w:p>
        </w:tc>
        <w:tc>
          <w:tcPr>
            <w:tcW w:type="dxa" w:w="2493"/>
            <w:vAlign w:val="top"/>
          </w:tcPr>
          <w:p>
            <w:r/>
            <w:r>
              <w:rPr>
                <w:rFonts w:ascii="Consolas" w:hAnsi="Consolas"/>
                <w:sz w:val="19"/>
              </w:rPr>
              <w:t>update_pheromones</w:t>
            </w:r>
          </w:p>
        </w:tc>
        <w:tc>
          <w:tcPr>
            <w:tcW w:type="dxa" w:w="2493"/>
            <w:vAlign w:val="top"/>
          </w:tcPr>
          <w:p>
            <w:r/>
            <w:r>
              <w:t>Manager</w:t>
            </w:r>
          </w:p>
        </w:tc>
        <w:tc>
          <w:tcPr>
            <w:tcW w:type="dxa" w:w="2493"/>
            <w:vAlign w:val="top"/>
          </w:tcPr>
          <w:p>
            <w:r/>
            <w:r>
              <w:rPr>
                <w:rFonts w:ascii="Consolas" w:hAnsi="Consolas"/>
                <w:sz w:val="19"/>
              </w:rPr>
              <w:t>evaporate(ρ)</w:t>
            </w:r>
            <w:r>
              <w:t xml:space="preserve"> für alle Felder.</w:t>
            </w:r>
          </w:p>
        </w:tc>
      </w:tr>
      <w:tr>
        <w:tc>
          <w:tcPr>
            <w:tcW w:type="dxa" w:w="2493"/>
            <w:vAlign w:val="top"/>
          </w:tcPr>
          <w:p>
            <w:r/>
            <w:r>
              <w:t>5</w:t>
            </w:r>
          </w:p>
        </w:tc>
        <w:tc>
          <w:tcPr>
            <w:tcW w:type="dxa" w:w="2493"/>
            <w:vAlign w:val="top"/>
          </w:tcPr>
          <w:p>
            <w:r/>
            <w:r>
              <w:rPr>
                <w:rFonts w:ascii="Consolas" w:hAnsi="Consolas"/>
                <w:sz w:val="19"/>
              </w:rPr>
              <w:t>log_and_advance</w:t>
            </w:r>
          </w:p>
        </w:tc>
        <w:tc>
          <w:tcPr>
            <w:tcW w:type="dxa" w:w="2493"/>
            <w:vAlign w:val="top"/>
          </w:tcPr>
          <w:p>
            <w:r/>
            <w:r>
              <w:t>Manager / Logger</w:t>
            </w:r>
          </w:p>
        </w:tc>
        <w:tc>
          <w:tcPr>
            <w:tcW w:type="dxa" w:w="2493"/>
            <w:vAlign w:val="top"/>
          </w:tcPr>
          <w:p>
            <w:r/>
            <w:r>
              <w:t xml:space="preserve">Tick‑Metriken schreiben, </w:t>
            </w:r>
            <w:r>
              <w:rPr>
                <w:rFonts w:ascii="Consolas" w:hAnsi="Consolas"/>
                <w:sz w:val="19"/>
              </w:rPr>
              <w:t>tick++</w:t>
            </w:r>
            <w:r>
              <w:t>.</w:t>
            </w:r>
          </w:p>
        </w:tc>
      </w:tr>
    </w:tbl>
    <w:p/>
    <w:p>
      <w:pPr>
        <w:pStyle w:val="Heading2"/>
      </w:pPr>
      <w:r>
        <w:t>6. Konfigurations‑/Modelldatei</w:t>
      </w:r>
    </w:p>
    <w:p>
      <w:pPr>
        <w:pStyle w:val="Heading3"/>
      </w:pPr>
      <w:r>
        <w:t>6.1 Anforderungen</w:t>
      </w:r>
    </w:p>
    <w:p>
      <w:pPr>
        <w:pStyle w:val="ListBullet"/>
      </w:pPr>
      <w:r>
        <w:rPr>
          <w:b/>
        </w:rPr>
        <w:t>Reproduzierbarkeit:</w:t>
      </w:r>
      <w:r>
        <w:t xml:space="preserve"> RNG‑Seed im File.</w:t>
      </w:r>
    </w:p>
    <w:p>
      <w:pPr>
        <w:pStyle w:val="ListBullet"/>
      </w:pPr>
      <w:r>
        <w:rPr>
          <w:b/>
        </w:rPr>
        <w:t>Vollständigkeit:</w:t>
      </w:r>
      <w:r>
        <w:t xml:space="preserve"> Topologie, Initialpositionen, Energie‑/Aktions­kosten,</w:t>
      </w:r>
    </w:p>
    <w:p>
      <w:r>
        <w:t xml:space="preserve">  Pheromonparameter, Abbruchkriterien, Logging‑Optionen.</w:t>
      </w:r>
    </w:p>
    <w:p>
      <w:pPr>
        <w:pStyle w:val="ListBullet"/>
      </w:pPr>
      <w:r>
        <w:rPr>
          <w:b/>
        </w:rPr>
        <w:t>Validierbarkeit:</w:t>
      </w:r>
      <w:r>
        <w:t xml:space="preserve"> Ein JSON‑Schema liegt bei und wird beim Start geprüft.</w:t>
      </w:r>
    </w:p>
    <w:p>
      <w:pPr>
        <w:pStyle w:val="Heading3"/>
      </w:pPr>
      <w:r>
        <w:t>6.2 Format</w:t>
      </w:r>
    </w:p>
    <w:p>
      <w:r>
        <w:t xml:space="preserve">Siehe </w:t>
      </w:r>
      <w:r>
        <w:rPr>
          <w:rFonts w:ascii="Consolas" w:hAnsi="Consolas"/>
          <w:sz w:val="19"/>
        </w:rPr>
        <w:t>config/world_default.json</w:t>
      </w:r>
      <w:r>
        <w:t xml:space="preserve"> (Beispiel) und </w:t>
      </w:r>
      <w:r>
        <w:rPr>
          <w:rFonts w:ascii="Consolas" w:hAnsi="Consolas"/>
          <w:sz w:val="19"/>
        </w:rPr>
        <w:t>config/world.schema.json</w:t>
      </w:r>
      <w:r>
        <w:t xml:space="preserve"> (formales Schema). Die wichtigsten Top‑Level‑Felder:</w:t>
      </w:r>
    </w:p>
    <w:p>
      <w:pPr>
        <w:spacing w:before="80" w:after="80"/>
        <w:ind w:left="227"/>
        <w:shd w:val="clear" w:color="auto" w:fill="F2F2F2"/>
      </w:pPr>
      <w:r>
        <w:rPr>
          <w:rFonts w:ascii="Consolas" w:hAnsi="Consolas"/>
          <w:sz w:val="18"/>
        </w:rPr>
        <w:t>{</w:t>
        <w:br/>
        <w:t xml:space="preserve">  "schema_version": "1.0.0",</w:t>
        <w:br/>
        <w:t xml:space="preserve">  "seed": 20260427,</w:t>
        <w:br/>
        <w:t xml:space="preserve">  "grid": { "width": 30, "height": 20, "default_capacity": 4 },</w:t>
        <w:br/>
        <w:t xml:space="preserve">  "obstacles": [</w:t>
        <w:br/>
        <w:t xml:space="preserve">    { "x": 10, "y":  5, "w": 1, "h": 8 },</w:t>
        <w:br/>
        <w:t xml:space="preserve">    { "x": 18, "y": 12, "w": 4, "h": 1 }</w:t>
        <w:br/>
        <w:t xml:space="preserve">  ],</w:t>
        <w:br/>
        <w:t xml:space="preserve">  "nests":     [{ "id": 0, "x": 2, "y": 10, "capacity": 9999 }],</w:t>
        <w:br/>
        <w:t xml:space="preserve">  "food":      [</w:t>
        <w:br/>
        <w:t xml:space="preserve">    { "x": 27, "y":  3, "amount": 200 },</w:t>
        <w:br/>
        <w:t xml:space="preserve">    { "x": 25, "y": 17, "amount": 150 }</w:t>
        <w:br/>
        <w:t xml:space="preserve">  ],</w:t>
        <w:br/>
        <w:t xml:space="preserve">  "agents":    { "count": 50, "spawn": "nest", "initial_energy": 500, "energy_max": 1000 },</w:t>
        <w:br/>
        <w:t xml:space="preserve">  "costs":     { "move": 1, "pickup": 0, "drop": 0, "noop": 0, "perceive": 0 },</w:t>
        <w:br/>
        <w:t xml:space="preserve">  "pheromones":{ "evaporation": 0.02, "deposit_initial": 100.0, "decay_per_step": 0.9, "min_level": 0.001 },</w:t>
        <w:br/>
        <w:t xml:space="preserve">  "termination": { "max_ticks": 5000, "stop_when_food_zero": true },</w:t>
        <w:br/>
        <w:t xml:space="preserve">  "logging":   { "level": "info", "metrics_every": 10, "trace_agents": [0, 1], "output_dir": "runs" }</w:t>
        <w:br/>
        <w:t>}</w:t>
      </w:r>
    </w:p>
    <w:p/>
    <w:p>
      <w:pPr>
        <w:pStyle w:val="Heading2"/>
      </w:pPr>
      <w:r>
        <w:t>7. Logging‑Plan</w:t>
      </w:r>
    </w:p>
    <w:p>
      <w:pPr>
        <w:pStyle w:val="Heading3"/>
      </w:pPr>
      <w:r>
        <w:t>7.1 Was wir loggen</w:t>
      </w:r>
    </w:p>
    <w:p>
      <w:pPr>
        <w:pStyle w:val="ListBullet"/>
      </w:pPr>
      <w:r>
        <w:t xml:space="preserve">Eine </w:t>
      </w:r>
      <w:r>
        <w:rPr>
          <w:b/>
        </w:rPr>
        <w:t>JSONL‑Datei pro Lauf</w:t>
      </w:r>
      <w:r>
        <w:t xml:space="preserve"> (</w:t>
      </w:r>
      <w:r>
        <w:rPr>
          <w:rFonts w:ascii="Consolas" w:hAnsi="Consolas"/>
          <w:sz w:val="19"/>
        </w:rPr>
        <w:t>runs/&lt;run_id&gt;/events.jsonl</w:t>
      </w:r>
      <w:r>
        <w:t>): pro Tick eine Zeile mit den Aggregat­metriken (Futter im Nest, mittlere Energie, aktive/tragende Ameisen, Pheromon­summen, Konflikte).</w:t>
      </w:r>
    </w:p>
    <w:p>
      <w:pPr>
        <w:pStyle w:val="ListBullet"/>
      </w:pPr>
      <w:r>
        <w:rPr>
          <w:b/>
        </w:rPr>
        <w:t>Konsolen‑Summary</w:t>
      </w:r>
      <w:r>
        <w:t xml:space="preserve"> alle </w:t>
      </w:r>
      <w:r>
        <w:rPr>
          <w:rFonts w:ascii="Consolas" w:hAnsi="Consolas"/>
          <w:sz w:val="19"/>
        </w:rPr>
        <w:t>metrics_every</w:t>
      </w:r>
      <w:r>
        <w:t xml:space="preserve"> Ticks — eine kompakte Zeile, damit man beim Debuggen sieht, was passiert.</w:t>
      </w:r>
    </w:p>
    <w:p>
      <w:pPr>
        <w:pStyle w:val="ListBullet"/>
      </w:pPr>
      <w:r>
        <w:rPr>
          <w:b/>
        </w:rPr>
        <w:t>Optional pro Agent</w:t>
      </w:r>
      <w:r>
        <w:t xml:space="preserve"> ein Trace mit Position, Aktion, Energie — nur für die Agenten, die in der Konfiguration gelistet sind.</w:t>
      </w:r>
    </w:p>
    <w:p>
      <w:pPr>
        <w:pStyle w:val="Heading3"/>
      </w:pPr>
      <w:r>
        <w:t>7.2 Aggregation und Auswertung</w:t>
      </w:r>
    </w:p>
    <w:p>
      <w:r>
        <w:t xml:space="preserve">Die </w:t>
      </w:r>
      <w:r>
        <w:rPr>
          <w:rFonts w:ascii="Consolas" w:hAnsi="Consolas"/>
          <w:sz w:val="19"/>
        </w:rPr>
        <w:t>events.jsonl</w:t>
      </w:r>
      <w:r>
        <w:t xml:space="preserve"> aller Läufe werden zu einer </w:t>
      </w:r>
      <w:r>
        <w:rPr>
          <w:rFonts w:ascii="Consolas" w:hAnsi="Consolas"/>
          <w:sz w:val="19"/>
        </w:rPr>
        <w:t>summary.csv</w:t>
      </w:r>
      <w:r>
        <w:t xml:space="preserve"> zusammen­ gefasst (eine Zeile pro Lauf mit Seed und den wichtigsten Kennzahlen). Für die Auswertung planen wir Plots mit matplotlib: Sammelrate über Zeit, Vergleich der </w:t>
      </w:r>
      <w:r>
        <w:rPr>
          <w:rFonts w:ascii="Consolas" w:hAnsi="Consolas"/>
          <w:sz w:val="19"/>
        </w:rPr>
        <w:t>t_first</w:t>
      </w:r>
      <w:r>
        <w:t>-Werte je Quelle, Pheromon‑Heatmap‑Snapshots. Die konkreten Auswertungs­skripte schreiben wir in der Implementierungs­ phase.</w:t>
      </w:r>
    </w:p>
    <w:p>
      <w:pPr>
        <w:pStyle w:val="Heading3"/>
      </w:pPr>
      <w:r>
        <w:t>7.3 Score (optional)</w:t>
      </w:r>
    </w:p>
    <w:p>
      <w:r>
        <w:t xml:space="preserve">Falls für Vergleiche zwischen Konfigurationen nützlich, kann eine einfache Linearkombination wie </w:t>
      </w:r>
      <w:r>
        <w:rPr>
          <w:rFonts w:ascii="Consolas" w:hAnsi="Consolas"/>
          <w:sz w:val="19"/>
        </w:rPr>
        <w:t>α · food_in_nest − β · total_energy_spent</w:t>
      </w:r>
      <w:r>
        <w:t xml:space="preserve"> gebildet werden. Wir entscheiden im Lauf der Implementierung, ob wir das wirklich brauchen — die Roh­metriken aus § 7.1 reichen für die geplanten Experimente.</w:t>
      </w:r>
    </w:p>
    <w:p/>
    <w:p>
      <w:pPr>
        <w:pStyle w:val="Heading2"/>
      </w:pPr>
      <w:r>
        <w:t>8. Geplante Experimente</w:t>
      </w:r>
    </w:p>
    <w:p>
      <w:r>
        <w:t xml:space="preserve">Aufgabenblatt p.2 verlangt genau </w:t>
      </w:r>
      <w:r>
        <w:rPr>
          <w:b/>
        </w:rPr>
        <w:t>drei</w:t>
      </w:r>
      <w:r>
        <w:t xml:space="preserve"> Experimente mit je 2–3 Simulationen. Zuordnung zur dortigen Nummerierung:</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vAlign w:val="top"/>
          </w:tcPr>
          <w:p>
            <w:r/>
            <w:r>
              <w:rPr>
                <w:b/>
              </w:rPr>
              <w:t>#</w:t>
            </w:r>
          </w:p>
        </w:tc>
        <w:tc>
          <w:tcPr>
            <w:tcW w:type="dxa" w:w="1994"/>
            <w:vAlign w:val="top"/>
          </w:tcPr>
          <w:p>
            <w:r/>
            <w:r>
              <w:rPr>
                <w:b/>
              </w:rPr>
              <w:t>Name (PDF)</w:t>
            </w:r>
          </w:p>
        </w:tc>
        <w:tc>
          <w:tcPr>
            <w:tcW w:type="dxa" w:w="1994"/>
            <w:vAlign w:val="top"/>
          </w:tcPr>
          <w:p>
            <w:r/>
            <w:r>
              <w:rPr>
                <w:b/>
              </w:rPr>
              <w:t>Zweck</w:t>
            </w:r>
          </w:p>
        </w:tc>
        <w:tc>
          <w:tcPr>
            <w:tcW w:type="dxa" w:w="1994"/>
            <w:vAlign w:val="top"/>
          </w:tcPr>
          <w:p>
            <w:r/>
            <w:r>
              <w:rPr>
                <w:b/>
              </w:rPr>
              <w:t>Variierte Parameter</w:t>
            </w:r>
          </w:p>
        </w:tc>
        <w:tc>
          <w:tcPr>
            <w:tcW w:type="dxa" w:w="1994"/>
            <w:vAlign w:val="top"/>
          </w:tcPr>
          <w:p>
            <w:r/>
            <w:r>
              <w:rPr>
                <w:b/>
              </w:rPr>
              <w:t>Erwartung</w:t>
            </w:r>
          </w:p>
        </w:tc>
      </w:tr>
      <w:tr>
        <w:tc>
          <w:tcPr>
            <w:tcW w:type="dxa" w:w="1994"/>
            <w:vAlign w:val="top"/>
          </w:tcPr>
          <w:p>
            <w:r/>
            <w:r>
              <w:t>1</w:t>
            </w:r>
          </w:p>
        </w:tc>
        <w:tc>
          <w:tcPr>
            <w:tcW w:type="dxa" w:w="1994"/>
            <w:vAlign w:val="top"/>
          </w:tcPr>
          <w:p>
            <w:r/>
            <w:r>
              <w:rPr>
                <w:i/>
              </w:rPr>
              <w:t>Funktion + Distanz</w:t>
            </w:r>
          </w:p>
        </w:tc>
        <w:tc>
          <w:tcPr>
            <w:tcW w:type="dxa" w:w="1994"/>
            <w:vAlign w:val="top"/>
          </w:tcPr>
          <w:p>
            <w:r/>
            <w:r>
              <w:t>PDF‑Exp 1: Sammeln funktioniert + prüft die Vermutung.</w:t>
            </w:r>
          </w:p>
        </w:tc>
        <w:tc>
          <w:tcPr>
            <w:tcW w:type="dxa" w:w="1994"/>
            <w:vAlign w:val="top"/>
          </w:tcPr>
          <w:p>
            <w:r/>
            <w:r>
              <w:rPr>
                <w:rFonts w:ascii="Consolas" w:hAnsi="Consolas"/>
                <w:sz w:val="19"/>
              </w:rPr>
              <w:t>N ∈ {10, 20, 30}</w:t>
            </w:r>
            <w:r>
              <w:t xml:space="preserve"> ; zwei Quellen </w:t>
            </w:r>
            <w:r>
              <w:rPr>
                <w:rFonts w:ascii="Consolas" w:hAnsi="Consolas"/>
                <w:sz w:val="19"/>
              </w:rPr>
              <w:t>D₁ = 5</w:t>
            </w:r>
            <w:r>
              <w:t xml:space="preserve">, </w:t>
            </w:r>
            <w:r>
              <w:rPr>
                <w:rFonts w:ascii="Consolas" w:hAnsi="Consolas"/>
                <w:sz w:val="19"/>
              </w:rPr>
              <w:t>D₂ ∈ {12, 15, 20}</w:t>
            </w:r>
            <w:r>
              <w:t>; 2–3 Seeds.</w:t>
            </w:r>
          </w:p>
        </w:tc>
        <w:tc>
          <w:tcPr>
            <w:tcW w:type="dxa" w:w="1994"/>
            <w:vAlign w:val="top"/>
          </w:tcPr>
          <w:p>
            <w:r/>
            <w:r>
              <w:rPr>
                <w:rFonts w:ascii="Consolas" w:hAnsi="Consolas"/>
                <w:sz w:val="19"/>
              </w:rPr>
              <w:t>food_in_nest &gt; 0</w:t>
            </w:r>
            <w:r>
              <w:t>; nähere Quelle wird sichtbar früher ausgebeutet als die ferne.</w:t>
            </w:r>
          </w:p>
        </w:tc>
      </w:tr>
      <w:tr>
        <w:tc>
          <w:tcPr>
            <w:tcW w:type="dxa" w:w="1994"/>
            <w:vAlign w:val="top"/>
          </w:tcPr>
          <w:p>
            <w:r/>
            <w:r>
              <w:t>2</w:t>
            </w:r>
          </w:p>
        </w:tc>
        <w:tc>
          <w:tcPr>
            <w:tcW w:type="dxa" w:w="1994"/>
            <w:vAlign w:val="top"/>
          </w:tcPr>
          <w:p>
            <w:r/>
            <w:r>
              <w:rPr>
                <w:i/>
              </w:rPr>
              <w:t>Warm‑Start</w:t>
            </w:r>
          </w:p>
        </w:tc>
        <w:tc>
          <w:tcPr>
            <w:tcW w:type="dxa" w:w="1994"/>
            <w:vAlign w:val="top"/>
          </w:tcPr>
          <w:p>
            <w:r/>
            <w:r>
              <w:t>PDF‑Exp 2: Trails erholen sich nach Bruch.</w:t>
            </w:r>
          </w:p>
        </w:tc>
        <w:tc>
          <w:tcPr>
            <w:tcW w:type="dxa" w:w="1994"/>
            <w:vAlign w:val="top"/>
          </w:tcPr>
          <w:p>
            <w:r/>
            <w:r>
              <w:t>Pheromone in Tick 1500 für 50 Ticks ausschalten.</w:t>
            </w:r>
          </w:p>
        </w:tc>
        <w:tc>
          <w:tcPr>
            <w:tcW w:type="dxa" w:w="1994"/>
            <w:vAlign w:val="top"/>
          </w:tcPr>
          <w:p>
            <w:r/>
            <w:r>
              <w:t>Sammelrate erholt sich auf ≥ 90 % in &lt; 500 Ticks.</w:t>
            </w:r>
          </w:p>
        </w:tc>
      </w:tr>
      <w:tr>
        <w:tc>
          <w:tcPr>
            <w:tcW w:type="dxa" w:w="1994"/>
            <w:vAlign w:val="top"/>
          </w:tcPr>
          <w:p>
            <w:r/>
            <w:r>
              <w:t>3</w:t>
            </w:r>
          </w:p>
        </w:tc>
        <w:tc>
          <w:tcPr>
            <w:tcW w:type="dxa" w:w="1994"/>
            <w:vAlign w:val="top"/>
          </w:tcPr>
          <w:p>
            <w:r/>
            <w:r>
              <w:rPr>
                <w:i/>
              </w:rPr>
              <w:t>Skalierung</w:t>
            </w:r>
          </w:p>
        </w:tc>
        <w:tc>
          <w:tcPr>
            <w:tcW w:type="dxa" w:w="1994"/>
            <w:vAlign w:val="top"/>
          </w:tcPr>
          <w:p>
            <w:r/>
            <w:r>
              <w:t>PDF‑Exp 3: Chancen/Probleme der Skalierung.</w:t>
            </w:r>
          </w:p>
        </w:tc>
        <w:tc>
          <w:tcPr>
            <w:tcW w:type="dxa" w:w="1994"/>
            <w:vAlign w:val="top"/>
          </w:tcPr>
          <w:p>
            <w:r/>
            <w:r>
              <w:t xml:space="preserve">Eine Achse: Quellen­abstand, Anzahl Quellen, oder Verdunstungs­rate </w:t>
            </w:r>
            <w:r>
              <w:rPr>
                <w:rFonts w:ascii="Consolas" w:hAnsi="Consolas"/>
                <w:sz w:val="19"/>
              </w:rPr>
              <w:t>ρ</w:t>
            </w:r>
            <w:r>
              <w:t>.</w:t>
            </w:r>
          </w:p>
        </w:tc>
        <w:tc>
          <w:tcPr>
            <w:tcW w:type="dxa" w:w="1994"/>
            <w:vAlign w:val="top"/>
          </w:tcPr>
          <w:p>
            <w:r/>
            <w:r>
              <w:t xml:space="preserve">Sichtbare Trade‑offs (z. B. höheres </w:t>
            </w:r>
            <w:r>
              <w:rPr>
                <w:rFonts w:ascii="Consolas" w:hAnsi="Consolas"/>
                <w:sz w:val="19"/>
              </w:rPr>
              <w:t>ρ</w:t>
            </w:r>
            <w:r>
              <w:t xml:space="preserve"> bricht ferne Trails ab).</w:t>
            </w:r>
          </w:p>
        </w:tc>
      </w:tr>
    </w:tbl>
    <w:p>
      <w:r>
        <w:t xml:space="preserve">Jede Experiment­konfiguration wird als eigene </w:t>
      </w:r>
      <w:r>
        <w:rPr>
          <w:rFonts w:ascii="Consolas" w:hAnsi="Consolas"/>
          <w:sz w:val="19"/>
        </w:rPr>
        <w:t>experiment_*.json</w:t>
      </w:r>
      <w:r>
        <w:t xml:space="preserve"> neben </w:t>
      </w:r>
      <w:r>
        <w:rPr>
          <w:rFonts w:ascii="Consolas" w:hAnsi="Consolas"/>
          <w:sz w:val="19"/>
        </w:rPr>
        <w:t>world_default.json</w:t>
      </w:r>
      <w:r>
        <w:t xml:space="preserve"> abgelegt, damit Läufe per </w:t>
      </w:r>
      <w:r>
        <w:rPr>
          <w:rFonts w:ascii="Consolas" w:hAnsi="Consolas"/>
          <w:sz w:val="19"/>
        </w:rPr>
        <w:t>--config</w:t>
      </w:r>
      <w:r>
        <w:t xml:space="preserve"> reproduzierbar sind. Eine Brokering‑Variante (PDF Skript Kap. 6.3) folgt in der Projekt­dokumentation und ist nicht Teil dieser Skizze.</w:t>
      </w:r>
    </w:p>
    <w:p/>
    <w:p>
      <w:pPr>
        <w:pStyle w:val="Heading2"/>
      </w:pPr>
      <w:r>
        <w:t>9. Designentscheidungen</w:t>
      </w:r>
    </w:p>
    <w:p>
      <w:r>
        <w:t xml:space="preserve">Wir entwerfen das System </w:t>
      </w:r>
      <w:r>
        <w:rPr>
          <w:b/>
        </w:rPr>
        <w:t>single‑threaded und deterministisch</w:t>
      </w:r>
      <w:r>
        <w:t xml:space="preserve"> — das Aufgabenblatt rät von Parallelität ab, und das Debugging wird so deutlich einfacher. Der </w:t>
      </w:r>
      <w:r>
        <w:rPr>
          <w:b/>
        </w:rPr>
        <w:t>Manager hält die einzige Sicht auf die Welt</w:t>
      </w:r>
      <w:r>
        <w:t xml:space="preserve">; Agenten greifen ausschließlich über die vom Manager gestellten Wahrnehmungen darauf zu, damit sie die Welt nicht versehentlich mutieren. Die </w:t>
      </w:r>
      <w:r>
        <w:rPr>
          <w:b/>
        </w:rPr>
        <w:t>Konfiguration</w:t>
      </w:r>
      <w:r>
        <w:t xml:space="preserve"> lesen wir aus </w:t>
      </w:r>
      <w:r>
        <w:rPr>
          <w:b/>
        </w:rPr>
        <w:t>JSON</w:t>
      </w:r>
      <w:r>
        <w:t xml:space="preserve"> (deklarativ, gut prüfbar gegen ein Schema). </w:t>
      </w:r>
      <w:r>
        <w:rPr>
          <w:b/>
        </w:rPr>
        <w:t>Pheromone</w:t>
      </w:r>
      <w:r>
        <w:t xml:space="preserve"> deponieren wir mit fallender Stärke (</w:t>
      </w:r>
      <w:r>
        <w:rPr>
          <w:rFonts w:ascii="Consolas" w:hAnsi="Consolas"/>
          <w:sz w:val="19"/>
        </w:rPr>
        <w:t>decay_per_step^k</w:t>
      </w:r>
      <w:r>
        <w:t xml:space="preserve"> pro Schritt), damit Trails zur Quelle hin stärker werden. Implementiert wird in </w:t>
      </w:r>
      <w:r>
        <w:rPr>
          <w:b/>
        </w:rPr>
        <w:t>Python</w:t>
      </w:r>
      <w:r>
        <w:t>: schneller Prototyp‑Zyklus, gute Bibliotheken (numpy, matplotlib, JSON‑Schema‑Validatoren), und das Tick‑Modell bleibt sprach‑agnostisch.</w:t>
      </w:r>
    </w:p>
    <w:p/>
    <w:p>
      <w:pPr>
        <w:pStyle w:val="Heading2"/>
      </w:pPr>
      <w:r>
        <w:t>10. Risiken und offene Punkte</w:t>
      </w:r>
    </w:p>
    <w:tbl>
      <w:tblPr>
        <w:tblStyle w:val="LightGrid-Accent1"/>
        <w:tblW w:type="auto" w:w="0"/>
        <w:tblLook w:firstColumn="1" w:firstRow="1" w:lastColumn="0" w:lastRow="0" w:noHBand="0" w:noVBand="1" w:val="04A0"/>
      </w:tblPr>
      <w:tblGrid>
        <w:gridCol w:w="4986"/>
        <w:gridCol w:w="4986"/>
      </w:tblGrid>
      <w:tr>
        <w:tc>
          <w:tcPr>
            <w:tcW w:type="dxa" w:w="4986"/>
            <w:vAlign w:val="top"/>
          </w:tcPr>
          <w:p>
            <w:r/>
            <w:r>
              <w:rPr>
                <w:b/>
              </w:rPr>
              <w:t>Risiko / Frage</w:t>
            </w:r>
          </w:p>
        </w:tc>
        <w:tc>
          <w:tcPr>
            <w:tcW w:type="dxa" w:w="4986"/>
            <w:vAlign w:val="top"/>
          </w:tcPr>
          <w:p>
            <w:r/>
            <w:r>
              <w:rPr>
                <w:b/>
              </w:rPr>
              <w:t>Mitigation</w:t>
            </w:r>
          </w:p>
        </w:tc>
      </w:tr>
      <w:tr>
        <w:tc>
          <w:tcPr>
            <w:tcW w:type="dxa" w:w="4986"/>
            <w:vAlign w:val="top"/>
          </w:tcPr>
          <w:p>
            <w:r/>
            <w:r>
              <w:t>Ameisen verirren sich, bevor Trails entstehen.</w:t>
            </w:r>
          </w:p>
        </w:tc>
        <w:tc>
          <w:tcPr>
            <w:tcW w:type="dxa" w:w="4986"/>
            <w:vAlign w:val="top"/>
          </w:tcPr>
          <w:p>
            <w:r/>
            <w:r>
              <w:t>Anfangs­bias + längere Erkundungs­phase.</w:t>
            </w:r>
          </w:p>
        </w:tc>
      </w:tr>
      <w:tr>
        <w:tc>
          <w:tcPr>
            <w:tcW w:type="dxa" w:w="4986"/>
            <w:vAlign w:val="top"/>
          </w:tcPr>
          <w:p>
            <w:r/>
            <w:r>
              <w:t>Vermutung trivial, falls eine Quelle vor Trail­etablierung erschöpft.</w:t>
            </w:r>
          </w:p>
        </w:tc>
        <w:tc>
          <w:tcPr>
            <w:tcW w:type="dxa" w:w="4986"/>
            <w:vAlign w:val="top"/>
          </w:tcPr>
          <w:p>
            <w:r/>
            <w:r>
              <w:t xml:space="preserve">Hinreichend Nahrung pro Quelle; mehrere </w:t>
            </w:r>
            <w:r>
              <w:rPr>
                <w:rFonts w:ascii="Consolas" w:hAnsi="Consolas"/>
                <w:sz w:val="19"/>
              </w:rPr>
              <w:t>(N, D₂)</w:t>
            </w:r>
            <w:r>
              <w:t>-Kombinationen.</w:t>
            </w:r>
          </w:p>
        </w:tc>
      </w:tr>
    </w:tbl>
    <w:p/>
    <w:p>
      <w:pPr>
        <w:pStyle w:val="Heading2"/>
      </w:pPr>
      <w:r>
        <w:t>11. Anhänge</w:t>
      </w:r>
    </w:p>
    <w:p>
      <w:pPr>
        <w:pStyle w:val="ListBullet"/>
      </w:pPr>
      <w:r>
        <w:rPr>
          <w:rFonts w:ascii="Consolas" w:hAnsi="Consolas"/>
          <w:sz w:val="19"/>
        </w:rPr>
        <w:t>diagrams/class-diagram.mmd</w:t>
      </w:r>
      <w:r>
        <w:t xml:space="preserve"> – Mermaid‑Klassen­diagramm (Struktur).</w:t>
      </w:r>
    </w:p>
    <w:p>
      <w:pPr>
        <w:pStyle w:val="ListBullet"/>
      </w:pPr>
      <w:r>
        <w:rPr>
          <w:rFonts w:ascii="Consolas" w:hAnsi="Consolas"/>
          <w:sz w:val="19"/>
        </w:rPr>
        <w:t>diagrams/class-diagram-types.mmd</w:t>
      </w:r>
      <w:r>
        <w:t xml:space="preserve"> – Mermaid‑Klassen­diagramm (Wertobjekte / Botschafts­objekte).</w:t>
      </w:r>
    </w:p>
    <w:p>
      <w:pPr>
        <w:pStyle w:val="ListBullet"/>
      </w:pPr>
      <w:r>
        <w:rPr>
          <w:rFonts w:ascii="Consolas" w:hAnsi="Consolas"/>
          <w:sz w:val="19"/>
        </w:rPr>
        <w:t>diagrams/sequence-diagram.mmd</w:t>
      </w:r>
      <w:r>
        <w:t xml:space="preserve"> – Mermaid‑Sequenz­diagramm.</w:t>
      </w:r>
    </w:p>
    <w:p>
      <w:pPr>
        <w:pStyle w:val="ListBullet"/>
      </w:pPr>
      <w:r>
        <w:rPr>
          <w:rFonts w:ascii="Consolas" w:hAnsi="Consolas"/>
          <w:sz w:val="19"/>
        </w:rPr>
        <w:t>config/world_default.json</w:t>
      </w:r>
      <w:r>
        <w:t xml:space="preserve"> – Kommentierte Beispiel­konfiguration.</w:t>
      </w:r>
    </w:p>
    <w:p>
      <w:pPr>
        <w:pStyle w:val="ListBullet"/>
      </w:pPr>
      <w:r>
        <w:rPr>
          <w:rFonts w:ascii="Consolas" w:hAnsi="Consolas"/>
          <w:sz w:val="19"/>
        </w:rPr>
        <w:t>config/world.schema.json</w:t>
      </w:r>
      <w:r>
        <w:t xml:space="preserve"> – JSON‑Schema zur Validierung der Konfiguration.</w:t>
      </w:r>
    </w:p>
    <w:p>
      <w:pPr>
        <w:pStyle w:val="ListBullet"/>
      </w:pPr>
      <w:r>
        <w:rPr>
          <w:rFonts w:ascii="Consolas" w:hAnsi="Consolas"/>
          <w:sz w:val="19"/>
        </w:rPr>
        <w:t>README.md</w:t>
      </w:r>
      <w:r>
        <w:t xml:space="preserve"> – Übersicht und Datei­struktur dieses Repositories.</w:t>
      </w:r>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