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8a827d86a01e91c949572ec3a9e4cf7aa289fe"/>
    <w:p>
      <w:pPr>
        <w:pStyle w:val="Heading1"/>
      </w:pPr>
      <w:r>
        <w:t xml:space="preserve">Evaluación Integral: Dirección Estratégica de Datos (Actividad 5)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Dirección Estratégica de Datos (ISIL, 2026-1)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Brezli Paola Luna Figueroa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[pendiente]</w:t>
      </w:r>
    </w:p>
    <w:p>
      <w:r>
        <w:pict>
          <v:rect style="width:0;height:1.5pt" o:hralign="center" o:hrstd="t" o:hr="t"/>
        </w:pict>
      </w:r>
    </w:p>
    <w:bookmarkStart w:id="11" w:name="Xc3a670308d0b6c0de90a26eb85693413d6ac0d7"/>
    <w:p>
      <w:pPr>
        <w:pStyle w:val="Heading2"/>
      </w:pPr>
      <w:r>
        <w:t xml:space="preserve">Parte I. Análisis Financiero del Proyecto (6 puntos)</w:t>
      </w:r>
    </w:p>
    <w:bookmarkStart w:id="9" w:name="pregunta-1-cálculo-del-roi"/>
    <w:p>
      <w:pPr>
        <w:pStyle w:val="Heading3"/>
      </w:pPr>
      <w:r>
        <w:t xml:space="preserve">Pregunta 1: Cálculo del ROI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Concepto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Monto (S/.)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Plataforma Cloud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850,000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Licencias Analíticas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420,000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Consultoría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280,000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Capacitación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150,000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Integración de Datos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300,000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Costo Inicial Total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2,000,000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Beneficios anuales:</w:t>
      </w:r>
      <w:r>
        <w:t xml:space="preserve"> </w:t>
      </w:r>
      <w:r>
        <w:t xml:space="preserve">Incremento ventas (850,000) + Reducción costos (420,000) + Monetización datos (600,000) + Intangibles (330,000) =</w:t>
      </w:r>
      <w:r>
        <w:t xml:space="preserve"> </w:t>
      </w:r>
      <w:r>
        <w:rPr>
          <w:b/>
          <w:bCs/>
        </w:rPr>
        <w:t xml:space="preserve">S/ 2,200,000</w:t>
      </w:r>
    </w:p>
    <w:p>
      <w:pPr>
        <w:pStyle w:val="BodyText"/>
      </w:pPr>
      <w:r>
        <w:rPr>
          <w:b/>
          <w:bCs/>
        </w:rPr>
        <w:t xml:space="preserve">Fórmula ROI (método costo-beneficio — Clase 14):</w:t>
      </w:r>
    </w:p>
    <w:p>
      <w:pPr>
        <w:pStyle w:val="SourceCode"/>
      </w:pPr>
      <w:r>
        <w:rPr>
          <w:rStyle w:val="VerbatimChar"/>
        </w:rPr>
        <w:t xml:space="preserve">ROI = ((Beneficios Totales − Costo Total) / Costo Total) × 100</w:t>
      </w:r>
    </w:p>
    <w:p>
      <w:pPr>
        <w:pStyle w:val="Compact"/>
        <w:numPr>
          <w:ilvl w:val="0"/>
          <w:numId w:val="1001"/>
        </w:numPr>
      </w:pPr>
      <w:r>
        <w:t xml:space="preserve">Beneficios totales (5 años): 2,200,000 × 5 = S/ 11,000,000</w:t>
      </w:r>
    </w:p>
    <w:p>
      <w:pPr>
        <w:pStyle w:val="Compact"/>
        <w:numPr>
          <w:ilvl w:val="0"/>
          <w:numId w:val="1001"/>
        </w:numPr>
      </w:pPr>
      <w:r>
        <w:t xml:space="preserve">Beneficio neto: 11,000,000 − 2,000,000 = S/ 9,000,000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ROI = (9,000,000 / 2,000,000) × 100 = 450%</w:t>
      </w:r>
    </w:p>
    <w:bookmarkEnd w:id="9"/>
    <w:bookmarkStart w:id="10" w:name="pregunta-2-análisis-del-resultado"/>
    <w:p>
      <w:pPr>
        <w:pStyle w:val="Heading3"/>
      </w:pPr>
      <w:r>
        <w:t xml:space="preserve">Pregunta 2: Análisis del Resultado</w:t>
      </w:r>
    </w:p>
    <w:p>
      <w:pPr>
        <w:pStyle w:val="FirstParagraph"/>
      </w:pPr>
      <w:r>
        <w:rPr>
          <w:b/>
          <w:bCs/>
        </w:rPr>
        <w:t xml:space="preserve">¿El proyecto es rentable?</w:t>
      </w:r>
      <w:r>
        <w:t xml:space="preserve"> </w:t>
      </w:r>
      <w:r>
        <w:t xml:space="preserve">Sí. Un ROI del 450% supera el rango típico de proyectos de transformación digital retail (150%-300%). El punto de equilibrio se alcanza en el primer año.</w:t>
      </w:r>
    </w:p>
    <w:p>
      <w:pPr>
        <w:pStyle w:val="BodyText"/>
      </w:pPr>
      <w:r>
        <w:rPr>
          <w:b/>
          <w:bCs/>
        </w:rPr>
        <w:t xml:space="preserve">Beneficios de mayor impacto:</w:t>
      </w:r>
      <w:r>
        <w:t xml:space="preserve"> </w:t>
      </w:r>
      <w:r>
        <w:t xml:space="preserve">Incremento de ventas (38.6%) por segmentación y personalización; monetización de datos (27.3%) como nueva fuente de ingresos recurrentes.</w:t>
      </w:r>
    </w:p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Aprobar la inversión. El retorno supera el costo de capital, diversifica ingresos y se alinea con la estrategia de e-commerce existente.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e20923328f08143836465e48bafcd1b65e9da3d"/>
    <w:p>
      <w:pPr>
        <w:pStyle w:val="Heading2"/>
      </w:pPr>
      <w:r>
        <w:t xml:space="preserve">Parte II. Evaluación de Beneficios y Costos (4 puntos)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61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Ejemplos en el caso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Beneficios financieros directos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Incremento ventas por segmentación (S/ 850,000/año); monetización en marketplaces (S/ 600,000/año)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Beneficios financieros indirectos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Reducción costos por automatización (S/ 420,000/año); menor mermas por predicción con IoT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Beneficios intangibles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Mejor toma de decisiones; fidelización; ventaja competitiva; cultura data-driven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Costos de implementación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Cloud (S/ 850,000); Licencias (S/ 420,000); Consultoría (S/ 280,000); Capacitación (S/ 150,000); Integración (S/ 300,000)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Costos operativos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Mantenimiento Cloud; soporte de licencias; actualización de modelos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Costos indirectos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de personal interno; resistencia al cambio; costos de transición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Elemento más importante:</w:t>
      </w:r>
      <w:r>
        <w:t xml:space="preserve"> </w:t>
      </w:r>
      <w:r>
        <w:t xml:space="preserve">La integración de datos (S/ 300,000). Sin datos unificados de las 7 fuentes, la analítica y monetización no son posibles.</w:t>
      </w:r>
    </w:p>
    <w:p>
      <w:r>
        <w:pict>
          <v:rect style="width:0;height:1.5pt" o:hralign="center" o:hrstd="t" o:hr="t"/>
        </w:pict>
      </w:r>
    </w:p>
    <w:bookmarkEnd w:id="12"/>
    <w:bookmarkStart w:id="15" w:name="X4ba4656bcbf8c2e7a3863987ef493258ba8da1b"/>
    <w:p>
      <w:pPr>
        <w:pStyle w:val="Heading2"/>
      </w:pPr>
      <w:r>
        <w:t xml:space="preserve">Parte III. Monetización de Datos (4 puntos)</w:t>
      </w:r>
    </w:p>
    <w:bookmarkStart w:id="13" w:name="Xceb9f0d43c2fea31a8e24d9a45f78dcf3b27f03"/>
    <w:p>
      <w:pPr>
        <w:pStyle w:val="Heading3"/>
      </w:pPr>
      <w:r>
        <w:t xml:space="preserve">Plataforma seleccionada: Snowflake Marketplace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77"/>
        <w:gridCol w:w="2810"/>
        <w:gridCol w:w="2938"/>
        <w:gridCol w:w="8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Criterio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Snowflake Marketplace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Databricks Marketplace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Dawex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Seguridad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Cifrado en reposo/tránsito; roles granulares; SOC 2, HIPAA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Cifrado robusto; Unity Catalog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Menor control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Gobernanza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Governance integrado; auditoría automática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Unity Catalog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Limitada al ecosistema Dawex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Integración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Conectores nativos; SQL estándar; APIs REST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Requiere ecosistema Databricks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Carga manual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Monetización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Miles de consumidores; pricing flexible; facturación integrada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Marketplace en crecimiento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Menor escala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Escalabilidad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Escalado automático; separación almacenamiento/computación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Escalable en Databricks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Dependiente de terceros</w:t>
            </w:r>
          </w:p>
        </w:tc>
      </w:tr>
    </w:tbl>
    <w:p>
      <w:pPr>
        <w:pStyle w:val="BodyText"/>
      </w:pPr>
      <w:r>
        <w:t xml:space="preserve">Snowflake es óptima porque los datos se consolidarán allí, eliminando costos de exportación.</w:t>
      </w:r>
    </w:p>
    <w:bookmarkEnd w:id="13"/>
    <w:bookmarkStart w:id="14" w:name="riesgos-legales-y-éticos"/>
    <w:p>
      <w:pPr>
        <w:pStyle w:val="Heading3"/>
      </w:pPr>
      <w:r>
        <w:t xml:space="preserve">Riesgos legales y éticos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Exposición de datos personales:</w:t>
      </w:r>
      <w:r>
        <w:t xml:space="preserve"> </w:t>
      </w:r>
      <w:r>
        <w:t xml:space="preserve">La información de consumo podría involucrar datos identificables bajo la</w:t>
      </w:r>
      <w:r>
        <w:t xml:space="preserve"> </w:t>
      </w:r>
      <w:r>
        <w:rPr>
          <w:b/>
          <w:bCs/>
        </w:rPr>
        <w:t xml:space="preserve">Ley N° 29733</w:t>
      </w:r>
      <w:r>
        <w:t xml:space="preserve"> </w:t>
      </w:r>
      <w:r>
        <w:t xml:space="preserve">(Protección de Datos Personales del Perú). Control: anonimización irreversible (k-anonimidad), mínimo 50 transacciones por segmento, evaluación de impacto de privacidad.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Uso indebido por terceros:</w:t>
      </w:r>
      <w:r>
        <w:t xml:space="preserve"> </w:t>
      </w:r>
      <w:r>
        <w:t xml:space="preserve">Compradores podrían reutilizar datos para fines no autorizados. Control: contratos de licencia con uso restringido, cláusulas de auditoría, monitoreo de patrones de consulta.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dad6e09318779316aad83c379a38c5ab7c82b89"/>
    <w:p>
      <w:pPr>
        <w:pStyle w:val="Heading2"/>
      </w:pPr>
      <w:r>
        <w:t xml:space="preserve">Parte IV. Evaluación de Efectividad (3 puntos)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0"/>
        <w:gridCol w:w="2970"/>
        <w:gridCol w:w="330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Fórmula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ROI del Proyecto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((Beneficios − Costo) / Costo) × 100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450% acumulado al año 5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Ingresos por Monetización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Ventas en Marketplace / Mes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S/ 50,000 mensuales desde mes 6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Calidad de Datos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(Registros válidos / Total) × 100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95% de completitud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de Reportes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Solicitud → entrega de reporte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Reducir de 5 días a 4 horas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Adopción Analítica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(Usuarios activos / Designados) × 100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80% al año 1</w:t>
            </w:r>
          </w:p>
        </w:tc>
      </w:tr>
    </w:tbl>
    <w:p>
      <w:pPr>
        <w:pStyle w:val="BodyText"/>
      </w:pPr>
      <w:r>
        <w:t xml:space="preserve">Estos KPIs cubren rentabilidad, ingresos, calidad, agilidad y adopción — formando un balanced scorecard completo (Clase 13).</w:t>
      </w:r>
    </w:p>
    <w:p>
      <w:r>
        <w:pict>
          <v:rect style="width:0;height:1.5pt" o:hralign="center" o:hrstd="t" o:hr="t"/>
        </w:pict>
      </w:r>
    </w:p>
    <w:bookmarkEnd w:id="16"/>
    <w:bookmarkStart w:id="17" w:name="X401880809a0ec167c3c9e125685254cd27a6e28"/>
    <w:p>
      <w:pPr>
        <w:pStyle w:val="Heading2"/>
      </w:pPr>
      <w:r>
        <w:t xml:space="preserve">Parte V. Estrategia de Optimización (3 puntos)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2112"/>
        <w:gridCol w:w="3432"/>
        <w:gridCol w:w="158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Acción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Descripción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Meta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Calidad de datos continua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 Owners por dominio, validación automatizada, limpieza mensual de duplicados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Completitud del 70% al 98%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Gobierno con COBIT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Alinear con dominios APO14 (Gestión de Datos) y BAI06 (Gestión de Cambios); catálogo corporativo, comité trimestral, auditorías semestrales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Reducir incidentes de seguridad en 70%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IA para predicción de demanda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Modelos de series temporales con ventas, IoT y variables externas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Reducir mermas en 25% (S/ 350,000/año adicional)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Cultura data-driven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Capacitación por niveles: gerentes (dashboards), analistas (Power BI certificación), operaciones (app móvil)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95% de adopción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Optimización costos Cloud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Auditar consumo Snowflake, auto-suspend, renegociar contratos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Reducir costos Cloud en 30% (S/ 255,000/año); ROI de 450% a 565%</w:t>
            </w:r>
          </w:p>
        </w:tc>
      </w:tr>
    </w:tbl>
    <w:p>
      <w:pPr>
        <w:pStyle w:val="BodyText"/>
      </w:pPr>
      <w:r>
        <w:t xml:space="preserve">Estas acciones muestran evolución progresiva de madurez (Clase 11): desde procesos iniciales (nivel 1-2) hacia procesos estandarizados y medidos (nivel 3-4 del modelo CMM).</w:t>
      </w:r>
    </w:p>
    <w:p>
      <w:r>
        <w:pict>
          <v:rect style="width:0;height:1.5pt" o:hralign="center" o:hrstd="t" o:hr="t"/>
        </w:pict>
      </w:r>
    </w:p>
    <w:bookmarkEnd w:id="17"/>
    <w:bookmarkStart w:id="18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El proyecto de Lima Market Express es financieramente viable con ROI del 450% en 5 años. Snowflake Marketplace ofrece la mejor plataforma por seguridad, gobernanza y escala. Los 5 KPIs permiten monitorear todas las dimensiones. Las acciones de optimización aseguran que el valor se acelere, alcanzando ROI de 565% al año 3.</w:t>
      </w:r>
    </w:p>
    <w:p>
      <w:r>
        <w:pict>
          <v:rect style="width:0;height:1.5pt" o:hralign="center" o:hrstd="t" o:hr="t"/>
        </w:pict>
      </w:r>
    </w:p>
    <w:bookmarkEnd w:id="18"/>
    <w:bookmarkStart w:id="19" w:name="fuentes"/>
    <w:p>
      <w:pPr>
        <w:pStyle w:val="Heading2"/>
      </w:pPr>
      <w:r>
        <w:t xml:space="preserve">Fuentes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3727"/>
        <w:gridCol w:w="2795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ISACA. (2018).</w:t>
            </w:r>
            <w:r>
              <w:t xml:space="preserve"> </w:t>
            </w:r>
            <w:r>
              <w:rPr>
                <w:i/>
                <w:iCs/>
              </w:rPr>
              <w:t xml:space="preserve">COBIT 2019: Introduction and Methodology</w:t>
            </w:r>
            <w:r>
              <w:t xml:space="preserve">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Congreso del Perú. (2011).</w:t>
            </w:r>
            <w:r>
              <w:t xml:space="preserve"> </w:t>
            </w:r>
            <w:r>
              <w:rPr>
                <w:i/>
                <w:iCs/>
              </w:rPr>
              <w:t xml:space="preserve">Ley N° 29733 — Ley de Protección de Datos Personales</w:t>
            </w:r>
            <w:r>
              <w:t xml:space="preserve">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Snowflake. (2024).</w:t>
            </w:r>
            <w:r>
              <w:t xml:space="preserve"> </w:t>
            </w:r>
            <w:r>
              <w:rPr>
                <w:i/>
                <w:iCs/>
              </w:rPr>
              <w:t xml:space="preserve">Data Cloud: Monetization Overview</w:t>
            </w:r>
            <w:r>
              <w:t xml:space="preserve">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Luna Figueroa, B. P. (2026). Dirección Estratégica de Datos: Clases 12-15. ISIL.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Académica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Laney, D. (2017).</w:t>
            </w:r>
            <w:r>
              <w:t xml:space="preserve"> </w:t>
            </w:r>
            <w:r>
              <w:rPr>
                <w:i/>
                <w:iCs/>
              </w:rPr>
              <w:t xml:space="preserve">Infonomics: How to Monetize, Manage, and Measure Information as an Asset</w:t>
            </w:r>
            <w:r>
              <w:t xml:space="preserve">. Technics Publications.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Libro</w:t>
            </w:r>
          </w:p>
        </w:tc>
      </w:tr>
    </w:tbl>
    <w:bookmarkEnd w:id="19"/>
    <w:bookmarkEnd w:id="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b/>
      <w:color w:themeColor="accent1" w:themeShade="7F" w:val="243F60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2026-07-21T23:48:33Z</dcterms:created>
  <dcterms:modified xsi:type="dcterms:W3CDTF">2026-07-21T23:48:33Z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