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4a4a1dd8e22afea60f43a5950c24c7135214fd"/>
    <w:p>
      <w:pPr>
        <w:pStyle w:val="Heading1"/>
      </w:pPr>
      <w:r>
        <w:t xml:space="preserve">Solución Actividad 14: Validación y Generación de Valor de una Solución con IA (Actividad 14)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Diseño de Soluciones con IA (ISIL, 2026-1)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Omar David Visitacion Romero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08/07/2026</w:t>
      </w:r>
    </w:p>
    <w:p>
      <w:r>
        <w:pict>
          <v:rect style="width:0;height:1.5pt" o:hralign="center" o:hrstd="t" o:hr="t"/>
        </w:pict>
      </w:r>
    </w:p>
    <w:bookmarkStart w:id="10" w:name="Xc8cb1c796b5de0805ccfe082cde4676c1f7b129"/>
    <w:p>
      <w:pPr>
        <w:pStyle w:val="Heading2"/>
      </w:pPr>
      <w:r>
        <w:t xml:space="preserve">1. Análisis del Problema y Generación de Valor</w:t>
      </w:r>
    </w:p>
    <w:bookmarkStart w:id="9" w:name="problemas-identificados"/>
    <w:p>
      <w:pPr>
        <w:pStyle w:val="Heading3"/>
      </w:pPr>
      <w:r>
        <w:t xml:space="preserve">Problemas identificados</w:t>
      </w:r>
    </w:p>
    <w:p>
      <w:pPr>
        <w:pStyle w:val="FirstParagraph"/>
      </w:pPr>
      <w:r>
        <w:t xml:space="preserve">Tres problemas concretos explican por qué IA-Orienta no está generando el valor esperado: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8"/>
        <w:gridCol w:w="1616"/>
        <w:gridCol w:w="2424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N.°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Área afectada</w:t>
            </w:r>
          </w:p>
        </w:tc>
        <w:tc>
          <w:tcPr/>
          <w:p>
            <w:pPr>
              <w:pStyle w:val="Compact"/>
            </w:pPr>
            <w:r>
              <w:t xml:space="preserve">Consecuencia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Respuestas demasiado extensas y con términos confusos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Solo 230 de 800 usaron el sistema; quienes lo probaron no volvieron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Falta de confianza en la información; el sistema recomendó un curso sin verificar prerrequisitos</w:t>
            </w:r>
          </w:p>
        </w:tc>
        <w:tc>
          <w:tcPr/>
          <w:p>
            <w:pPr>
              <w:pStyle w:val="Compact"/>
            </w:pPr>
            <w:r>
              <w:t xml:space="preserve">Estudiantes y personal académico</w:t>
            </w:r>
          </w:p>
        </w:tc>
        <w:tc>
          <w:tcPr/>
          <w:p>
            <w:pPr>
              <w:pStyle w:val="Compact"/>
            </w:pPr>
            <w:r>
              <w:t xml:space="preserve">Los estudiantes duplican consultas: primero a la IA, luego al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 existen indicadores para medir el impacto de la solución</w:t>
            </w:r>
          </w:p>
        </w:tc>
        <w:tc>
          <w:tcPr/>
          <w:p>
            <w:pPr>
              <w:pStyle w:val="Compact"/>
            </w:pPr>
            <w:r>
              <w:t xml:space="preserve">Dirección académica</w:t>
            </w:r>
          </w:p>
        </w:tc>
        <w:tc>
          <w:tcPr/>
          <w:p>
            <w:pPr>
              <w:pStyle w:val="Compact"/>
            </w:pPr>
            <w:r>
              <w:t xml:space="preserve">No se puede demostrar valor; se piden evidencias antes de seguir invirtiendo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identificación-del-valor-de-la-solución"/>
    <w:p>
      <w:pPr>
        <w:pStyle w:val="Heading2"/>
      </w:pPr>
      <w:r>
        <w:t xml:space="preserve">2. Identificación del Valor de la Solución</w:t>
      </w:r>
    </w:p>
    <w:p>
      <w:pPr>
        <w:pStyle w:val="FirstParagraph"/>
      </w:pPr>
      <w:r>
        <w:t xml:space="preserve">Si los problemas anteriores se solucionan, IA-Orienta debería generar valor en cuatro dimensiones: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4"/>
        <w:gridCol w:w="2909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valor</w:t>
            </w:r>
          </w:p>
        </w:tc>
        <w:tc>
          <w:tcPr/>
          <w:p>
            <w:pPr>
              <w:pStyle w:val="Compact"/>
            </w:pPr>
            <w:r>
              <w:t xml:space="preserve">Situación actual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Eficiencia operativa</w:t>
            </w:r>
          </w:p>
        </w:tc>
        <w:tc>
          <w:tcPr/>
          <w:p>
            <w:pPr>
              <w:pStyle w:val="Compact"/>
            </w:pPr>
            <w:r>
              <w:t xml:space="preserve">Personal recibe consultas que la IA ya respondió</w:t>
            </w:r>
          </w:p>
        </w:tc>
        <w:tc>
          <w:tcPr/>
          <w:p>
            <w:pPr>
              <w:pStyle w:val="Compact"/>
            </w:pPr>
            <w:r>
              <w:t xml:space="preserve">Reducir consultas duplicadas ≥40%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Reducción de costos</w:t>
            </w:r>
          </w:p>
        </w:tc>
        <w:tc>
          <w:tcPr/>
          <w:p>
            <w:pPr>
              <w:pStyle w:val="Compact"/>
            </w:pPr>
            <w:r>
              <w:t xml:space="preserve">Inversión en IA sin métricas de retorno</w:t>
            </w:r>
          </w:p>
        </w:tc>
        <w:tc>
          <w:tcPr/>
          <w:p>
            <w:pPr>
              <w:pStyle w:val="Compact"/>
            </w:pPr>
            <w:r>
              <w:t xml:space="preserve">Reasignar tiempo del personal a tareas de mayor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Mejora en decisiones</w:t>
            </w:r>
          </w:p>
        </w:tc>
        <w:tc>
          <w:tcPr/>
          <w:p>
            <w:pPr>
              <w:pStyle w:val="Compact"/>
            </w:pPr>
            <w:r>
              <w:t xml:space="preserve">No se analizan errores ni calidad de respuestas</w:t>
            </w:r>
          </w:p>
        </w:tc>
        <w:tc>
          <w:tcPr/>
          <w:p>
            <w:pPr>
              <w:pStyle w:val="Compact"/>
            </w:pPr>
            <w:r>
              <w:t xml:space="preserve">Reportes periódicos con tasa de acierto y errores recurrentes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Experiencia del usuario</w:t>
            </w:r>
          </w:p>
        </w:tc>
        <w:tc>
          <w:tcPr/>
          <w:p>
            <w:pPr>
              <w:pStyle w:val="Compact"/>
            </w:pPr>
            <w:r>
              <w:t xml:space="preserve">Estudiantes abandonan tras una consulta</w:t>
            </w:r>
          </w:p>
        </w:tc>
        <w:tc>
          <w:tcPr/>
          <w:p>
            <w:pPr>
              <w:pStyle w:val="Compact"/>
            </w:pPr>
            <w:r>
              <w:t xml:space="preserve">Retención ≥70% con respuestas claras y fuentes visibles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 concreto:</w:t>
      </w:r>
      <w:r>
        <w:t xml:space="preserve"> </w:t>
      </w:r>
      <w:r>
        <w:t xml:space="preserve">Si un estudiante consulta sobre prerrequisitos y recibe una respuesta clara con fuentes, no necesitará confirmar con el personal. Eso libera tiempo para que el personal atienda casos complejos (orientación vocacional, situaciones especiales).</w:t>
      </w:r>
    </w:p>
    <w:p>
      <w:r>
        <w:pict>
          <v:rect style="width:0;height:1.5pt" o:hralign="center" o:hrstd="t" o:hr="t"/>
        </w:pict>
      </w:r>
    </w:p>
    <w:bookmarkEnd w:id="11"/>
    <w:bookmarkStart w:id="12" w:name="definición-de-indicadores"/>
    <w:p>
      <w:pPr>
        <w:pStyle w:val="Heading2"/>
      </w:pPr>
      <w:r>
        <w:t xml:space="preserve">3. Definición de Indicadores</w:t>
      </w:r>
    </w:p>
    <w:p>
      <w:pPr>
        <w:pStyle w:val="FirstParagraph"/>
      </w:pPr>
      <w:r>
        <w:t xml:space="preserve">Tres indicadores medibles permitirán demostrar si la solución funciona: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1980"/>
        <w:gridCol w:w="3135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¿Qué mide?</w:t>
            </w:r>
          </w:p>
        </w:tc>
        <w:tc>
          <w:tcPr/>
          <w:p>
            <w:pPr>
              <w:pStyle w:val="Compact"/>
            </w:pPr>
            <w:r>
              <w:t xml:space="preserve">¿Cómo se obtiene?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Retención de usuarios</w:t>
            </w:r>
          </w:p>
        </w:tc>
        <w:tc>
          <w:tcPr/>
          <w:p>
            <w:pPr>
              <w:pStyle w:val="Compact"/>
            </w:pPr>
            <w:r>
              <w:t xml:space="preserve">% de estudiantes que vuelven a usar el sistema en 30 días</w:t>
            </w:r>
          </w:p>
        </w:tc>
        <w:tc>
          <w:tcPr/>
          <w:p>
            <w:pPr>
              <w:pStyle w:val="Compact"/>
            </w:pPr>
            <w:r>
              <w:t xml:space="preserve">Registros de sesión: usuarios con ≥2 visitas vs. total activos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Precisión de respuestas</w:t>
            </w:r>
          </w:p>
        </w:tc>
        <w:tc>
          <w:tcPr/>
          <w:p>
            <w:pPr>
              <w:pStyle w:val="Compact"/>
            </w:pPr>
            <w:r>
              <w:t xml:space="preserve">% de respuestas correctas vs. información oficial</w:t>
            </w:r>
          </w:p>
        </w:tc>
        <w:tc>
          <w:tcPr/>
          <w:p>
            <w:pPr>
              <w:pStyle w:val="Compact"/>
            </w:pPr>
            <w:r>
              <w:t xml:space="preserve">Muestreo de 100 consultas evaluadas por personal académico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Satisfacción del usuario</w:t>
            </w:r>
          </w:p>
        </w:tc>
        <w:tc>
          <w:tcPr/>
          <w:p>
            <w:pPr>
              <w:pStyle w:val="Compact"/>
            </w:pPr>
            <w:r>
              <w:t xml:space="preserve">Promedio de encuesta post-uso (escala 1-5)</w:t>
            </w:r>
          </w:p>
        </w:tc>
        <w:tc>
          <w:tcPr/>
          <w:p>
            <w:pPr>
              <w:pStyle w:val="Compact"/>
            </w:pPr>
            <w:r>
              <w:t xml:space="preserve">3 preguntas: claridad, utilidad, confianza</w:t>
            </w:r>
          </w:p>
        </w:tc>
        <w:tc>
          <w:tcPr/>
          <w:p>
            <w:pPr>
              <w:pStyle w:val="Compact"/>
            </w:pPr>
            <w:r>
              <w:t xml:space="preserve">≥4.0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diseño-de-encuesta-de-validación"/>
    <w:p>
      <w:pPr>
        <w:pStyle w:val="Heading2"/>
      </w:pPr>
      <w:r>
        <w:t xml:space="preserve">4. Diseño de Encuesta de Validación</w:t>
      </w:r>
    </w:p>
    <w:bookmarkStart w:id="13" w:name="encuesta-de-validación-ia-orienta"/>
    <w:p>
      <w:pPr>
        <w:pStyle w:val="Heading3"/>
      </w:pPr>
      <w:r>
        <w:t xml:space="preserve">Encuesta de Validación — IA-Orienta</w:t>
      </w:r>
    </w:p>
    <w:p>
      <w:pPr>
        <w:pStyle w:val="FirstParagraph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Marca del 1 al 5 tu nivel de acuerdo con cada afirmación, donde 1 es</w:t>
      </w:r>
      <w:r>
        <w:t xml:space="preserve"> </w:t>
      </w:r>
      <w:r>
        <w:t xml:space="preserve">“Totalmente en desacuerdo”</w:t>
      </w:r>
      <w:r>
        <w:t xml:space="preserve"> </w:t>
      </w:r>
      <w:r>
        <w:t xml:space="preserve">y 5 es</w:t>
      </w:r>
      <w:r>
        <w:t xml:space="preserve"> </w:t>
      </w:r>
      <w:r>
        <w:t xml:space="preserve">“Totalmente de acuerdo”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N.°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Afirmación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Facilidad de uso</w:t>
            </w:r>
          </w:p>
        </w:tc>
        <w:tc>
          <w:tcPr/>
          <w:p>
            <w:pPr>
              <w:pStyle w:val="Compact"/>
            </w:pPr>
            <w:r>
              <w:t xml:space="preserve">Encontrar dónde escribir mi consulta fue rápido e intuitivo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Facilidad de uso</w:t>
            </w:r>
          </w:p>
        </w:tc>
        <w:tc>
          <w:tcPr/>
          <w:p>
            <w:pPr>
              <w:pStyle w:val="Compact"/>
            </w:pPr>
            <w:r>
              <w:t xml:space="preserve">El diseño de la interfaz me pareció claro y sin distracciones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Eficiencia</w:t>
            </w:r>
          </w:p>
        </w:tc>
        <w:tc>
          <w:tcPr/>
          <w:p>
            <w:pPr>
              <w:pStyle w:val="Compact"/>
            </w:pPr>
            <w:r>
              <w:t xml:space="preserve">IA-Orienta respondió en poco tiempo, sin demoras molestas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Eficiencia</w:t>
            </w:r>
          </w:p>
        </w:tc>
        <w:tc>
          <w:tcPr/>
          <w:p>
            <w:pPr>
              <w:pStyle w:val="Compact"/>
            </w:pPr>
            <w:r>
              <w:t xml:space="preserve">La respuesta resolvió mi duda sin necesidad de preguntar de nuevo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Confianza</w:t>
            </w:r>
          </w:p>
        </w:tc>
        <w:tc>
          <w:tcPr/>
          <w:p>
            <w:pPr>
              <w:pStyle w:val="Compact"/>
            </w:pPr>
            <w:r>
              <w:t xml:space="preserve">Siento que la información es confiable y precisa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Confianza</w:t>
            </w:r>
          </w:p>
        </w:tc>
        <w:tc>
          <w:tcPr/>
          <w:p>
            <w:pPr>
              <w:pStyle w:val="Compact"/>
            </w:pPr>
            <w:r>
              <w:t xml:space="preserve">Recomendaría a otros compañeros usar IA-Orienta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Explicabilidad</w:t>
            </w:r>
          </w:p>
        </w:tc>
        <w:tc>
          <w:tcPr/>
          <w:p>
            <w:pPr>
              <w:pStyle w:val="Compact"/>
            </w:pPr>
            <w:r>
              <w:t xml:space="preserve">Entendí por qué me dieron esa respuesta y qué información usó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Explicabilidad</w:t>
            </w:r>
          </w:p>
        </w:tc>
        <w:tc>
          <w:tcPr/>
          <w:p>
            <w:pPr>
              <w:pStyle w:val="Compact"/>
            </w:pPr>
            <w:r>
              <w:t xml:space="preserve">El asistente mostró las fuentes o requisitos en los que basó su recomendación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Pude corregir mi consulta fácilmente cuando no me entendió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Supe cómo reportar un error si la respuesta era incorrecta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registro-de-observaciones-y-feedback"/>
    <w:p>
      <w:pPr>
        <w:pStyle w:val="Heading2"/>
      </w:pPr>
      <w:r>
        <w:t xml:space="preserve">5. Registro de Observaciones y Feedback</w:t>
      </w:r>
    </w:p>
    <w:bookmarkStart w:id="15" w:name="estudiante-a"/>
    <w:p>
      <w:pPr>
        <w:pStyle w:val="Heading3"/>
      </w:pPr>
      <w:r>
        <w:t xml:space="preserve">Estudiante 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Demora 4 minutos buscando dónde escribir su consulta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b/>
          <w:bCs/>
        </w:rPr>
        <w:t xml:space="preserve">Usabilidad</w:t>
      </w:r>
      <w:r>
        <w:t xml:space="preserve"> </w:t>
      </w:r>
      <w:r>
        <w:t xml:space="preserve">— El campo de entrada no es visible ni está claramente identificado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Cuantitativo:</w:t>
      </w:r>
      <w:r>
        <w:t xml:space="preserve"> </w:t>
      </w:r>
      <w:r>
        <w:t xml:space="preserve">4 minutos perdidos antes de interactuar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Cualitativo:</w:t>
      </w:r>
      <w:r>
        <w:t xml:space="preserve"> </w:t>
      </w:r>
      <w:r>
        <w:t xml:space="preserve">No encuentra el punto de partida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Mejora:</w:t>
      </w:r>
      <w:r>
        <w:t xml:space="preserve"> </w:t>
      </w:r>
      <w:r>
        <w:t xml:space="preserve">Campo de texto prominente en el centro de la pantalla, placeholder claro (</w:t>
      </w:r>
      <w:r>
        <w:t xml:space="preserve">“Escribe tu consulta aquí…”</w:t>
      </w:r>
      <w:r>
        <w:t xml:space="preserve">), ícono visible</w:t>
      </w:r>
    </w:p>
    <w:bookmarkEnd w:id="15"/>
    <w:bookmarkStart w:id="16" w:name="estudiante-b"/>
    <w:p>
      <w:pPr>
        <w:pStyle w:val="Heading3"/>
      </w:pPr>
      <w:r>
        <w:t xml:space="preserve">Estudiante 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Recibe recomendación pero pregunta</w:t>
      </w:r>
      <w:r>
        <w:t xml:space="preserve"> </w:t>
      </w:r>
      <w:r>
        <w:t xml:space="preserve">“¿Por qué me recomiendan este curso?”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b/>
          <w:bCs/>
        </w:rPr>
        <w:t xml:space="preserve">Explicabilidad</w:t>
      </w:r>
      <w:r>
        <w:t xml:space="preserve"> </w:t>
      </w:r>
      <w:r>
        <w:t xml:space="preserve">— El sistema no muestra el razonamiento detrás de la recomendación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Feedback: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Cuantitativo:</w:t>
      </w:r>
      <w:r>
        <w:t xml:space="preserve"> </w:t>
      </w:r>
      <w:r>
        <w:t xml:space="preserve">Consulta requiere segunda interacción para aclarar motivo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Cualitativo:</w:t>
      </w:r>
      <w:r>
        <w:t xml:space="preserve"> </w:t>
      </w:r>
      <w:r>
        <w:t xml:space="preserve">No confía porque no entiende el criterio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Mejora:</w:t>
      </w:r>
      <w:r>
        <w:t xml:space="preserve"> </w:t>
      </w:r>
      <w:r>
        <w:t xml:space="preserve">Agregar sección</w:t>
      </w:r>
      <w:r>
        <w:t xml:space="preserve"> </w:t>
      </w:r>
      <w:r>
        <w:t xml:space="preserve">“¿Por qué esto?”</w:t>
      </w:r>
      <w:r>
        <w:t xml:space="preserve"> </w:t>
      </w:r>
      <w:r>
        <w:t xml:space="preserve">con viñetas: prerrequisitos cumplidos, afinidad con cursos previos, disponibilidad de horario. Lenguaje simple.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Las afirmaciones y datos provienen de estas fuentes.</w:t>
      </w:r>
      <w:r>
        <w:br/>
      </w:r>
      <w:r>
        <w:t xml:space="preserve">Tipo:</w:t>
      </w:r>
      <w:r>
        <w:t xml:space="preserve"> </w:t>
      </w:r>
      <w:r>
        <w:rPr>
          <w:b/>
          <w:bCs/>
        </w:rPr>
        <w:t xml:space="preserve">oficial</w:t>
      </w:r>
      <w:r>
        <w:t xml:space="preserve"> </w:t>
      </w:r>
      <w:r>
        <w:t xml:space="preserve">= autor/creador;</w:t>
      </w:r>
      <w:r>
        <w:t xml:space="preserve"> </w:t>
      </w:r>
      <w:r>
        <w:rPr>
          <w:b/>
          <w:bCs/>
        </w:rPr>
        <w:t xml:space="preserve">tercero</w:t>
      </w:r>
      <w:r>
        <w:t xml:space="preserve"> </w:t>
      </w:r>
      <w:r>
        <w:t xml:space="preserve">= prensa o fuente secundaria.</w:t>
      </w:r>
    </w:p>
    <w:bookmarkStart w:id="18" w:name="contenido-del-curso"/>
    <w:p>
      <w:pPr>
        <w:pStyle w:val="Heading3"/>
      </w:pPr>
      <w:r>
        <w:t xml:space="preserve">Contenido del curso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880"/>
        <w:gridCol w:w="216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Visitacion Romero, O. D. (2026).</w:t>
            </w:r>
            <w:r>
              <w:t xml:space="preserve"> </w:t>
            </w:r>
            <w:r>
              <w:rPr>
                <w:i/>
                <w:iCs/>
              </w:rPr>
              <w:t xml:space="preserve">Diseño de Soluciones con IA — Actividad 14: Validación y Generación de Valor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ISIL, 2026-1</w:t>
            </w:r>
          </w:p>
        </w:tc>
      </w:tr>
    </w:tbl>
    <w:bookmarkEnd w:id="18"/>
    <w:bookmarkStart w:id="19" w:name="estándares-y-conceptos-de-validación"/>
    <w:p>
      <w:pPr>
        <w:pStyle w:val="Heading3"/>
      </w:pPr>
      <w:r>
        <w:t xml:space="preserve">Estándares y conceptos de validación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880"/>
        <w:gridCol w:w="216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ISO 25010 — Quality Model for Systems and Software Quality Requirements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https://iso25000.com/index.php/en/iso-25000-standards/iso-25010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Nielsen, J. (2012).</w:t>
            </w:r>
            <w:r>
              <w:t xml:space="preserve"> </w:t>
            </w:r>
            <w:r>
              <w:rPr>
                <w:i/>
                <w:iCs/>
              </w:rPr>
              <w:t xml:space="preserve">Usability 101: Introduction to Usability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https://www.nngroup.com/articles/usability-101-introduction-to-usability/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Google.</w:t>
            </w:r>
            <w:r>
              <w:t xml:space="preserve"> </w:t>
            </w:r>
            <w:r>
              <w:rPr>
                <w:i/>
                <w:iCs/>
              </w:rPr>
              <w:t xml:space="preserve">People + AI Guidebook — Explainability</w:t>
            </w:r>
          </w:p>
        </w:tc>
        <w:tc>
          <w:tcPr/>
          <w:p>
            <w:pPr>
              <w:pStyle w:val="Compact"/>
            </w:pPr>
            <w:r>
              <w:t xml:space="preserve">Oficial</w:t>
            </w:r>
          </w:p>
        </w:tc>
        <w:tc>
          <w:tcPr/>
          <w:p>
            <w:pPr>
              <w:pStyle w:val="Compact"/>
            </w:pPr>
            <w:r>
              <w:t xml:space="preserve">https://pair.withgoogle.com/chapter/explainability/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Última verificación: 08/07/2026.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2026-07-09T02:00:08Z</dcterms:created>
  <dcterms:modified xsi:type="dcterms:W3CDTF">2026-07-09T02:00:08Z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