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0f71e0b1b79964c8b09dd207128bcd7843a06df"/>
    <w:p>
      <w:pPr>
        <w:pStyle w:val="Heading1"/>
      </w:pPr>
      <w:r>
        <w:t xml:space="preserve">Quantum Persistence Framework — Version 6.3 (Integrated Empirical Edition)</w:t>
      </w:r>
    </w:p>
    <w:bookmarkStart w:id="20" w:name="X23328ad0226a20c68d47ce370253fab42aa0606"/>
    <w:p>
      <w:pPr>
        <w:pStyle w:val="Heading3"/>
      </w:pPr>
      <w:r>
        <w:t xml:space="preserve">Full Scientific-Manuscript Integration (October 2025)</w:t>
      </w:r>
    </w:p>
    <w:p>
      <w:r>
        <w:pict>
          <v:rect style="width:0;height:1.5pt" o:hralign="center" o:hrstd="t" o:hr="t"/>
        </w:pic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Quantum coherence, entanglement, and thermodynamic efficiency define how long quantum information remains operational in noisy environments. The</w:t>
      </w:r>
      <w:r>
        <w:t xml:space="preserve"> </w:t>
      </w:r>
      <w:r>
        <w:rPr>
          <w:b/>
          <w:bCs/>
        </w:rPr>
        <w:t xml:space="preserve">Quantum Persistence Framework (QPF)</w:t>
      </w:r>
      <w:r>
        <w:t xml:space="preserve"> </w:t>
      </w:r>
      <w:r>
        <w:t xml:space="preserve">formalizes these quantities into a measurable composite functional ( P_Q ), governed by conditional monotonicity under completely positive trace-preserving (CPTP) dynamics.</w:t>
      </w:r>
      <w:r>
        <w:br/>
      </w:r>
      <w:r>
        <w:t xml:space="preserve">Version 6.3 unifies all prior conceptual and empirical developments — defining measurable invariants, introducing the</w:t>
      </w:r>
      <w:r>
        <w:t xml:space="preserve"> </w:t>
      </w:r>
      <w:r>
        <w:rPr>
          <w:b/>
          <w:bCs/>
        </w:rPr>
        <w:t xml:space="preserve">Conditional Persistence Monotonicity (CPM)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Instrumental Strong Monotonicity (S–T)</w:t>
      </w:r>
      <w:r>
        <w:t xml:space="preserve"> </w:t>
      </w:r>
      <w:r>
        <w:t xml:space="preserve">theorems, incorporating</w:t>
      </w:r>
      <w:r>
        <w:t xml:space="preserve"> </w:t>
      </w:r>
      <w:r>
        <w:rPr>
          <w:b/>
          <w:bCs/>
        </w:rPr>
        <w:t xml:space="preserve">topological persistence and stability theory</w:t>
      </w:r>
      <w:r>
        <w:t xml:space="preserve">, and concluding with</w:t>
      </w:r>
      <w:r>
        <w:t xml:space="preserve"> </w:t>
      </w:r>
      <w:r>
        <w:rPr>
          <w:b/>
          <w:bCs/>
        </w:rPr>
        <w:t xml:space="preserve">empirical protocols</w:t>
      </w:r>
      <w:r>
        <w:t xml:space="preserve"> </w:t>
      </w:r>
      <w:r>
        <w:t xml:space="preserve">for parity-decay, noise spectra, and thermodynamic efficiency.</w:t>
      </w:r>
      <w:r>
        <w:br/>
      </w:r>
      <w:r>
        <w:t xml:space="preserve">The result is a self-contained theoretical and experimental structure for benchmarking quantum persistence in real devices.</w:t>
      </w:r>
    </w:p>
    <w:p>
      <w:r>
        <w:pict>
          <v:rect style="width:0;height:1.5pt" o:hralign="center" o:hrstd="t" o:hr="t"/>
        </w:pict>
      </w:r>
    </w:p>
    <w:bookmarkEnd w:id="21"/>
    <w:bookmarkStart w:id="22" w:name="introduction-and-motivation"/>
    <w:p>
      <w:pPr>
        <w:pStyle w:val="Heading2"/>
      </w:pPr>
      <w:r>
        <w:t xml:space="preserve">1. Introduction and Motivation</w:t>
      </w:r>
    </w:p>
    <w:p>
      <w:pPr>
        <w:pStyle w:val="FirstParagraph"/>
      </w:pPr>
      <w:r>
        <w:t xml:space="preserve">Quantum technologies require metrics that unify coherence lifetime, entanglement robustness, thermodynamic efficiency, and noise immunity into a single operational framework. Standard measures treat these properties separately, limiting comparability across hardware platforms.</w:t>
      </w:r>
      <w:r>
        <w:br/>
      </w:r>
      <w:r>
        <w:t xml:space="preserve">QPF introduces</w:t>
      </w:r>
      <w:r>
        <w:t xml:space="preserve"> </w:t>
      </w:r>
      <w:r>
        <w:rPr>
          <w:b/>
          <w:bCs/>
        </w:rPr>
        <w:t xml:space="preserve">persistence invariants</w:t>
      </w:r>
      <w:r>
        <w:t xml:space="preserve"> </w:t>
      </w:r>
      <w:r>
        <w:t xml:space="preserve">( Q_Q, Q_Q^{(</w:t>
      </w:r>
      <w:r>
        <w:t xml:space="preserve">)},</w:t>
      </w:r>
      <w:r>
        <w:t xml:space="preserve"> </w:t>
      </w:r>
      <w:r>
        <w:t xml:space="preserve">_Q,</w:t>
      </w:r>
      <w:r>
        <w:t xml:space="preserve"> </w:t>
      </w:r>
      <w:r>
        <w:t xml:space="preserve">_Q ), each experimentally measurable, forming a composite persistence functional ( P_Q</w:t>
      </w:r>
      <w:r>
        <w:t xml:space="preserve"> </w:t>
      </w:r>
      <w:r>
        <w:t xml:space="preserve">). When these invariants evolve monotonically under open-system dynamics, ( P_Q ) behaves as a Lyapunov-like function quantifying the</w:t>
      </w:r>
      <w:r>
        <w:t xml:space="preserve"> </w:t>
      </w:r>
      <w:r>
        <w:rPr>
          <w:i/>
          <w:iCs/>
        </w:rPr>
        <w:t xml:space="preserve">stability of quantum information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7" w:name="measurable-quantum-invariants"/>
    <w:p>
      <w:pPr>
        <w:pStyle w:val="Heading2"/>
      </w:pPr>
      <w:r>
        <w:t xml:space="preserve">2. Measurable Quantum Invariants</w:t>
      </w:r>
    </w:p>
    <w:bookmarkStart w:id="23" w:name="single-qubit-persistence"/>
    <w:p>
      <w:pPr>
        <w:pStyle w:val="Heading3"/>
      </w:pPr>
      <w:r>
        <w:t xml:space="preserve">2.1 Single-Qubit Persistence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Q_Q =</w:t>
      </w:r>
      <w:r>
        <w:t xml:space="preserve"> </w:t>
      </w:r>
      <w:r>
        <w:t xml:space="preserve">_q T_2</w:t>
      </w:r>
      <w:r>
        <w:t xml:space="preserve"> </w:t>
      </w:r>
      <w:r>
        <w:t xml:space="preserve">]</w:t>
      </w:r>
      <w:r>
        <w:t xml:space="preserve"> </w:t>
      </w:r>
      <w:r>
        <w:t xml:space="preserve">where (</w:t>
      </w:r>
      <w:r>
        <w:t xml:space="preserve"> </w:t>
      </w:r>
      <w:r>
        <w:t xml:space="preserve">_q = 2</w:t>
      </w:r>
      <w:r>
        <w:t xml:space="preserve">f_q =</w:t>
      </w:r>
      <w:r>
        <w:t xml:space="preserve"> </w:t>
      </w:r>
      <w:r>
        <w:t xml:space="preserve">E /</w:t>
      </w:r>
      <w:r>
        <w:t xml:space="preserve"> </w:t>
      </w:r>
      <w:r>
        <w:t xml:space="preserve">) is the qubit frequency and ( T_2 ) the dephasing time. It represents the number of coherent radians before 1/e loss of phase coherence.</w:t>
      </w:r>
    </w:p>
    <w:p>
      <w:pPr>
        <w:pStyle w:val="BodyText"/>
      </w:pPr>
      <w:r>
        <w:rPr>
          <w:i/>
          <w:iCs/>
        </w:rPr>
        <w:t xml:space="preserve">Example:</w:t>
      </w:r>
      <w:r>
        <w:br/>
      </w:r>
      <w:r>
        <w:t xml:space="preserve">- Sycamore: ( f_q</w:t>
      </w:r>
      <w:r>
        <w:t xml:space="preserve"> </w:t>
      </w:r>
      <w:r>
        <w:t xml:space="preserve">,</w:t>
      </w:r>
      <w:r>
        <w:t xml:space="preserve">, T_2</w:t>
      </w:r>
      <w:r>
        <w:t xml:space="preserve"> </w:t>
      </w:r>
      <w:r>
        <w:t xml:space="preserve">,</w:t>
      </w:r>
      <w:r>
        <w:t xml:space="preserve">s</w:t>
      </w:r>
      <w:r>
        <w:t xml:space="preserve"> </w:t>
      </w:r>
      <w:r>
        <w:t xml:space="preserve">Q_Q</w:t>
      </w:r>
      <w:r>
        <w:t xml:space="preserve"> </w:t>
      </w:r>
      <w:r>
        <w:t xml:space="preserve">^5 ) cycles.</w:t>
      </w:r>
      <w:r>
        <w:t xml:space="preserve"> </w:t>
      </w:r>
      <w:r>
        <w:t xml:space="preserve">- Fluxonium: ( f_q</w:t>
      </w:r>
      <w:r>
        <w:t xml:space="preserve"> </w:t>
      </w:r>
      <w:r>
        <w:t xml:space="preserve">,</w:t>
      </w:r>
      <w:r>
        <w:t xml:space="preserve">, T_2=1.48,</w:t>
      </w:r>
      <w:r>
        <w:t xml:space="preserve"> </w:t>
      </w:r>
      <w:r>
        <w:t xml:space="preserve">Q_Q</w:t>
      </w:r>
      <w:r>
        <w:t xml:space="preserve"> </w:t>
      </w:r>
      <w:r>
        <w:t xml:space="preserve">^7 ).</w:t>
      </w:r>
    </w:p>
    <w:bookmarkEnd w:id="23"/>
    <w:bookmarkStart w:id="24" w:name="entangled-persistence"/>
    <w:p>
      <w:pPr>
        <w:pStyle w:val="Heading3"/>
      </w:pPr>
      <w:r>
        <w:t xml:space="preserve">2.2 Entangled Persistence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Q_Q^{(</w:t>
      </w:r>
      <w:r>
        <w:t xml:space="preserve">)} =</w:t>
      </w:r>
      <w:r>
        <w:t xml:space="preserve"> </w:t>
      </w:r>
      <w:r>
        <w:t xml:space="preserve">_c T_2^{(</w:t>
      </w:r>
      <w:r>
        <w:t xml:space="preserve">)}</w:t>
      </w:r>
      <w:r>
        <w:t xml:space="preserve"> </w:t>
      </w:r>
      <w:r>
        <w:t xml:space="preserve">]</w:t>
      </w:r>
      <w:r>
        <w:t xml:space="preserve"> </w:t>
      </w:r>
      <w:r>
        <w:t xml:space="preserve">where (</w:t>
      </w:r>
      <w:r>
        <w:t xml:space="preserve"> </w:t>
      </w:r>
      <w:r>
        <w:t xml:space="preserve">_c ) is the collective mode frequency and ( T_2^{(</w:t>
      </w:r>
      <w:r>
        <w:t xml:space="preserve">)} ) the decay constant of multi-qubit GHZ parity oscillations. It generalizes coherence to correlated systems.</w:t>
      </w:r>
    </w:p>
    <w:bookmarkEnd w:id="24"/>
    <w:bookmarkStart w:id="25" w:name="thermodynamic-efficiency"/>
    <w:p>
      <w:pPr>
        <w:pStyle w:val="Heading3"/>
      </w:pPr>
      <w:r>
        <w:t xml:space="preserve">2.3 Thermodynamic Efficiency</w:t>
      </w:r>
    </w:p>
    <w:p>
      <w:pPr>
        <w:pStyle w:val="FirstParagraph"/>
      </w:pPr>
      <w:r>
        <w:t xml:space="preserve">[</w:t>
      </w:r>
      <w:r>
        <w:t xml:space="preserve"> </w:t>
      </w:r>
      <w:r>
        <w:rPr>
          <w:i/>
          <w:iCs/>
        </w:rPr>
        <w:t xml:space="preserve">Q =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quantifying the coherent radians per entropy unit exported to the environment. ( T</w:t>
      </w:r>
      <w:r>
        <w:t xml:space="preserve">{</w:t>
      </w:r>
      <w:r>
        <w:t xml:space="preserve">} ) is the base temperature, ( P_{</w:t>
      </w:r>
      <w:r>
        <w:t xml:space="preserve">} ) the effective power maintaining coherence.</w:t>
      </w:r>
    </w:p>
    <w:bookmarkEnd w:id="25"/>
    <w:bookmarkStart w:id="26" w:name="noise-immunity"/>
    <w:p>
      <w:pPr>
        <w:pStyle w:val="Heading3"/>
      </w:pPr>
      <w:r>
        <w:t xml:space="preserve">2.4 Noise Immunity</w:t>
      </w:r>
    </w:p>
    <w:p>
      <w:pPr>
        <w:pStyle w:val="FirstParagraph"/>
      </w:pPr>
      <w:r>
        <w:t xml:space="preserve">[</w:t>
      </w:r>
      <w:r>
        <w:t xml:space="preserve"> </w:t>
      </w:r>
      <w:r>
        <w:rPr>
          <w:i/>
          <w:iCs/>
        </w:rPr>
        <w:t xml:space="preserve">Q =</w:t>
      </w:r>
      <w:r>
        <w:rPr>
          <w:i/>
          <w:iCs/>
        </w:rPr>
        <w:t xml:space="preserve"> 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t xml:space="preserve">(</w:t>
      </w:r>
      <w:r>
        <w:t xml:space="preserve">)^2 S_</w:t>
      </w:r>
      <w:r>
        <w:t xml:space="preserve">(0)</w:t>
      </w:r>
      <w:r>
        <w:t xml:space="preserve"> </w:t>
      </w:r>
      <w:r>
        <w:t xml:space="preserve">]</w:t>
      </w:r>
      <w:r>
        <w:t xml:space="preserve"> </w:t>
      </w:r>
      <w:r>
        <w:t xml:space="preserve">where ( S_</w:t>
      </w:r>
      <w:r>
        <w:t xml:space="preserve">(</w:t>
      </w:r>
      <w:r>
        <w:t xml:space="preserve">) ) is the noise power spectral density. High (</w:t>
      </w:r>
      <w:r>
        <w:t xml:space="preserve"> </w:t>
      </w:r>
      <w:r>
        <w:t xml:space="preserve">_Q ) indicates strong immunity to low-frequency noise.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normalization-and-composite-functional"/>
    <w:p>
      <w:pPr>
        <w:pStyle w:val="Heading2"/>
      </w:pPr>
      <w:r>
        <w:t xml:space="preserve">3. Normalization and Composite Functional</w:t>
      </w:r>
    </w:p>
    <w:p>
      <w:pPr>
        <w:pStyle w:val="FirstParagraph"/>
      </w:pPr>
      <w:r>
        <w:t xml:space="preserve">Each raw invariant ( M_i ) is normalized to a dimensionless score ( n_i</w:t>
      </w:r>
      <w:r>
        <w:t xml:space="preserve">):</w:t>
      </w:r>
      <w:r>
        <w:t xml:space="preserve"> </w:t>
      </w:r>
      <w:r>
        <w:t xml:space="preserve">[</w:t>
      </w:r>
      <w:r>
        <w:t xml:space="preserve"> </w:t>
      </w:r>
      <w:r>
        <w:t xml:space="preserve">n_i =</w:t>
      </w:r>
      <w:r>
        <w:t xml:space="preserve"> </w:t>
      </w:r>
      <w:r>
        <w:t xml:space="preserve"> </w:t>
      </w:r>
      <w:r>
        <w:t xml:space="preserve"> </w:t>
      </w:r>
      <w:r>
        <w:t xml:space="preserve">n_i =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The composite functional is defined as</w:t>
      </w:r>
      <w:r>
        <w:t xml:space="preserve"> </w:t>
      </w:r>
      <w:r>
        <w:t xml:space="preserve">[</w:t>
      </w:r>
      <w:r>
        <w:t xml:space="preserve"> </w:t>
      </w:r>
      <w:r>
        <w:t xml:space="preserve">P_Q =</w:t>
      </w:r>
      <w:r>
        <w:t xml:space="preserve"> </w:t>
      </w:r>
      <w:r>
        <w:t xml:space="preserve">_i w_i n_i</w:t>
      </w:r>
      <w:r>
        <w:t xml:space="preserve"> </w:t>
      </w:r>
      <w:r>
        <w:t xml:space="preserve"> </w:t>
      </w:r>
      <w:r>
        <w:t xml:space="preserve">P_Q =</w:t>
      </w:r>
      <w:r>
        <w:t xml:space="preserve"> </w:t>
      </w:r>
      <w:r>
        <w:t xml:space="preserve">_i n_i^{w_i},</w:t>
      </w:r>
      <w:r>
        <w:t xml:space="preserve"> </w:t>
      </w:r>
      <w:r>
        <w:t xml:space="preserve">_i w_i=1, w_i</w:t>
      </w:r>
      <w:r>
        <w:t xml:space="preserve">.</w:t>
      </w:r>
      <w:r>
        <w:t xml:space="preserve"> </w:t>
      </w:r>
      <w:r>
        <w:t xml:space="preserve">]</w:t>
      </w:r>
      <w:r>
        <w:t xml:space="preserve"> </w:t>
      </w:r>
      <w:r>
        <w:t xml:space="preserve">When all ( n_i(t) ) are resource monotones under CPTP evolution, ( P_Q ) obeys</w:t>
      </w:r>
      <w:r>
        <w:t xml:space="preserve"> </w:t>
      </w:r>
      <w:r>
        <w:t xml:space="preserve">[</w:t>
      </w:r>
      <w:r>
        <w:t xml:space="preserve"> </w:t>
      </w:r>
      <w:r>
        <w:t xml:space="preserve">,</w:t>
      </w:r>
      <w:r>
        <w:t xml:space="preserve"> </w:t>
      </w:r>
      <w:r>
        <w:t xml:space="preserve">&lt;0.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8"/>
    <w:bookmarkStart w:id="29" w:name="X47caf716d7b54b60848f3c68c7b8d7c05e04884"/>
    <w:p>
      <w:pPr>
        <w:pStyle w:val="Heading2"/>
      </w:pPr>
      <w:r>
        <w:t xml:space="preserve">4. Conditional Persistence Monotonicity (CPM) Theorem</w:t>
      </w:r>
    </w:p>
    <w:p>
      <w:pPr>
        <w:pStyle w:val="FirstParagraph"/>
      </w:pPr>
      <w:r>
        <w:rPr>
          <w:b/>
          <w:bCs/>
        </w:rPr>
        <w:t xml:space="preserve">Theorem (CPM).</w:t>
      </w:r>
      <w:r>
        <w:br/>
      </w:r>
      <w:r>
        <w:t xml:space="preserve">Let ( I ) be a measurable quantum monotone, ({</w:t>
      </w:r>
      <w:r>
        <w:rPr>
          <w:i/>
          <w:iCs/>
        </w:rPr>
        <w:t xml:space="preserve">t}) a CPTP semigroup, and ( E</w:t>
      </w:r>
      <w:r>
        <w:t xml:space="preserve">{B_n} ) a (</w:t>
      </w:r>
      <w:r>
        <w:t xml:space="preserve">)-preserving conditional expectation satisfying persistence (</w:t>
      </w:r>
      <w:r>
        <w:t xml:space="preserve"> </w:t>
      </w:r>
      <w:r>
        <w:rPr>
          <w:i/>
          <w:iCs/>
        </w:rPr>
        <w:t xml:space="preserve">t</w:t>
      </w:r>
      <w:r>
        <w:rPr>
          <w:i/>
          <w:iCs/>
        </w:rPr>
        <w:t xml:space="preserve">E</w:t>
      </w:r>
      <w:r>
        <w:t xml:space="preserve">{B_n}=E_{B_n}</w:t>
      </w:r>
      <w:r>
        <w:rPr>
          <w:i/>
          <w:iCs/>
        </w:rPr>
        <w:t xml:space="preserve">t. ) Then</w:t>
      </w:r>
      <w:r>
        <w:rPr>
          <w:i/>
          <w:iCs/>
        </w:rPr>
        <w:t xml:space="preserve"> </w:t>
      </w:r>
      <w:r>
        <w:rPr>
          <w:i/>
          <w:iCs/>
        </w:rPr>
        <w:t xml:space="preserve">[</w:t>
      </w:r>
      <w:r>
        <w:rPr>
          <w:i/>
          <w:iCs/>
        </w:rPr>
        <w:t xml:space="preserve"> </w:t>
      </w:r>
      <w:r>
        <w:rPr>
          <w:i/>
          <w:iCs/>
        </w:rPr>
        <w:t xml:space="preserve">I(</w:t>
      </w:r>
      <w:r>
        <w:rPr>
          <w:i/>
          <w:i/>
          <w:iCs/>
          <w:iCs/>
        </w:rPr>
        <w:t xml:space="preserve">t)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I(E</w:t>
      </w:r>
      <w:r>
        <w:rPr>
          <w:i/>
          <w:iCs/>
        </w:rPr>
        <w:t xml:space="preserve">{B_n}(</w:t>
      </w:r>
      <w:r>
        <w:rPr>
          <w:i/>
          <w:i/>
          <w:iCs/>
          <w:iCs/>
        </w:rPr>
        <w:t xml:space="preserve">t))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I(E</w:t>
      </w:r>
      <w:r>
        <w:rPr>
          <w:i/>
          <w:iCs/>
        </w:rPr>
        <w:t xml:space="preserve">{B_n}(</w:t>
      </w:r>
      <w:r>
        <w:t xml:space="preserve">{t+s})),</w:t>
      </w:r>
      <w:r>
        <w:t xml:space="preserve"> </w:t>
      </w:r>
      <w:r>
        <w:t xml:space="preserve">t,s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Proof sketch.</w:t>
      </w:r>
      <w:r>
        <w:t xml:space="preserve"> </w:t>
      </w:r>
      <w:r>
        <w:t xml:space="preserve">Apply the Data-Processing Inequality to (I(</w:t>
      </w:r>
      <w:r>
        <w:rPr>
          <w:i/>
          <w:iCs/>
        </w:rPr>
        <w:t xml:space="preserve">t)</w:t>
      </w:r>
      <w:r>
        <w:rPr>
          <w:i/>
          <w:iCs/>
        </w:rPr>
        <w:t xml:space="preserve">I(E</w:t>
      </w:r>
      <w:r>
        <w:t xml:space="preserve">{B_n}(</w:t>
      </w:r>
      <w:r>
        <w:t xml:space="preserve">_t))). Using the semigroup and persistence properties yields the second inequality.</w:t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Quantum information monotones cannot increase under open evolution or preserved coarse-grainings.</w:t>
      </w:r>
    </w:p>
    <w:p>
      <w:r>
        <w:pict>
          <v:rect style="width:0;height:1.5pt" o:hralign="center" o:hrstd="t" o:hr="t"/>
        </w:pict>
      </w:r>
    </w:p>
    <w:bookmarkEnd w:id="29"/>
    <w:bookmarkStart w:id="30" w:name="X8095087f68a7a566c9713e0e1114fad76abc241"/>
    <w:p>
      <w:pPr>
        <w:pStyle w:val="Heading2"/>
      </w:pPr>
      <w:r>
        <w:t xml:space="preserve">5. Instrumental Strong Monotonicity (S–T Theorem)</w:t>
      </w:r>
    </w:p>
    <w:p>
      <w:pPr>
        <w:pStyle w:val="FirstParagraph"/>
      </w:pPr>
      <w:r>
        <w:rPr>
          <w:b/>
          <w:bCs/>
        </w:rPr>
        <w:t xml:space="preserve">Definition (Quantum Instrument):</w:t>
      </w:r>
      <w:r>
        <w:t xml:space="preserve"> </w:t>
      </w:r>
      <w:r>
        <w:t xml:space="preserve">A set of CP maps ({</w:t>
      </w:r>
      <w:r>
        <w:t xml:space="preserve">_x}) with (</w:t>
      </w:r>
      <w:r>
        <w:t xml:space="preserve">_x</w:t>
      </w:r>
      <w:r>
        <w:t xml:space="preserve">_x) CPTP.</w:t>
      </w:r>
    </w:p>
    <w:p>
      <w:pPr>
        <w:pStyle w:val="BodyText"/>
      </w:pPr>
      <w:r>
        <w:rPr>
          <w:b/>
          <w:bCs/>
        </w:rPr>
        <w:t xml:space="preserve">Theorem (S–T).</w:t>
      </w:r>
      <w:r>
        <w:br/>
      </w:r>
      <w:r>
        <w:t xml:space="preserve">If (M) is convex and strongly monotone,</w:t>
      </w:r>
      <w:r>
        <w:t xml:space="preserve"> </w:t>
      </w:r>
      <w:r>
        <w:t xml:space="preserve">[</w:t>
      </w:r>
      <w:r>
        <w:t xml:space="preserve"> </w:t>
      </w:r>
      <w:r>
        <w:t xml:space="preserve">M(</w:t>
      </w:r>
      <w:r>
        <w:t xml:space="preserve">)</w:t>
      </w:r>
      <w:r>
        <w:t xml:space="preserve"> </w:t>
      </w:r>
      <w:r>
        <w:t xml:space="preserve">_x p(x|</w:t>
      </w:r>
      <w:r>
        <w:t xml:space="preserve">) M(</w:t>
      </w:r>
      <w:r>
        <w:t xml:space="preserve">_x),</w:t>
      </w:r>
      <w:r>
        <w:t xml:space="preserve">_x=</w:t>
      </w:r>
      <w:r>
        <w:t xml:space="preserve">_x(</w:t>
      </w:r>
      <w:r>
        <w:t xml:space="preserve">)/p(x|</w:t>
      </w:r>
      <w:r>
        <w:t xml:space="preserve">),</w:t>
      </w:r>
      <w:r>
        <w:t xml:space="preserve"> </w:t>
      </w:r>
      <w:r>
        <w:t xml:space="preserve">]</w:t>
      </w:r>
      <w:r>
        <w:t xml:space="preserve"> </w:t>
      </w:r>
      <w:r>
        <w:t xml:space="preserve">then for a CPTP semigroup (</w:t>
      </w:r>
      <w:r>
        <w:t xml:space="preserve">_t),</w:t>
      </w:r>
      <w:r>
        <w:t xml:space="preserve"> </w:t>
      </w:r>
      <w:r>
        <w:t xml:space="preserve">[</w:t>
      </w:r>
      <w:r>
        <w:t xml:space="preserve"> </w:t>
      </w:r>
      <w:r>
        <w:t xml:space="preserve">M(</w:t>
      </w:r>
      <w:r>
        <w:t xml:space="preserve">_t)</w:t>
      </w:r>
      <w:r>
        <w:t xml:space="preserve"> </w:t>
      </w:r>
      <w:r>
        <w:rPr>
          <w:i/>
          <w:iCs/>
        </w:rPr>
        <w:t xml:space="preserve">x p_t(x) M(</w:t>
      </w:r>
      <w:r>
        <w:t xml:space="preserve">{t,x})</w:t>
      </w:r>
      <w:r>
        <w:t xml:space="preserve"> </w:t>
      </w:r>
      <w:r>
        <w:t xml:space="preserve">_x p_t(x) M(</w:t>
      </w:r>
      <w:r>
        <w:rPr>
          <w:i/>
          <w:iCs/>
        </w:rPr>
        <w:t xml:space="preserve">s(</w:t>
      </w:r>
      <w:r>
        <w:t xml:space="preserve">{t,x})).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This extends conditional monotonicity to measurement-conditioned processes.</w:t>
      </w:r>
    </w:p>
    <w:p>
      <w:r>
        <w:pict>
          <v:rect style="width:0;height:1.5pt" o:hralign="center" o:hrstd="t" o:hr="t"/>
        </w:pict>
      </w:r>
    </w:p>
    <w:bookmarkEnd w:id="30"/>
    <w:bookmarkStart w:id="34" w:name="Xebd4661b5a09836220df396ef57f6492e58c8e5"/>
    <w:p>
      <w:pPr>
        <w:pStyle w:val="Heading2"/>
      </w:pPr>
      <w:r>
        <w:t xml:space="preserve">6. Operational Construction and Measurement Protocols</w:t>
      </w:r>
    </w:p>
    <w:bookmarkStart w:id="31" w:name="filtration-variables"/>
    <w:p>
      <w:pPr>
        <w:pStyle w:val="Heading3"/>
      </w:pPr>
      <w:r>
        <w:t xml:space="preserve">Filtration Variables</w:t>
      </w:r>
    </w:p>
    <w:p>
      <w:pPr>
        <w:pStyle w:val="FirstParagraph"/>
      </w:pPr>
      <w:r>
        <w:t xml:space="preserve">Time (t), noise amplitude (λ), temperature (T), and measurement resolution (δ) define filtrations along which quantum data evolve.</w:t>
      </w:r>
    </w:p>
    <w:bookmarkEnd w:id="31"/>
    <w:bookmarkStart w:id="32" w:name="primitive-observables"/>
    <w:p>
      <w:pPr>
        <w:pStyle w:val="Heading3"/>
      </w:pPr>
      <w:r>
        <w:t xml:space="preserve">Primitive Observables</w:t>
      </w:r>
    </w:p>
    <w:p>
      <w:pPr>
        <w:pStyle w:val="Compact"/>
        <w:numPr>
          <w:ilvl w:val="0"/>
          <w:numId w:val="1001"/>
        </w:numPr>
      </w:pPr>
      <w:r>
        <w:t xml:space="preserve">Coherence spectrum ({C_k})</w:t>
      </w:r>
    </w:p>
    <w:p>
      <w:pPr>
        <w:pStyle w:val="Compact"/>
        <w:numPr>
          <w:ilvl w:val="0"/>
          <w:numId w:val="1001"/>
        </w:numPr>
      </w:pPr>
      <w:r>
        <w:t xml:space="preserve">Entanglement witnesses / negativities</w:t>
      </w:r>
    </w:p>
    <w:p>
      <w:pPr>
        <w:pStyle w:val="Compact"/>
        <w:numPr>
          <w:ilvl w:val="0"/>
          <w:numId w:val="1001"/>
        </w:numPr>
      </w:pPr>
      <w:r>
        <w:t xml:space="preserve">Noise-response functions (dC/dλ, dN/dλ)</w:t>
      </w:r>
    </w:p>
    <w:p>
      <w:pPr>
        <w:pStyle w:val="Compact"/>
        <w:numPr>
          <w:ilvl w:val="0"/>
          <w:numId w:val="1001"/>
        </w:numPr>
      </w:pPr>
      <w:r>
        <w:t xml:space="preserve">Thermodynamic observables (entropy, heat flow)</w:t>
      </w:r>
    </w:p>
    <w:bookmarkEnd w:id="32"/>
    <w:bookmarkStart w:id="33" w:name="persistence-invariants"/>
    <w:p>
      <w:pPr>
        <w:pStyle w:val="Heading3"/>
      </w:pPr>
      <w:r>
        <w:t xml:space="preserve">Persistence Invariants</w:t>
      </w:r>
    </w:p>
    <w:p>
      <w:pPr>
        <w:pStyle w:val="Compact"/>
        <w:numPr>
          <w:ilvl w:val="0"/>
          <w:numId w:val="1002"/>
        </w:numPr>
      </w:pPr>
      <w:r>
        <w:t xml:space="preserve">Lifetime τ: interval where resource &gt; threshold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Integrated invariant: (</w:t>
      </w:r>
      <w:r>
        <w:t xml:space="preserve">M dα)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Critical points: λ_c, T_c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Spectral gap persistence: nonzero Liouvillian gap lifetime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X3b753d8d7e347392105a3395f0b03ca77ce5c9a"/>
    <w:p>
      <w:pPr>
        <w:pStyle w:val="Heading2"/>
      </w:pPr>
      <w:r>
        <w:t xml:space="preserve">7. Topological Persistence and Homology Extension</w:t>
      </w:r>
    </w:p>
    <w:p>
      <w:pPr>
        <w:pStyle w:val="FirstParagraph"/>
      </w:pPr>
      <w:r>
        <w:t xml:space="preserve">Quantum persistence can be represented through</w:t>
      </w:r>
      <w:r>
        <w:t xml:space="preserve"> </w:t>
      </w:r>
      <w:r>
        <w:rPr>
          <w:b/>
          <w:bCs/>
        </w:rPr>
        <w:t xml:space="preserve">Topological Data Analysis (TDA)</w:t>
      </w:r>
      <w:r>
        <w:t xml:space="preserve"> </w:t>
      </w:r>
      <w:r>
        <w:t xml:space="preserve">applied to experimental data.</w:t>
      </w:r>
    </w:p>
    <w:bookmarkStart w:id="35" w:name="filtration-construction"/>
    <w:p>
      <w:pPr>
        <w:pStyle w:val="Heading3"/>
      </w:pPr>
      <w:r>
        <w:t xml:space="preserve">Filtration Construction</w:t>
      </w:r>
    </w:p>
    <w:p>
      <w:pPr>
        <w:pStyle w:val="FirstParagraph"/>
      </w:pPr>
      <w:r>
        <w:t xml:space="preserve">Build simplicial complexes from correlation or fidelity matrices as functions of t, λ, T, or δ.</w:t>
      </w:r>
    </w:p>
    <w:bookmarkEnd w:id="35"/>
    <w:bookmarkStart w:id="36" w:name="persistent-homology-quantities"/>
    <w:p>
      <w:pPr>
        <w:pStyle w:val="Heading3"/>
      </w:pPr>
      <w:r>
        <w:t xml:space="preserve">Persistent Homology Quantities</w:t>
      </w:r>
    </w:p>
    <w:p>
      <w:pPr>
        <w:pStyle w:val="Compact"/>
        <w:numPr>
          <w:ilvl w:val="0"/>
          <w:numId w:val="1003"/>
        </w:numPr>
      </w:pPr>
      <w:r>
        <w:t xml:space="preserve">Betti-0 (connected components): correlation clusters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Betti-1 (loops): cyclic entanglement structures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Higher-D: multipartite correlations</w:t>
      </w:r>
    </w:p>
    <w:bookmarkEnd w:id="36"/>
    <w:bookmarkStart w:id="37" w:name="scalar-summaries"/>
    <w:p>
      <w:pPr>
        <w:pStyle w:val="Heading3"/>
      </w:pPr>
      <w:r>
        <w:t xml:space="preserve">Scalar Summaries</w:t>
      </w:r>
    </w:p>
    <w:p>
      <w:pPr>
        <w:pStyle w:val="Compact"/>
        <w:numPr>
          <w:ilvl w:val="0"/>
          <w:numId w:val="1004"/>
        </w:numPr>
      </w:pPr>
      <w:r>
        <w:t xml:space="preserve">Total persistence (</w:t>
      </w:r>
      <w:r>
        <w:t xml:space="preserve">(death-birth))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Persistence entropy and landscapes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Bottleneck/Wasserstein distances: robustness to perturbation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Long-lived features correspond to stable, noise-resistant correlations. The framework thus connects topological lifetimes to quantum stability.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Xb829a2c1cb48adbbf35b23a2a59b5bbea01b612"/>
    <w:p>
      <w:pPr>
        <w:pStyle w:val="Heading2"/>
      </w:pPr>
      <w:r>
        <w:t xml:space="preserve">8. Stability, Mixed-State, and Noise-Robustness Theorems</w:t>
      </w:r>
    </w:p>
    <w:p>
      <w:pPr>
        <w:pStyle w:val="FirstParagraph"/>
      </w:pPr>
      <w:r>
        <w:t xml:space="preserve">Persistence diagrams change by bounded amounts under small perturbations:</w:t>
      </w:r>
      <w:r>
        <w:t xml:space="preserve"> </w:t>
      </w:r>
      <w:r>
        <w:t xml:space="preserve">[</w:t>
      </w:r>
      <w:r>
        <w:t xml:space="preserve"> </w:t>
      </w:r>
      <w:r>
        <w:t xml:space="preserve">W_</w:t>
      </w:r>
      <w:r>
        <w:t xml:space="preserve">(D_1,D_2)</w:t>
      </w:r>
      <w:r>
        <w:t xml:space="preserve"> </w:t>
      </w:r>
      <w:r>
        <w:t xml:space="preserve">||</w:t>
      </w:r>
      <w:r>
        <w:t xml:space="preserve">_1 -</w:t>
      </w:r>
      <w:r>
        <w:t xml:space="preserve"> </w:t>
      </w:r>
      <w:r>
        <w:t xml:space="preserve">_2||_1.</w:t>
      </w:r>
      <w:r>
        <w:t xml:space="preserve"> </w:t>
      </w:r>
      <w:r>
        <w:t xml:space="preserve">]</w:t>
      </w:r>
      <w:r>
        <w:t xml:space="preserve"> </w:t>
      </w:r>
      <w:r>
        <w:t xml:space="preserve">Thus, features shorter than noise bounds are artifacts.</w:t>
      </w:r>
      <w:r>
        <w:br/>
      </w:r>
      <w:r>
        <w:t xml:space="preserve">Extensions to mixed and thermal states use filtrations from density or correlation matrices, enabling experimental applicability without purification.</w:t>
      </w:r>
    </w:p>
    <w:p>
      <w:r>
        <w:pict>
          <v:rect style="width:0;height:1.5pt" o:hralign="center" o:hrstd="t" o:hr="t"/>
        </w:pict>
      </w:r>
    </w:p>
    <w:bookmarkEnd w:id="39"/>
    <w:bookmarkStart w:id="43" w:name="empirical-implementation"/>
    <w:p>
      <w:pPr>
        <w:pStyle w:val="Heading2"/>
      </w:pPr>
      <w:r>
        <w:t xml:space="preserve">9. Empirical Implementation</w:t>
      </w:r>
    </w:p>
    <w:bookmarkStart w:id="40" w:name="entangled-persistence-ghz-parity-decay"/>
    <w:p>
      <w:pPr>
        <w:pStyle w:val="Heading3"/>
      </w:pPr>
      <w:r>
        <w:t xml:space="preserve">9.1 Entangled Persistence (GHZ Parity Decay)</w:t>
      </w:r>
    </w:p>
    <w:p>
      <w:pPr>
        <w:pStyle w:val="FirstParagraph"/>
      </w:pPr>
      <w:r>
        <w:t xml:space="preserve">Perform GHZ parity sweeps over t; fit (A(t)=A_0 e</w:t>
      </w:r>
      <w:r>
        <w:rPr>
          <w:vertAlign w:val="superscript"/>
        </w:rPr>
        <w:t xml:space="preserve">{-t/T_2</w:t>
      </w:r>
      <w:r>
        <w:t xml:space="preserve">{(ent)}}</w:t>
      </w:r>
      <w:r>
        <w:t xml:space="preserve">(</w:t>
      </w:r>
      <w:r>
        <w:t xml:space="preserve">_c t+φ)).</w:t>
      </w:r>
      <w:r>
        <w:br/>
      </w:r>
      <w:r>
        <w:t xml:space="preserve">Extract (T_2^{(ent)}), (ω_c), and compute (Q_Q^{(ent)}=ω_c T_2^{(ent)}).</w:t>
      </w:r>
    </w:p>
    <w:bookmarkEnd w:id="40"/>
    <w:bookmarkStart w:id="41" w:name="noise-immunity-π_q"/>
    <w:p>
      <w:pPr>
        <w:pStyle w:val="Heading3"/>
      </w:pPr>
      <w:r>
        <w:t xml:space="preserve">9.2 Noise Immunity (Π_Q)</w:t>
      </w:r>
    </w:p>
    <w:p>
      <w:pPr>
        <w:pStyle w:val="FirstParagraph"/>
      </w:pPr>
      <w:r>
        <w:t xml:space="preserve">Fit (S_λ(ω)=A/|ω|^α), measure (∂ω_q/∂λ), compute (Γ_φ=(∂ω_q/∂λ)^2 S_λ(0)), and report (Π_Q=ω_q/Γ_φ).</w:t>
      </w:r>
    </w:p>
    <w:bookmarkEnd w:id="41"/>
    <w:bookmarkStart w:id="42" w:name="thermodynamic-efficiency-ε_q"/>
    <w:p>
      <w:pPr>
        <w:pStyle w:val="Heading3"/>
      </w:pPr>
      <w:r>
        <w:t xml:space="preserve">9.3 Thermodynamic Efficiency (ε_Q)</w:t>
      </w:r>
    </w:p>
    <w:p>
      <w:pPr>
        <w:pStyle w:val="FirstParagraph"/>
      </w:pPr>
      <w:r>
        <w:t xml:space="preserve">Tiered measurement of (P_{eff}): Tier‑1 (base load), Tier‑2 (+drives). Report (ε_Q=ω_q k_BT_{sink}/P_{eff}).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authors-reporting-appendix"/>
    <w:p>
      <w:pPr>
        <w:pStyle w:val="Heading2"/>
      </w:pPr>
      <w:r>
        <w:t xml:space="preserve">10. Authors’ Reporting Appendix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1806"/>
        <w:gridCol w:w="1250"/>
        <w:gridCol w:w="2223"/>
        <w:gridCol w:w="9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Invariant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Example Range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Q_Q</w:t>
            </w:r>
          </w:p>
        </w:tc>
        <w:tc>
          <w:tcPr/>
          <w:p>
            <w:pPr>
              <w:pStyle w:val="Compact"/>
            </w:pPr>
            <w:r>
              <w:t xml:space="preserve">ω_q T₂</w:t>
            </w:r>
          </w:p>
        </w:tc>
        <w:tc>
          <w:tcPr/>
          <w:p>
            <w:pPr>
              <w:pStyle w:val="Compact"/>
            </w:pPr>
            <w:r>
              <w:t xml:space="preserve">Ramsey/Echo</w:t>
            </w:r>
          </w:p>
        </w:tc>
        <w:tc>
          <w:tcPr/>
          <w:p>
            <w:pPr>
              <w:pStyle w:val="Compact"/>
            </w:pPr>
            <w:r>
              <w:t xml:space="preserve">10⁵–10⁷</w:t>
            </w:r>
          </w:p>
        </w:tc>
        <w:tc>
          <w:tcPr/>
          <w:p>
            <w:pPr>
              <w:pStyle w:val="Compact"/>
            </w:pPr>
            <w:r>
              <w:t xml:space="preserve">validated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Q_Q(ent)</w:t>
            </w:r>
          </w:p>
        </w:tc>
        <w:tc>
          <w:tcPr/>
          <w:p>
            <w:pPr>
              <w:pStyle w:val="Compact"/>
            </w:pPr>
            <w:r>
              <w:t xml:space="preserve">ω_c T₂(ent)</w:t>
            </w:r>
          </w:p>
        </w:tc>
        <w:tc>
          <w:tcPr/>
          <w:p>
            <w:pPr>
              <w:pStyle w:val="Compact"/>
            </w:pPr>
            <w:r>
              <w:t xml:space="preserve">GHZ parity fit</w:t>
            </w:r>
          </w:p>
        </w:tc>
        <w:tc>
          <w:tcPr/>
          <w:p>
            <w:pPr>
              <w:pStyle w:val="Compact"/>
            </w:pPr>
            <w:r>
              <w:t xml:space="preserve">10⁵–10⁷</w:t>
            </w:r>
          </w:p>
        </w:tc>
        <w:tc>
          <w:tcPr/>
          <w:p>
            <w:pPr>
              <w:pStyle w:val="Compact"/>
            </w:pPr>
            <w:r>
              <w:t xml:space="preserve">Quantinuum proxy</w:t>
            </w:r>
          </w:p>
        </w:tc>
      </w:tr>
      <w:tr>
        <w:tc>
          <w:tcPr/>
          <w:p>
            <w:pPr>
              <w:pStyle w:val="Compact"/>
            </w:pPr>
            <w:r>
              <w:t xml:space="preserve">ε_Q</w:t>
            </w:r>
          </w:p>
        </w:tc>
        <w:tc>
          <w:tcPr/>
          <w:p>
            <w:pPr>
              <w:pStyle w:val="Compact"/>
            </w:pPr>
            <w:r>
              <w:t xml:space="preserve">ω_q k_BT_sink / P_eff</w:t>
            </w:r>
          </w:p>
        </w:tc>
        <w:tc>
          <w:tcPr/>
          <w:p>
            <w:pPr>
              <w:pStyle w:val="Compact"/>
            </w:pPr>
            <w:r>
              <w:t xml:space="preserve">Tiered power log</w:t>
            </w:r>
          </w:p>
        </w:tc>
        <w:tc>
          <w:tcPr/>
          <w:p>
            <w:pPr>
              <w:pStyle w:val="Compact"/>
            </w:pPr>
            <w:r>
              <w:t xml:space="preserve">10⁻¹⁰–10⁻⁸</w:t>
            </w:r>
          </w:p>
        </w:tc>
        <w:tc>
          <w:tcPr/>
          <w:p>
            <w:pPr>
              <w:pStyle w:val="Compact"/>
            </w:pPr>
            <w:r>
              <w:t xml:space="preserve">reproducible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Π_Q</w:t>
            </w:r>
          </w:p>
        </w:tc>
        <w:tc>
          <w:tcPr/>
          <w:p>
            <w:pPr>
              <w:pStyle w:val="Compact"/>
            </w:pPr>
            <w:r>
              <w:t xml:space="preserve">ω_q / Γ_φ</w:t>
            </w:r>
          </w:p>
        </w:tc>
        <w:tc>
          <w:tcPr/>
          <w:p>
            <w:pPr>
              <w:pStyle w:val="Compact"/>
            </w:pPr>
            <w:r>
              <w:t xml:space="preserve">PSD fit</w:t>
            </w:r>
          </w:p>
        </w:tc>
        <w:tc>
          <w:tcPr/>
          <w:p>
            <w:pPr>
              <w:pStyle w:val="Compact"/>
            </w:pPr>
            <w:r>
              <w:t xml:space="preserve">10³–10⁵</w:t>
            </w:r>
          </w:p>
        </w:tc>
        <w:tc>
          <w:tcPr/>
          <w:p>
            <w:pPr>
              <w:pStyle w:val="Compact"/>
            </w:pPr>
            <w:r>
              <w:t xml:space="preserve">needs standardization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5" w:name="X63bb1baf4174dc27d5c098f5c13884cb243bd66"/>
    <w:p>
      <w:pPr>
        <w:pStyle w:val="Heading2"/>
      </w:pPr>
      <w:r>
        <w:t xml:space="preserve">11. Cross-Platform Empirical Snapshot (Oct 2025)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0"/>
        <w:gridCol w:w="1773"/>
        <w:gridCol w:w="1891"/>
        <w:gridCol w:w="591"/>
        <w:gridCol w:w="591"/>
        <w:gridCol w:w="709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Q_Q (cycles)</w:t>
            </w:r>
          </w:p>
        </w:tc>
        <w:tc>
          <w:tcPr/>
          <w:p>
            <w:pPr>
              <w:pStyle w:val="Compact"/>
            </w:pPr>
            <w:r>
              <w:t xml:space="preserve">Q_Q(ent) est.</w:t>
            </w:r>
          </w:p>
        </w:tc>
        <w:tc>
          <w:tcPr/>
          <w:p>
            <w:pPr>
              <w:pStyle w:val="Compact"/>
            </w:pPr>
            <w:r>
              <w:t xml:space="preserve">ε_Q</w:t>
            </w:r>
          </w:p>
        </w:tc>
        <w:tc>
          <w:tcPr/>
          <w:p>
            <w:pPr>
              <w:pStyle w:val="Compact"/>
            </w:pPr>
            <w:r>
              <w:t xml:space="preserve">Π_Q</w:t>
            </w:r>
          </w:p>
        </w:tc>
        <w:tc>
          <w:tcPr/>
          <w:p>
            <w:pPr>
              <w:pStyle w:val="Compact"/>
            </w:pPr>
            <w:r>
              <w:t xml:space="preserve">Re_Q</w:t>
            </w:r>
          </w:p>
        </w:tc>
        <w:tc>
          <w:tcPr/>
          <w:p>
            <w:pPr>
              <w:pStyle w:val="Compact"/>
            </w:pPr>
            <w:r>
              <w:t xml:space="preserve">Regime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Quantinuum H2</w:t>
            </w:r>
          </w:p>
        </w:tc>
        <w:tc>
          <w:tcPr/>
          <w:p>
            <w:pPr>
              <w:pStyle w:val="Compact"/>
            </w:pPr>
            <w:r>
              <w:t xml:space="preserve">~10⁶</w:t>
            </w:r>
          </w:p>
        </w:tc>
        <w:tc>
          <w:tcPr/>
          <w:p>
            <w:pPr>
              <w:pStyle w:val="Compact"/>
            </w:pPr>
            <w:r>
              <w:t xml:space="preserve">~10⁷ (56q GHZ fidelity 0.62)</w:t>
            </w:r>
          </w:p>
        </w:tc>
        <w:tc>
          <w:tcPr/>
          <w:p>
            <w:pPr>
              <w:pStyle w:val="Compact"/>
            </w:pPr>
            <w:r>
              <w:t xml:space="preserve">10⁻¹⁰</w:t>
            </w:r>
          </w:p>
        </w:tc>
        <w:tc>
          <w:tcPr/>
          <w:p>
            <w:pPr>
              <w:pStyle w:val="Compact"/>
            </w:pPr>
            <w:r>
              <w:t xml:space="preserve">~10²</w:t>
            </w:r>
          </w:p>
        </w:tc>
        <w:tc>
          <w:tcPr/>
          <w:p>
            <w:pPr>
              <w:pStyle w:val="Compact"/>
            </w:pPr>
            <w:r>
              <w:t xml:space="preserve">~10⁴</w:t>
            </w:r>
          </w:p>
        </w:tc>
        <w:tc>
          <w:tcPr/>
          <w:p>
            <w:pPr>
              <w:pStyle w:val="Compact"/>
            </w:pPr>
            <w:r>
              <w:t xml:space="preserve">Coherent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IBM Heron r2</w:t>
            </w:r>
          </w:p>
        </w:tc>
        <w:tc>
          <w:tcPr/>
          <w:p>
            <w:pPr>
              <w:pStyle w:val="Compact"/>
            </w:pPr>
            <w:r>
              <w:t xml:space="preserve">~10⁶</w:t>
            </w:r>
          </w:p>
        </w:tc>
        <w:tc>
          <w:tcPr/>
          <w:p>
            <w:pPr>
              <w:pStyle w:val="Compact"/>
            </w:pPr>
            <w:r>
              <w:t xml:space="preserve">~5×10⁵ (qLDPC)</w:t>
            </w:r>
          </w:p>
        </w:tc>
        <w:tc>
          <w:tcPr/>
          <w:p>
            <w:pPr>
              <w:pStyle w:val="Compact"/>
            </w:pPr>
            <w:r>
              <w:t xml:space="preserve">10⁻¹¹</w:t>
            </w:r>
          </w:p>
        </w:tc>
        <w:tc>
          <w:tcPr/>
          <w:p>
            <w:pPr>
              <w:pStyle w:val="Compact"/>
            </w:pPr>
            <w:r>
              <w:t xml:space="preserve">~10³</w:t>
            </w:r>
          </w:p>
        </w:tc>
        <w:tc>
          <w:tcPr/>
          <w:p>
            <w:pPr>
              <w:pStyle w:val="Compact"/>
            </w:pPr>
            <w:r>
              <w:t xml:space="preserve">~5</w:t>
            </w:r>
          </w:p>
        </w:tc>
        <w:tc>
          <w:tcPr/>
          <w:p>
            <w:pPr>
              <w:pStyle w:val="Compact"/>
            </w:pPr>
            <w:r>
              <w:t xml:space="preserve">Marginal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Willow</w:t>
            </w:r>
          </w:p>
        </w:tc>
        <w:tc>
          <w:tcPr/>
          <w:p>
            <w:pPr>
              <w:pStyle w:val="Compact"/>
            </w:pPr>
            <w:r>
              <w:t xml:space="preserve">~10⁶</w:t>
            </w:r>
          </w:p>
        </w:tc>
        <w:tc>
          <w:tcPr/>
          <w:p>
            <w:pPr>
              <w:pStyle w:val="Compact"/>
            </w:pPr>
            <w:r>
              <w:t xml:space="preserve">~10⁵ (logical T₂ 291 µs)</w:t>
            </w:r>
          </w:p>
        </w:tc>
        <w:tc>
          <w:tcPr/>
          <w:p>
            <w:pPr>
              <w:pStyle w:val="Compact"/>
            </w:pPr>
            <w:r>
              <w:t xml:space="preserve">10⁻¹²</w:t>
            </w:r>
          </w:p>
        </w:tc>
        <w:tc>
          <w:tcPr/>
          <w:p>
            <w:pPr>
              <w:pStyle w:val="Compact"/>
            </w:pPr>
            <w:r>
              <w:t xml:space="preserve">~10³</w:t>
            </w:r>
          </w:p>
        </w:tc>
        <w:tc>
          <w:tcPr/>
          <w:p>
            <w:pPr>
              <w:pStyle w:val="Compact"/>
            </w:pPr>
            <w:r>
              <w:t xml:space="preserve">~0.1</w:t>
            </w:r>
          </w:p>
        </w:tc>
        <w:tc>
          <w:tcPr/>
          <w:p>
            <w:pPr>
              <w:pStyle w:val="Compact"/>
            </w:pPr>
            <w:r>
              <w:t xml:space="preserve">Fragile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monotonicity-smoke-test"/>
    <w:p>
      <w:pPr>
        <w:pStyle w:val="Heading2"/>
      </w:pPr>
      <w:r>
        <w:t xml:space="preserve">12. Monotonicity Smoke Test</w:t>
      </w:r>
    </w:p>
    <w:p>
      <w:pPr>
        <w:pStyle w:val="FirstParagraph"/>
      </w:pPr>
      <w:r>
        <w:t xml:space="preserve">For datasets compute normalized (n_i(t)) and (P_Q(t)=</w:t>
      </w:r>
      <w:r>
        <w:t xml:space="preserve">_i w_i n_i(t)).</w:t>
      </w:r>
      <w:r>
        <w:br/>
      </w:r>
      <w:r>
        <w:rPr>
          <w:b/>
          <w:bCs/>
        </w:rPr>
        <w:t xml:space="preserve">Criterion:</w:t>
      </w:r>
      <w:r>
        <w:t xml:space="preserve"> </w:t>
      </w:r>
      <w:r>
        <w:t xml:space="preserve">curves non-increasing within experimental uncertainty; deviations signal calibration or non-Markovian behavior.</w:t>
      </w:r>
    </w:p>
    <w:p>
      <w:r>
        <w:pict>
          <v:rect style="width:0;height:1.5pt" o:hralign="center" o:hrstd="t" o:hr="t"/>
        </w:pict>
      </w:r>
    </w:p>
    <w:bookmarkEnd w:id="46"/>
    <w:bookmarkStart w:id="47" w:name="discussion-and-applications"/>
    <w:p>
      <w:pPr>
        <w:pStyle w:val="Heading2"/>
      </w:pPr>
      <w:r>
        <w:t xml:space="preserve">13. Discussion and Applications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Theory:</w:t>
      </w:r>
      <w:r>
        <w:t xml:space="preserve"> </w:t>
      </w:r>
      <w:r>
        <w:t xml:space="preserve">P_Q acts as a composite measurable monotone satisfying CPM and S–T inequalities.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Experiment:</w:t>
      </w:r>
      <w:r>
        <w:t xml:space="preserve"> </w:t>
      </w:r>
      <w:r>
        <w:t xml:space="preserve">Quantinuum data partially confirm entangled persistence; superconducting devices pending GHZ decay sweeps.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Control theory:</w:t>
      </w:r>
      <w:r>
        <w:t xml:space="preserve"> </w:t>
      </w:r>
      <w:r>
        <w:t xml:space="preserve">P_Q functions as a Lyapunov-like quantity for stabilizing feedback.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Topology:</w:t>
      </w:r>
      <w:r>
        <w:t xml:space="preserve"> </w:t>
      </w:r>
      <w:r>
        <w:t xml:space="preserve">Persistent homology provides a geometric signature of robustness.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Roadmap:</w:t>
      </w:r>
      <w:r>
        <w:t xml:space="preserve"> </w:t>
      </w:r>
      <w:r>
        <w:t xml:space="preserve">Adoption of parity and PSD protocols would standardize cross-architecture benchmarking.</w:t>
      </w:r>
    </w:p>
    <w:p>
      <w:r>
        <w:pict>
          <v:rect style="width:0;height:1.5pt" o:hralign="center" o:hrstd="t" o:hr="t"/>
        </w:pict>
      </w:r>
    </w:p>
    <w:bookmarkEnd w:id="47"/>
    <w:bookmarkStart w:id="48" w:name="references-selection"/>
    <w:p>
      <w:pPr>
        <w:pStyle w:val="Heading2"/>
      </w:pPr>
      <w:r>
        <w:t xml:space="preserve">14. References (selection)</w:t>
      </w:r>
    </w:p>
    <w:p>
      <w:pPr>
        <w:pStyle w:val="FirstParagraph"/>
      </w:pPr>
      <w:r>
        <w:t xml:space="preserve">[1] H.-P. Breuer and F. Petruccione,</w:t>
      </w:r>
      <w:r>
        <w:t xml:space="preserve"> </w:t>
      </w:r>
      <w:r>
        <w:rPr>
          <w:i/>
          <w:iCs/>
        </w:rPr>
        <w:t xml:space="preserve">The Theory of Open Quantum Systems</w:t>
      </w:r>
      <w:r>
        <w:t xml:space="preserve">, Oxford (2002).</w:t>
      </w:r>
      <w:r>
        <w:br/>
      </w:r>
      <w:r>
        <w:t xml:space="preserve">[2] A. Uhlmann,</w:t>
      </w:r>
      <w:r>
        <w:t xml:space="preserve"> </w:t>
      </w:r>
      <w:r>
        <w:rPr>
          <w:i/>
          <w:iCs/>
        </w:rPr>
        <w:t xml:space="preserve">Rep. Math. Phys.</w:t>
      </w:r>
      <w:r>
        <w:t xml:space="preserve"> </w:t>
      </w:r>
      <w:r>
        <w:rPr>
          <w:b/>
          <w:bCs/>
        </w:rPr>
        <w:t xml:space="preserve">9</w:t>
      </w:r>
      <w:r>
        <w:t xml:space="preserve">, 273 (1976).</w:t>
      </w:r>
      <w:r>
        <w:br/>
      </w:r>
      <w:r>
        <w:t xml:space="preserve">[3] D. Petz,</w:t>
      </w:r>
      <w:r>
        <w:t xml:space="preserve"> </w:t>
      </w:r>
      <w:r>
        <w:rPr>
          <w:i/>
          <w:iCs/>
        </w:rPr>
        <w:t xml:space="preserve">Rev. Math. Phys.</w:t>
      </w:r>
      <w:r>
        <w:t xml:space="preserve"> </w:t>
      </w:r>
      <w:r>
        <w:rPr>
          <w:b/>
          <w:bCs/>
        </w:rPr>
        <w:t xml:space="preserve">15</w:t>
      </w:r>
      <w:r>
        <w:t xml:space="preserve">, 79 (2003).</w:t>
      </w:r>
      <w:r>
        <w:br/>
      </w:r>
      <w:r>
        <w:t xml:space="preserve">[4] Vedral, Plenio, Rippin, Knight,</w:t>
      </w:r>
      <w:r>
        <w:t xml:space="preserve"> </w:t>
      </w:r>
      <w:r>
        <w:rPr>
          <w:i/>
          <w:iCs/>
        </w:rPr>
        <w:t xml:space="preserve">Phys. Rev. Lett.</w:t>
      </w:r>
      <w:r>
        <w:t xml:space="preserve"> </w:t>
      </w:r>
      <w:r>
        <w:rPr>
          <w:b/>
          <w:bCs/>
        </w:rPr>
        <w:t xml:space="preserve">78</w:t>
      </w:r>
      <w:r>
        <w:t xml:space="preserve">, 2275 (1997).</w:t>
      </w:r>
      <w:r>
        <w:br/>
      </w:r>
      <w:r>
        <w:t xml:space="preserve">[5] Baumgratz, Cramer, Plenio,</w:t>
      </w:r>
      <w:r>
        <w:t xml:space="preserve"> </w:t>
      </w:r>
      <w:r>
        <w:rPr>
          <w:i/>
          <w:iCs/>
        </w:rPr>
        <w:t xml:space="preserve">Phys. Rev. Lett.</w:t>
      </w:r>
      <w:r>
        <w:t xml:space="preserve"> </w:t>
      </w:r>
      <w:r>
        <w:rPr>
          <w:b/>
          <w:bCs/>
        </w:rPr>
        <w:t xml:space="preserve">113</w:t>
      </w:r>
      <w:r>
        <w:t xml:space="preserve">, 140401 (2014).</w:t>
      </w:r>
      <w:r>
        <w:br/>
      </w:r>
      <w:r>
        <w:t xml:space="preserve">[6] Wilde,</w:t>
      </w:r>
      <w:r>
        <w:t xml:space="preserve"> </w:t>
      </w:r>
      <w:r>
        <w:rPr>
          <w:i/>
          <w:iCs/>
        </w:rPr>
        <w:t xml:space="preserve">Quantum Information Theory</w:t>
      </w:r>
      <w:r>
        <w:t xml:space="preserve">, Cambridge (2013).</w:t>
      </w:r>
      <w:r>
        <w:br/>
      </w:r>
      <w:r>
        <w:t xml:space="preserve">[7] Gour &amp; Spekkens,</w:t>
      </w:r>
      <w:r>
        <w:t xml:space="preserve"> </w:t>
      </w:r>
      <w:r>
        <w:rPr>
          <w:i/>
          <w:iCs/>
        </w:rPr>
        <w:t xml:space="preserve">New J. Phys.</w:t>
      </w:r>
      <w:r>
        <w:t xml:space="preserve"> </w:t>
      </w:r>
      <w:r>
        <w:rPr>
          <w:b/>
          <w:bCs/>
        </w:rPr>
        <w:t xml:space="preserve">10</w:t>
      </w:r>
      <w:r>
        <w:t xml:space="preserve">, 033023 (2018).</w:t>
      </w:r>
      <w:r>
        <w:br/>
      </w:r>
      <w:r>
        <w:t xml:space="preserve">[8] Edelsbrunner &amp; Harer,</w:t>
      </w:r>
      <w:r>
        <w:t xml:space="preserve"> </w:t>
      </w:r>
      <w:r>
        <w:rPr>
          <w:i/>
          <w:iCs/>
        </w:rPr>
        <w:t xml:space="preserve">Computational Topology</w:t>
      </w:r>
      <w:r>
        <w:t xml:space="preserve"> </w:t>
      </w:r>
      <w:r>
        <w:t xml:space="preserve">(2010).</w:t>
      </w:r>
      <w:r>
        <w:br/>
      </w:r>
      <w:r>
        <w:t xml:space="preserve">[9] Google AI Quantum,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574</w:t>
      </w:r>
      <w:r>
        <w:t xml:space="preserve">, 505 (2019).</w:t>
      </w:r>
      <w:r>
        <w:br/>
      </w:r>
      <w:r>
        <w:t xml:space="preserve">[10] Yale Fluxonium,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614</w:t>
      </w:r>
      <w:r>
        <w:t xml:space="preserve">, 676 (2023).</w:t>
      </w:r>
      <w:r>
        <w:br/>
      </w:r>
      <w:r>
        <w:t xml:space="preserve">[11] Quantinuum H2,</w:t>
      </w:r>
      <w:r>
        <w:t xml:space="preserve"> </w:t>
      </w:r>
      <w:r>
        <w:rPr>
          <w:i/>
          <w:iCs/>
        </w:rPr>
        <w:t xml:space="preserve">arXiv:2306.10442</w:t>
      </w:r>
      <w:r>
        <w:t xml:space="preserve"> </w:t>
      </w:r>
      <w:r>
        <w:t xml:space="preserve">(2023).</w:t>
      </w:r>
      <w:r>
        <w:br/>
      </w:r>
      <w:r>
        <w:t xml:space="preserve">[12] IBM Quantum Roadmap,</w:t>
      </w:r>
      <w:r>
        <w:t xml:space="preserve"> </w:t>
      </w:r>
      <w:r>
        <w:rPr>
          <w:i/>
          <w:iCs/>
        </w:rPr>
        <w:t xml:space="preserve">IBM Research Blog</w:t>
      </w:r>
      <w:r>
        <w:t xml:space="preserve"> </w:t>
      </w:r>
      <w:r>
        <w:t xml:space="preserve">(2024).</w:t>
      </w:r>
      <w:r>
        <w:br/>
      </w:r>
      <w:r>
        <w:t xml:space="preserve">[13] Quantinuum QV Reports (2025).</w:t>
      </w:r>
      <w:r>
        <w:br/>
      </w:r>
      <w:r>
        <w:t xml:space="preserve">[14] Bluefors LD400 datasheet (2023).</w:t>
      </w:r>
      <w:r>
        <w:br/>
      </w:r>
      <w:r>
        <w:t xml:space="preserve">[15] Krantz et al.,</w:t>
      </w:r>
      <w:r>
        <w:t xml:space="preserve"> </w:t>
      </w:r>
      <w:r>
        <w:rPr>
          <w:i/>
          <w:iCs/>
        </w:rPr>
        <w:t xml:space="preserve">Appl. Phys. Rev.</w:t>
      </w:r>
      <w:r>
        <w:t xml:space="preserve"> </w:t>
      </w:r>
      <w:r>
        <w:rPr>
          <w:b/>
          <w:bCs/>
        </w:rPr>
        <w:t xml:space="preserve">6</w:t>
      </w:r>
      <w:r>
        <w:t xml:space="preserve">, 021318 (2019).</w:t>
      </w:r>
      <w:r>
        <w:br/>
      </w:r>
      <w:r>
        <w:t xml:space="preserve">[16] Petz,</w:t>
      </w:r>
      <w:r>
        <w:t xml:space="preserve"> </w:t>
      </w:r>
      <w:r>
        <w:rPr>
          <w:i/>
          <w:iCs/>
        </w:rPr>
        <w:t xml:space="preserve">CMP</w:t>
      </w:r>
      <w:r>
        <w:t xml:space="preserve"> </w:t>
      </w:r>
      <w:r>
        <w:rPr>
          <w:b/>
          <w:bCs/>
        </w:rPr>
        <w:t xml:space="preserve">105</w:t>
      </w:r>
      <w:r>
        <w:t xml:space="preserve">, 123 (1986).</w:t>
      </w:r>
      <w:r>
        <w:br/>
      </w:r>
      <w:r>
        <w:t xml:space="preserve">[17] Lindblad,</w:t>
      </w:r>
      <w:r>
        <w:t xml:space="preserve"> </w:t>
      </w:r>
      <w:r>
        <w:rPr>
          <w:i/>
          <w:iCs/>
        </w:rPr>
        <w:t xml:space="preserve">Comm. Math. Phys.</w:t>
      </w:r>
      <w:r>
        <w:t xml:space="preserve"> </w:t>
      </w:r>
      <w:r>
        <w:rPr>
          <w:b/>
          <w:bCs/>
        </w:rPr>
        <w:t xml:space="preserve">48</w:t>
      </w:r>
      <w:r>
        <w:t xml:space="preserve">, 119 (1976).</w:t>
      </w:r>
      <w:r>
        <w:br/>
      </w:r>
      <w:r>
        <w:t xml:space="preserve">[18] Qiskit Runtime &amp; Cirq Documentation (2025).</w:t>
      </w:r>
      <w:r>
        <w:br/>
      </w:r>
      <w:r>
        <w:t xml:space="preserve">[19] Quantinuum TKET SDK (2025).</w:t>
      </w:r>
      <w:r>
        <w:br/>
      </w:r>
      <w:r>
        <w:t xml:space="preserve">[20] Wilde &amp; Datta,</w:t>
      </w:r>
      <w:r>
        <w:t xml:space="preserve"> </w:t>
      </w:r>
      <w:r>
        <w:rPr>
          <w:i/>
          <w:iCs/>
        </w:rPr>
        <w:t xml:space="preserve">J. Math. Phys.</w:t>
      </w:r>
      <w:r>
        <w:t xml:space="preserve"> </w:t>
      </w:r>
      <w:r>
        <w:rPr>
          <w:b/>
          <w:bCs/>
        </w:rPr>
        <w:t xml:space="preserve">57</w:t>
      </w:r>
      <w:r>
        <w:t xml:space="preserve">, 052201 (2016).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Quantum Persistence Framework v6.3 — Integrated Empirical Edition (October 2025)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2025-10-20T18:26:52Z</dcterms:created>
  <dcterms:modified xsi:type="dcterms:W3CDTF">2025-10-20T18:26:52Z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