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00"/>
        <w:jc w:val="center"/>
      </w:pPr>
      <w:r>
        <w:drawing>
          <wp:inline xmlns:a="http://schemas.openxmlformats.org/drawingml/2006/main" xmlns:pic="http://schemas.openxmlformats.org/drawingml/2006/picture">
            <wp:extent cx="822960" cy="1083564"/>
            <wp:docPr id="1" name="Picture 1" descr="StudentEdge crest" title="StudentEd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dentedge-mar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" cy="10835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80" w:after="160"/>
        <w:jc w:val="center"/>
      </w:pPr>
      <w:r>
        <w:rPr>
          <w:rFonts w:ascii="Aptos Display" w:hAnsi="Aptos Display"/>
          <w:b/>
          <w:color w:val="743951"/>
          <w:sz w:val="60"/>
        </w:rPr>
        <w:t>StudentEdge</w:t>
      </w:r>
    </w:p>
    <w:p>
      <w:pPr>
        <w:spacing w:after="240"/>
        <w:jc w:val="center"/>
      </w:pPr>
      <w:r>
        <w:rPr>
          <w:rFonts w:ascii="Aptos Display" w:hAnsi="Aptos Display"/>
          <w:b/>
          <w:color w:val="241E1B"/>
          <w:sz w:val="34"/>
        </w:rPr>
        <w:t>System Guideline, Workflow, Coding &amp; Function Handbook</w:t>
      </w:r>
    </w:p>
    <w:p>
      <w:pPr>
        <w:spacing w:after="760"/>
        <w:jc w:val="center"/>
      </w:pPr>
      <w:r>
        <w:rPr>
          <w:rFonts w:ascii="Aptos" w:hAnsi="Aptos"/>
          <w:b w:val="0"/>
          <w:i/>
          <w:color w:val="786D66"/>
          <w:sz w:val="22"/>
        </w:rPr>
        <w:t>A practical reference for users, administrators, lecturers, support staff, and developers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120"/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shd w:fill="7439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7060"/>
            <w:shd w:fill="7439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Current implementation baseline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System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StudentEdge / e-Biasiswa Student Affairs Platform</w:t>
            </w:r>
          </w:p>
        </w:tc>
      </w:tr>
      <w:tr>
        <w:tc>
          <w:tcPr>
            <w:tcW w:type="dxa" w:w="230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Edition</w:t>
            </w:r>
          </w:p>
        </w:tc>
        <w:tc>
          <w:tcPr>
            <w:tcW w:type="dxa" w:w="706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August 2026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Coverage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Guidelines, operational workflows, coding architecture, and 185 named application functions</w:t>
            </w:r>
          </w:p>
        </w:tc>
      </w:tr>
      <w:tr>
        <w:tc>
          <w:tcPr>
            <w:tcW w:type="dxa" w:w="230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Audience</w:t>
            </w:r>
          </w:p>
        </w:tc>
        <w:tc>
          <w:tcPr>
            <w:tcW w:type="dxa" w:w="706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Students, lecturers, administrators, guards, JHEP staff, system administrators, and maintainers</w:t>
            </w:r>
          </w:p>
        </w:tc>
      </w:tr>
    </w:tbl>
    <w:p>
      <w:pPr>
        <w:spacing w:after="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5E9E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743951"/>
                <w:sz w:val="18"/>
              </w:rPr>
              <w:t xml:space="preserve">DOCUMENT RULE  </w:t>
            </w:r>
            <w:r>
              <w:rPr>
                <w:rFonts w:ascii="Aptos" w:hAnsi="Aptos"/>
                <w:color w:val="241E1B"/>
                <w:sz w:val="20"/>
              </w:rPr>
              <w:t>Use this handbook together with role permissions and institutional policy. Screens and functions may be hidden when a feature flag or role permission is disabled.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How to use this handbook</w:t>
      </w:r>
    </w:p>
    <w:p>
      <w:r>
        <w:t>The handbook deliberately follows the requested order: guidance first, operational workflows second, coding explanation third, and the implemented function catalogue last.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120"/>
      </w:tblPr>
      <w:tblGrid>
        <w:gridCol w:w="1050"/>
        <w:gridCol w:w="5160"/>
        <w:gridCol w:w="3150"/>
      </w:tblGrid>
      <w:tr>
        <w:trPr>
          <w:tblHeader w:val="true"/>
        </w:trPr>
        <w:tc>
          <w:tcPr>
            <w:tcW w:type="dxa" w:w="1050"/>
            <w:shd w:fill="7439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Part</w:t>
            </w:r>
          </w:p>
        </w:tc>
        <w:tc>
          <w:tcPr>
            <w:tcW w:type="dxa" w:w="5160"/>
            <w:shd w:fill="7439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3150"/>
            <w:shd w:fill="7439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Primary reader</w:t>
            </w:r>
          </w:p>
        </w:tc>
      </w:tr>
      <w:tr>
        <w:tc>
          <w:tcPr>
            <w:tcW w:type="dxa" w:w="1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1. Guidelines</w:t>
            </w:r>
          </w:p>
        </w:tc>
        <w:tc>
          <w:tcPr>
            <w:tcW w:type="dxa" w:w="5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Safe, consistent, privacy-aware use of the platform</w:t>
            </w:r>
          </w:p>
        </w:tc>
        <w:tc>
          <w:tcPr>
            <w:tcW w:type="dxa" w:w="31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All users</w:t>
            </w:r>
          </w:p>
        </w:tc>
      </w:tr>
      <w:tr>
        <w:tc>
          <w:tcPr>
            <w:tcW w:type="dxa" w:w="105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2. Workflows</w:t>
            </w:r>
          </w:p>
        </w:tc>
        <w:tc>
          <w:tcPr>
            <w:tcW w:type="dxa" w:w="516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Step-by-step paths for daily operations</w:t>
            </w:r>
          </w:p>
        </w:tc>
        <w:tc>
          <w:tcPr>
            <w:tcW w:type="dxa" w:w="315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Students and operational staff</w:t>
            </w:r>
          </w:p>
        </w:tc>
      </w:tr>
      <w:tr>
        <w:tc>
          <w:tcPr>
            <w:tcW w:type="dxa" w:w="1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3. Coding explanation</w:t>
            </w:r>
          </w:p>
        </w:tc>
        <w:tc>
          <w:tcPr>
            <w:tcW w:type="dxa" w:w="5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How requests, data, permissions, files, AI, and the PWA are implemented</w:t>
            </w:r>
          </w:p>
        </w:tc>
        <w:tc>
          <w:tcPr>
            <w:tcW w:type="dxa" w:w="31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Developers and maintainers</w:t>
            </w:r>
          </w:p>
        </w:tc>
      </w:tr>
      <w:tr>
        <w:tc>
          <w:tcPr>
            <w:tcW w:type="dxa" w:w="105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4. Function catalogue</w:t>
            </w:r>
          </w:p>
        </w:tc>
        <w:tc>
          <w:tcPr>
            <w:tcW w:type="dxa" w:w="516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Role- and module-organized implemented capability inventory</w:t>
            </w:r>
          </w:p>
        </w:tc>
        <w:tc>
          <w:tcPr>
            <w:tcW w:type="dxa" w:w="315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Project team, assessors, buyers, and auditors</w:t>
            </w:r>
          </w:p>
        </w:tc>
      </w:tr>
      <w:tr>
        <w:tc>
          <w:tcPr>
            <w:tcW w:type="dxa" w:w="1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5. Operations</w:t>
            </w:r>
          </w:p>
        </w:tc>
        <w:tc>
          <w:tcPr>
            <w:tcW w:type="dxa" w:w="5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Verification, deployment, backup, and troubleshooting</w:t>
            </w:r>
          </w:p>
        </w:tc>
        <w:tc>
          <w:tcPr>
            <w:tcW w:type="dxa" w:w="31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System administrators and developers</w:t>
            </w:r>
          </w:p>
        </w:tc>
      </w:tr>
    </w:tbl>
    <w:p>
      <w:pPr>
        <w:spacing w:after="0"/>
      </w:pPr>
    </w:p>
    <w:p>
      <w:pPr>
        <w:pStyle w:val="Heading2"/>
      </w:pPr>
      <w:r>
        <w:t>Current verified implementation snapshot</w:t>
      </w:r>
    </w:p>
    <w:p>
      <w:pPr>
        <w:pStyle w:val="ListBullet"/>
        <w:spacing w:after="60" w:line="276" w:lineRule="auto"/>
      </w:pPr>
      <w:r>
        <w:rPr>
          <w:rFonts w:ascii="Aptos" w:hAnsi="Aptos"/>
          <w:color w:val="241E1B"/>
          <w:sz w:val="20"/>
        </w:rPr>
        <w:t>185 named application endpoints: 26 public/shared, 26 student, 7 lecturer AI Helper, and 126 administration endpoints.</w:t>
      </w:r>
    </w:p>
    <w:p>
      <w:pPr>
        <w:pStyle w:val="ListBullet"/>
        <w:spacing w:after="60" w:line="276" w:lineRule="auto"/>
      </w:pPr>
      <w:r>
        <w:rPr>
          <w:rFonts w:ascii="Aptos" w:hAnsi="Aptos"/>
          <w:color w:val="241E1B"/>
          <w:sz w:val="20"/>
        </w:rPr>
        <w:t>134 public controller methods across shared, authentication, student, and administration controllers.</w:t>
      </w:r>
    </w:p>
    <w:p>
      <w:pPr>
        <w:pStyle w:val="ListBullet"/>
        <w:spacing w:after="60" w:line="276" w:lineRule="auto"/>
      </w:pPr>
      <w:r>
        <w:rPr>
          <w:rFonts w:ascii="Aptos" w:hAnsi="Aptos"/>
          <w:color w:val="241E1B"/>
          <w:sz w:val="20"/>
        </w:rPr>
        <w:t>Two scheduled background operations: notification reminders and AI conversation retention cleanup.</w:t>
      </w:r>
    </w:p>
    <w:p>
      <w:pPr>
        <w:pStyle w:val="ListBullet"/>
        <w:spacing w:after="60" w:line="276" w:lineRule="auto"/>
      </w:pPr>
      <w:r>
        <w:rPr>
          <w:rFonts w:ascii="Aptos" w:hAnsi="Aptos"/>
          <w:color w:val="241E1B"/>
          <w:sz w:val="20"/>
        </w:rPr>
        <w:t>English and Malay interfaces, responsive PWA shell, light/dark themes, push notifications, and private authenticated document delivery.</w:t>
      </w:r>
    </w:p>
    <w:p>
      <w:r>
        <w:br w:type="page"/>
      </w:r>
    </w:p>
    <w:p>
      <w:pPr>
        <w:spacing w:after="60"/>
      </w:pPr>
      <w:r>
        <w:rPr>
          <w:rFonts w:ascii="Aptos" w:hAnsi="Aptos"/>
          <w:b/>
          <w:color w:val="A8567B"/>
          <w:sz w:val="18"/>
        </w:rPr>
        <w:t>PART 1</w:t>
      </w:r>
    </w:p>
    <w:p>
      <w:pPr>
        <w:pStyle w:val="Heading1"/>
        <w:spacing w:before="0"/>
      </w:pPr>
      <w:r>
        <w:rPr>
          <w:rFonts w:ascii="Aptos" w:hAnsi="Aptos"/>
          <w:b/>
          <w:color w:val="743951"/>
          <w:sz w:val="44"/>
        </w:rPr>
        <w:t>Guidelines</w:t>
      </w:r>
    </w:p>
    <w:p>
      <w:pPr>
        <w:spacing w:after="360"/>
      </w:pPr>
      <w:r>
        <w:rPr>
          <w:rFonts w:ascii="Aptos" w:hAnsi="Aptos"/>
          <w:b w:val="0"/>
          <w:i/>
          <w:color w:val="786D66"/>
          <w:sz w:val="23"/>
        </w:rPr>
        <w:t>Rules for secure, accurate, and consistent use</w:t>
      </w:r>
    </w:p>
    <w:p>
      <w:pPr>
        <w:pStyle w:val="Heading2"/>
      </w:pPr>
      <w:r>
        <w:t>1.1 General user guidelines</w:t>
      </w:r>
    </w:p>
    <w:p>
      <w:pPr>
        <w:pStyle w:val="ListBullet"/>
        <w:spacing w:after="60" w:line="276" w:lineRule="auto"/>
      </w:pPr>
      <w:r>
        <w:rPr>
          <w:rFonts w:ascii="Aptos" w:hAnsi="Aptos"/>
          <w:color w:val="241E1B"/>
          <w:sz w:val="20"/>
        </w:rPr>
        <w:t>Use only your own account. Never share passwords, QR sessions, reset codes, or authenticated devices.</w:t>
      </w:r>
    </w:p>
    <w:p>
      <w:pPr>
        <w:pStyle w:val="ListBullet"/>
        <w:spacing w:after="60" w:line="276" w:lineRule="auto"/>
      </w:pPr>
      <w:r>
        <w:rPr>
          <w:rFonts w:ascii="Aptos" w:hAnsi="Aptos"/>
          <w:color w:val="241E1B"/>
          <w:sz w:val="20"/>
        </w:rPr>
        <w:t>Confirm names, matric numbers, dates, amounts, statuses, and uploaded evidence before submitting a form.</w:t>
      </w:r>
    </w:p>
    <w:p>
      <w:pPr>
        <w:pStyle w:val="ListBullet"/>
        <w:spacing w:after="60" w:line="276" w:lineRule="auto"/>
      </w:pPr>
      <w:r>
        <w:rPr>
          <w:rFonts w:ascii="Aptos" w:hAnsi="Aptos"/>
          <w:color w:val="241E1B"/>
          <w:sz w:val="20"/>
        </w:rPr>
        <w:t>Upload readable source files in the supported format and remove unrelated personal information where possible.</w:t>
      </w:r>
    </w:p>
    <w:p>
      <w:pPr>
        <w:pStyle w:val="ListBullet"/>
        <w:spacing w:after="60" w:line="276" w:lineRule="auto"/>
      </w:pPr>
      <w:r>
        <w:rPr>
          <w:rFonts w:ascii="Aptos" w:hAnsi="Aptos"/>
          <w:color w:val="241E1B"/>
          <w:sz w:val="20"/>
        </w:rPr>
        <w:t>Treat AI responses as drafts. Verify important conclusions against the source document and the relevant module record.</w:t>
      </w:r>
    </w:p>
    <w:p>
      <w:pPr>
        <w:pStyle w:val="ListBullet"/>
        <w:spacing w:after="60" w:line="276" w:lineRule="auto"/>
      </w:pPr>
      <w:r>
        <w:rPr>
          <w:rFonts w:ascii="Aptos" w:hAnsi="Aptos"/>
          <w:color w:val="241E1B"/>
          <w:sz w:val="20"/>
        </w:rPr>
        <w:t>Log out from shared devices and revoke unknown active sessions from Settings.</w:t>
      </w:r>
    </w:p>
    <w:p>
      <w:pPr>
        <w:pStyle w:val="ListBullet"/>
        <w:spacing w:after="60" w:line="276" w:lineRule="auto"/>
      </w:pPr>
      <w:r>
        <w:rPr>
          <w:rFonts w:ascii="Aptos" w:hAnsi="Aptos"/>
          <w:color w:val="241E1B"/>
          <w:sz w:val="20"/>
        </w:rPr>
        <w:t>Report defects through Report a Problem with a clear description, page location, expected result, actual result, and screenshot.</w:t>
      </w:r>
    </w:p>
    <w:p>
      <w:pPr>
        <w:pStyle w:val="Heading2"/>
      </w:pPr>
      <w:r>
        <w:t>1.2 Privacy and authorization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5E9E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743951"/>
                <w:sz w:val="18"/>
              </w:rPr>
              <w:t xml:space="preserve">PRIVACY  </w:t>
            </w:r>
            <w:r>
              <w:rPr>
                <w:rFonts w:ascii="Aptos" w:hAnsi="Aptos"/>
                <w:color w:val="241E1B"/>
                <w:sz w:val="20"/>
              </w:rPr>
              <w:t>Student profiles, identity numbers, payment evidence, offer letters, movement records, and private documents must be accessed only for an authorized institutional purpose.</w:t>
            </w:r>
          </w:p>
        </w:tc>
      </w:tr>
    </w:tbl>
    <w:p>
      <w:pPr>
        <w:spacing w:after="0"/>
      </w:pPr>
    </w:p>
    <w:p>
      <w:pPr>
        <w:pStyle w:val="ListBullet"/>
        <w:spacing w:after="60" w:line="276" w:lineRule="auto"/>
      </w:pPr>
      <w:r>
        <w:rPr>
          <w:rFonts w:ascii="Aptos" w:hAnsi="Aptos"/>
          <w:color w:val="241E1B"/>
          <w:sz w:val="20"/>
        </w:rPr>
        <w:t>Students may view only their own private records and documents.</w:t>
      </w:r>
    </w:p>
    <w:p>
      <w:pPr>
        <w:pStyle w:val="ListBullet"/>
        <w:spacing w:after="60" w:line="276" w:lineRule="auto"/>
      </w:pPr>
      <w:r>
        <w:rPr>
          <w:rFonts w:ascii="Aptos" w:hAnsi="Aptos"/>
          <w:color w:val="241E1B"/>
          <w:sz w:val="20"/>
        </w:rPr>
        <w:t>Lecturer and staff access is controlled by role, scope, and individually enabled pages.</w:t>
      </w:r>
    </w:p>
    <w:p>
      <w:pPr>
        <w:pStyle w:val="ListBullet"/>
        <w:spacing w:after="60" w:line="276" w:lineRule="auto"/>
      </w:pPr>
      <w:r>
        <w:rPr>
          <w:rFonts w:ascii="Aptos" w:hAnsi="Aptos"/>
          <w:color w:val="241E1B"/>
          <w:sz w:val="20"/>
        </w:rPr>
        <w:t>Sensitive student viewing, export, mutation, scholarship, discipline, movement, document, and system-administration permissions are intentionally separate.</w:t>
      </w:r>
    </w:p>
    <w:p>
      <w:pPr>
        <w:pStyle w:val="ListBullet"/>
        <w:spacing w:after="60" w:line="276" w:lineRule="auto"/>
      </w:pPr>
      <w:r>
        <w:rPr>
          <w:rFonts w:ascii="Aptos" w:hAnsi="Aptos"/>
          <w:color w:val="241E1B"/>
          <w:sz w:val="20"/>
        </w:rPr>
        <w:t>Private files must be served through authenticated controllers; do not expose private storage through a public URL.</w:t>
      </w:r>
    </w:p>
    <w:p>
      <w:pPr>
        <w:pStyle w:val="ListBullet"/>
        <w:spacing w:after="60" w:line="276" w:lineRule="auto"/>
      </w:pPr>
      <w:r>
        <w:rPr>
          <w:rFonts w:ascii="Aptos" w:hAnsi="Aptos"/>
          <w:color w:val="241E1B"/>
          <w:sz w:val="20"/>
        </w:rPr>
        <w:t>System Admin bulk deletion, public laptop identity workflows, and production data exports require explicit institutional approval and audit review.</w:t>
      </w:r>
    </w:p>
    <w:p>
      <w:pPr>
        <w:pStyle w:val="Heading2"/>
      </w:pPr>
      <w:r>
        <w:t>1.3 AI Helper guidelines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4080"/>
        <w:gridCol w:w="3780"/>
      </w:tblGrid>
      <w:tr>
        <w:trPr>
          <w:tblHeader w:val="true"/>
        </w:trPr>
        <w:tc>
          <w:tcPr>
            <w:tcW w:type="dxa" w:w="1500"/>
            <w:shd w:fill="7439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4080"/>
            <w:shd w:fill="7439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Expected AI behaviour</w:t>
            </w:r>
          </w:p>
        </w:tc>
        <w:tc>
          <w:tcPr>
            <w:tcW w:type="dxa" w:w="3780"/>
            <w:shd w:fill="7439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Data boundary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Student</w:t>
            </w:r>
          </w:p>
        </w:tc>
        <w:tc>
          <w:tcPr>
            <w:tcW w:type="dxa" w:w="4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Strict assistance for the student's own portal context</w:t>
            </w:r>
          </w:p>
        </w:tc>
        <w:tc>
          <w:tcPr>
            <w:tcW w:type="dxa" w:w="3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No cross-student or administrative data</w:t>
            </w:r>
          </w:p>
        </w:tc>
      </w:tr>
      <w:tr>
        <w:tc>
          <w:tcPr>
            <w:tcW w:type="dxa" w:w="150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Lecturer</w:t>
            </w:r>
          </w:p>
        </w:tc>
        <w:tc>
          <w:tcPr>
            <w:tcW w:type="dxa" w:w="408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Natural conversation, research, document analysis, and permitted institutional context</w:t>
            </w:r>
          </w:p>
        </w:tc>
        <w:tc>
          <w:tcPr>
            <w:tcW w:type="dxa" w:w="378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Only assigned lecturer scopes and enabled pages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Administrator</w:t>
            </w:r>
          </w:p>
        </w:tc>
        <w:tc>
          <w:tcPr>
            <w:tcW w:type="dxa" w:w="4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Research, summaries, reports, document analysis, and authorized system context</w:t>
            </w:r>
          </w:p>
        </w:tc>
        <w:tc>
          <w:tcPr>
            <w:tcW w:type="dxa" w:w="3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Only abilities granted to the current account</w:t>
            </w:r>
          </w:p>
        </w:tc>
      </w:tr>
      <w:tr>
        <w:tc>
          <w:tcPr>
            <w:tcW w:type="dxa" w:w="150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System administrator</w:t>
            </w:r>
          </w:p>
        </w:tc>
        <w:tc>
          <w:tcPr>
            <w:tcW w:type="dxa" w:w="408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Full configured administrative AI capability</w:t>
            </w:r>
          </w:p>
        </w:tc>
        <w:tc>
          <w:tcPr>
            <w:tcW w:type="dxa" w:w="378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Still subject to privacy, audit, and source-verification rules</w:t>
            </w:r>
          </w:p>
        </w:tc>
      </w:tr>
    </w:tbl>
    <w:p>
      <w:pPr>
        <w:spacing w:after="0"/>
      </w:pPr>
    </w:p>
    <w:p>
      <w:pPr>
        <w:pStyle w:val="ListBullet"/>
        <w:spacing w:after="60" w:line="276" w:lineRule="auto"/>
      </w:pPr>
      <w:r>
        <w:rPr>
          <w:rFonts w:ascii="Aptos" w:hAnsi="Aptos"/>
          <w:color w:val="241E1B"/>
          <w:sz w:val="20"/>
        </w:rPr>
        <w:t>When a file is attached, ask the AI to analyze that file explicitly; attached PDF, image, CSV, and XLSX content must remain distinguishable from system context.</w:t>
      </w:r>
    </w:p>
    <w:p>
      <w:pPr>
        <w:pStyle w:val="ListBullet"/>
        <w:spacing w:after="60" w:line="276" w:lineRule="auto"/>
      </w:pPr>
      <w:r>
        <w:rPr>
          <w:rFonts w:ascii="Aptos" w:hAnsi="Aptos"/>
          <w:color w:val="241E1B"/>
          <w:sz w:val="20"/>
        </w:rPr>
        <w:t>Do not accept a generated report as an official decision. Use Edit or selected-text actions to refine it, then verify and approve through the real module.</w:t>
      </w:r>
    </w:p>
    <w:p>
      <w:pPr>
        <w:pStyle w:val="ListBullet"/>
        <w:spacing w:after="60" w:line="276" w:lineRule="auto"/>
      </w:pPr>
      <w:r>
        <w:rPr>
          <w:rFonts w:ascii="Aptos" w:hAnsi="Aptos"/>
          <w:color w:val="241E1B"/>
          <w:sz w:val="20"/>
        </w:rPr>
        <w:t>Conversation history is account-scoped and inactive conversations are automatically removed according to the configured retention period.</w:t>
      </w:r>
    </w:p>
    <w:p>
      <w:pPr>
        <w:pStyle w:val="ListBullet"/>
        <w:spacing w:after="60" w:line="276" w:lineRule="auto"/>
      </w:pPr>
      <w:r>
        <w:rPr>
          <w:rFonts w:ascii="Aptos" w:hAnsi="Aptos"/>
          <w:color w:val="241E1B"/>
          <w:sz w:val="20"/>
        </w:rPr>
        <w:t>Regeneration is queued/locked while a request is running to prevent duplicate generations.</w:t>
      </w:r>
    </w:p>
    <w:p>
      <w:pPr>
        <w:pStyle w:val="Heading2"/>
      </w:pPr>
      <w:r>
        <w:t>1.4 Data-entry and file standards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120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7439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7460"/>
            <w:shd w:fill="7439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Guideline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Student import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Use the supplied CSV/XLSX column structure; validate duplicates, program identifiers, matric number, and identity number before import.</w:t>
            </w:r>
          </w:p>
        </w:tc>
      </w:tr>
      <w:tr>
        <w:tc>
          <w:tcPr>
            <w:tcW w:type="dxa" w:w="190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Scholarship/B40</w:t>
            </w:r>
          </w:p>
        </w:tc>
        <w:tc>
          <w:tcPr>
            <w:tcW w:type="dxa" w:w="746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Use the relevant import/export flow and review eligibility/status after processing.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Evidence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Use clear JPG, JPEG, PNG, or WebP images within the configured limit.</w:t>
            </w:r>
          </w:p>
        </w:tc>
      </w:tr>
      <w:tr>
        <w:tc>
          <w:tcPr>
            <w:tcW w:type="dxa" w:w="190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AI source files</w:t>
            </w:r>
          </w:p>
        </w:tc>
        <w:tc>
          <w:tcPr>
            <w:tcW w:type="dxa" w:w="746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Use PDF, supported images, CSV, or XLSX; keep filenames descriptive and avoid oversized or password-protected files.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Private documents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Use the Student Document Centre; review status and expiry dates, and never place private documents under public storage.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60"/>
      </w:pPr>
      <w:r>
        <w:rPr>
          <w:rFonts w:ascii="Aptos" w:hAnsi="Aptos"/>
          <w:b/>
          <w:color w:val="A8567B"/>
          <w:sz w:val="18"/>
        </w:rPr>
        <w:t>PART 2</w:t>
      </w:r>
    </w:p>
    <w:p>
      <w:pPr>
        <w:pStyle w:val="Heading1"/>
        <w:spacing w:before="0"/>
      </w:pPr>
      <w:r>
        <w:rPr>
          <w:rFonts w:ascii="Aptos" w:hAnsi="Aptos"/>
          <w:b/>
          <w:color w:val="743951"/>
          <w:sz w:val="44"/>
        </w:rPr>
        <w:t>Operational workflows</w:t>
      </w:r>
    </w:p>
    <w:p>
      <w:pPr>
        <w:spacing w:after="360"/>
      </w:pPr>
      <w:r>
        <w:rPr>
          <w:rFonts w:ascii="Aptos" w:hAnsi="Aptos"/>
          <w:b w:val="0"/>
          <w:i/>
          <w:color w:val="786D66"/>
          <w:sz w:val="23"/>
        </w:rPr>
        <w:t>End-to-end paths from sign-in to completed action</w:t>
      </w:r>
    </w:p>
    <w:p>
      <w:pPr>
        <w:pStyle w:val="Heading2"/>
      </w:pPr>
      <w:r>
        <w:t>2.1 Authentication and account recovery</w:t>
      </w:r>
    </w:p>
    <w:p>
      <w:pPr>
        <w:pStyle w:val="ListNumber"/>
        <w:spacing w:after="100"/>
      </w:pPr>
      <w:r>
        <w:rPr>
          <w:rFonts w:ascii="Aptos" w:hAnsi="Aptos"/>
          <w:b/>
          <w:color w:val="743951"/>
          <w:sz w:val="21"/>
        </w:rPr>
        <w:t xml:space="preserve">Open the login page. </w:t>
      </w:r>
      <w:r>
        <w:rPr>
          <w:rFonts w:ascii="Aptos" w:hAnsi="Aptos"/>
          <w:color w:val="241E1B"/>
          <w:sz w:val="21"/>
        </w:rPr>
        <w:t>Enter the registered identifier and password</w:t>
      </w:r>
    </w:p>
    <w:p>
      <w:pPr>
        <w:pStyle w:val="ListNumber"/>
        <w:spacing w:after="100"/>
      </w:pPr>
      <w:r>
        <w:rPr>
          <w:rFonts w:ascii="Aptos" w:hAnsi="Aptos"/>
          <w:b/>
          <w:color w:val="743951"/>
          <w:sz w:val="21"/>
        </w:rPr>
        <w:t xml:space="preserve">Establish the session. </w:t>
      </w:r>
      <w:r>
        <w:rPr>
          <w:rFonts w:ascii="Aptos" w:hAnsi="Aptos"/>
          <w:color w:val="241E1B"/>
          <w:sz w:val="21"/>
        </w:rPr>
        <w:t>The server validates the account, role, and active-device session</w:t>
      </w:r>
    </w:p>
    <w:p>
      <w:pPr>
        <w:pStyle w:val="ListNumber"/>
        <w:spacing w:after="100"/>
      </w:pPr>
      <w:r>
        <w:rPr>
          <w:rFonts w:ascii="Aptos" w:hAnsi="Aptos"/>
          <w:b/>
          <w:color w:val="743951"/>
          <w:sz w:val="21"/>
        </w:rPr>
        <w:t xml:space="preserve">Enter the correct portal. </w:t>
      </w:r>
      <w:r>
        <w:rPr>
          <w:rFonts w:ascii="Aptos" w:hAnsi="Aptos"/>
          <w:color w:val="241E1B"/>
          <w:sz w:val="21"/>
        </w:rPr>
        <w:t>Students, staff, guards, and administrators are routed to their authorized interface</w:t>
      </w:r>
    </w:p>
    <w:p>
      <w:pPr>
        <w:pStyle w:val="ListNumber"/>
        <w:spacing w:after="100"/>
      </w:pPr>
      <w:r>
        <w:rPr>
          <w:rFonts w:ascii="Aptos" w:hAnsi="Aptos"/>
          <w:b/>
          <w:color w:val="743951"/>
          <w:sz w:val="21"/>
        </w:rPr>
        <w:t xml:space="preserve">Recover when necessary. </w:t>
      </w:r>
      <w:r>
        <w:rPr>
          <w:rFonts w:ascii="Aptos" w:hAnsi="Aptos"/>
          <w:color w:val="241E1B"/>
          <w:sz w:val="21"/>
        </w:rPr>
        <w:t>Request a reset code, verify it, set a new password, and invalidate affected sessions</w:t>
      </w:r>
    </w:p>
    <w:p>
      <w:pPr>
        <w:pStyle w:val="ListNumber"/>
        <w:spacing w:after="100"/>
      </w:pPr>
      <w:r>
        <w:rPr>
          <w:rFonts w:ascii="Aptos" w:hAnsi="Aptos"/>
          <w:b/>
          <w:color w:val="743951"/>
          <w:sz w:val="21"/>
        </w:rPr>
        <w:t xml:space="preserve">Review devices. </w:t>
      </w:r>
      <w:r>
        <w:rPr>
          <w:rFonts w:ascii="Aptos" w:hAnsi="Aptos"/>
          <w:color w:val="241E1B"/>
          <w:sz w:val="21"/>
        </w:rPr>
        <w:t>Use Settings to revoke one device or all other sessions</w:t>
      </w:r>
    </w:p>
    <w:p>
      <w:pPr>
        <w:pStyle w:val="Heading2"/>
      </w:pPr>
      <w:r>
        <w:t>2.2 Student scholarship workflow</w:t>
      </w:r>
    </w:p>
    <w:p>
      <w:pPr>
        <w:pStyle w:val="ListNumber"/>
        <w:spacing w:after="100"/>
      </w:pPr>
      <w:r>
        <w:rPr>
          <w:rFonts w:ascii="Aptos" w:hAnsi="Aptos"/>
          <w:b/>
          <w:color w:val="743951"/>
          <w:sz w:val="21"/>
        </w:rPr>
        <w:t xml:space="preserve">Review opportunities. </w:t>
      </w:r>
      <w:r>
        <w:rPr>
          <w:rFonts w:ascii="Aptos" w:hAnsi="Aptos"/>
          <w:color w:val="241E1B"/>
          <w:sz w:val="21"/>
        </w:rPr>
        <w:t>Open Scholarship and read current opportunities and announcements</w:t>
      </w:r>
    </w:p>
    <w:p>
      <w:pPr>
        <w:pStyle w:val="ListNumber"/>
        <w:spacing w:after="100"/>
      </w:pPr>
      <w:r>
        <w:rPr>
          <w:rFonts w:ascii="Aptos" w:hAnsi="Aptos"/>
          <w:b/>
          <w:color w:val="743951"/>
          <w:sz w:val="21"/>
        </w:rPr>
        <w:t xml:space="preserve">Open declaration. </w:t>
      </w:r>
      <w:r>
        <w:rPr>
          <w:rFonts w:ascii="Aptos" w:hAnsi="Aptos"/>
          <w:color w:val="241E1B"/>
          <w:sz w:val="21"/>
        </w:rPr>
        <w:t>Complete the student scholarship status declaration</w:t>
      </w:r>
    </w:p>
    <w:p>
      <w:pPr>
        <w:pStyle w:val="ListNumber"/>
        <w:spacing w:after="100"/>
      </w:pPr>
      <w:r>
        <w:rPr>
          <w:rFonts w:ascii="Aptos" w:hAnsi="Aptos"/>
          <w:b/>
          <w:color w:val="743951"/>
          <w:sz w:val="21"/>
        </w:rPr>
        <w:t xml:space="preserve">Attach supporting document. </w:t>
      </w:r>
      <w:r>
        <w:rPr>
          <w:rFonts w:ascii="Aptos" w:hAnsi="Aptos"/>
          <w:color w:val="241E1B"/>
          <w:sz w:val="21"/>
        </w:rPr>
        <w:t>Upload the offer letter when applicable</w:t>
      </w:r>
    </w:p>
    <w:p>
      <w:pPr>
        <w:pStyle w:val="ListNumber"/>
        <w:spacing w:after="100"/>
      </w:pPr>
      <w:r>
        <w:rPr>
          <w:rFonts w:ascii="Aptos" w:hAnsi="Aptos"/>
          <w:b/>
          <w:color w:val="743951"/>
          <w:sz w:val="21"/>
        </w:rPr>
        <w:t xml:space="preserve">Submit. </w:t>
      </w:r>
      <w:r>
        <w:rPr>
          <w:rFonts w:ascii="Aptos" w:hAnsi="Aptos"/>
          <w:color w:val="241E1B"/>
          <w:sz w:val="21"/>
        </w:rPr>
        <w:t>Confirm the information and submit the declaration</w:t>
      </w:r>
    </w:p>
    <w:p>
      <w:pPr>
        <w:pStyle w:val="ListNumber"/>
        <w:spacing w:after="100"/>
      </w:pPr>
      <w:r>
        <w:rPr>
          <w:rFonts w:ascii="Aptos" w:hAnsi="Aptos"/>
          <w:b/>
          <w:color w:val="743951"/>
          <w:sz w:val="21"/>
        </w:rPr>
        <w:t xml:space="preserve">Administrative review. </w:t>
      </w:r>
      <w:r>
        <w:rPr>
          <w:rFonts w:ascii="Aptos" w:hAnsi="Aptos"/>
          <w:color w:val="241E1B"/>
          <w:sz w:val="21"/>
        </w:rPr>
        <w:t>Authorized scholarship staff review the declaration and download the private offer letter</w:t>
      </w:r>
    </w:p>
    <w:p>
      <w:pPr>
        <w:pStyle w:val="Heading2"/>
      </w:pPr>
      <w:r>
        <w:t>2.3 Discipline, fine, and payment workflow</w:t>
      </w:r>
    </w:p>
    <w:p>
      <w:pPr>
        <w:pStyle w:val="ListNumber"/>
        <w:spacing w:after="100"/>
      </w:pPr>
      <w:r>
        <w:rPr>
          <w:rFonts w:ascii="Aptos" w:hAnsi="Aptos"/>
          <w:b/>
          <w:color w:val="743951"/>
          <w:sz w:val="21"/>
        </w:rPr>
        <w:t xml:space="preserve">Record offense. </w:t>
      </w:r>
      <w:r>
        <w:rPr>
          <w:rFonts w:ascii="Aptos" w:hAnsi="Aptos"/>
          <w:color w:val="241E1B"/>
          <w:sz w:val="21"/>
        </w:rPr>
        <w:t>Authorized staff select the student, offense type, date, location, fine, and evidence</w:t>
      </w:r>
    </w:p>
    <w:p>
      <w:pPr>
        <w:pStyle w:val="ListNumber"/>
        <w:spacing w:after="100"/>
      </w:pPr>
      <w:r>
        <w:rPr>
          <w:rFonts w:ascii="Aptos" w:hAnsi="Aptos"/>
          <w:b/>
          <w:color w:val="743951"/>
          <w:sz w:val="21"/>
        </w:rPr>
        <w:t xml:space="preserve">Notify and review. </w:t>
      </w:r>
      <w:r>
        <w:rPr>
          <w:rFonts w:ascii="Aptos" w:hAnsi="Aptos"/>
          <w:color w:val="241E1B"/>
          <w:sz w:val="21"/>
        </w:rPr>
        <w:t>The student sees the offense and can print the record</w:t>
      </w:r>
    </w:p>
    <w:p>
      <w:pPr>
        <w:pStyle w:val="ListNumber"/>
        <w:spacing w:after="100"/>
      </w:pPr>
      <w:r>
        <w:rPr>
          <w:rFonts w:ascii="Aptos" w:hAnsi="Aptos"/>
          <w:b/>
          <w:color w:val="743951"/>
          <w:sz w:val="21"/>
        </w:rPr>
        <w:t xml:space="preserve">Submit payment evidence. </w:t>
      </w:r>
      <w:r>
        <w:rPr>
          <w:rFonts w:ascii="Aptos" w:hAnsi="Aptos"/>
          <w:color w:val="241E1B"/>
          <w:sz w:val="21"/>
        </w:rPr>
        <w:t>The student uploads a payment receipt for the relevant offense</w:t>
      </w:r>
    </w:p>
    <w:p>
      <w:pPr>
        <w:pStyle w:val="ListNumber"/>
        <w:spacing w:after="100"/>
      </w:pPr>
      <w:r>
        <w:rPr>
          <w:rFonts w:ascii="Aptos" w:hAnsi="Aptos"/>
          <w:b/>
          <w:color w:val="743951"/>
          <w:sz w:val="21"/>
        </w:rPr>
        <w:t xml:space="preserve">Decide application. </w:t>
      </w:r>
      <w:r>
        <w:rPr>
          <w:rFonts w:ascii="Aptos" w:hAnsi="Aptos"/>
          <w:color w:val="241E1B"/>
          <w:sz w:val="21"/>
        </w:rPr>
        <w:t>Authorized staff approve or reject the fine-payment application</w:t>
      </w:r>
    </w:p>
    <w:p>
      <w:pPr>
        <w:pStyle w:val="ListNumber"/>
        <w:spacing w:after="100"/>
      </w:pPr>
      <w:r>
        <w:rPr>
          <w:rFonts w:ascii="Aptos" w:hAnsi="Aptos"/>
          <w:b/>
          <w:color w:val="743951"/>
          <w:sz w:val="21"/>
        </w:rPr>
        <w:t xml:space="preserve">Update status. </w:t>
      </w:r>
      <w:r>
        <w:rPr>
          <w:rFonts w:ascii="Aptos" w:hAnsi="Aptos"/>
          <w:color w:val="241E1B"/>
          <w:sz w:val="21"/>
        </w:rPr>
        <w:t>The official offense/payment status is updated and remains auditable</w:t>
      </w:r>
    </w:p>
    <w:p>
      <w:pPr>
        <w:pStyle w:val="Heading2"/>
      </w:pPr>
      <w:r>
        <w:t>2.4 Vehicle sticker workflow</w:t>
      </w:r>
    </w:p>
    <w:p>
      <w:pPr>
        <w:pStyle w:val="ListNumber"/>
        <w:spacing w:after="100"/>
      </w:pPr>
      <w:r>
        <w:rPr>
          <w:rFonts w:ascii="Aptos" w:hAnsi="Aptos"/>
          <w:b/>
          <w:color w:val="743951"/>
          <w:sz w:val="21"/>
        </w:rPr>
        <w:t xml:space="preserve">Student application. </w:t>
      </w:r>
      <w:r>
        <w:rPr>
          <w:rFonts w:ascii="Aptos" w:hAnsi="Aptos"/>
          <w:color w:val="241E1B"/>
          <w:sz w:val="21"/>
        </w:rPr>
        <w:t>Enter vehicle details and attach required evidence</w:t>
      </w:r>
    </w:p>
    <w:p>
      <w:pPr>
        <w:pStyle w:val="ListNumber"/>
        <w:spacing w:after="100"/>
      </w:pPr>
      <w:r>
        <w:rPr>
          <w:rFonts w:ascii="Aptos" w:hAnsi="Aptos"/>
          <w:b/>
          <w:color w:val="743951"/>
          <w:sz w:val="21"/>
        </w:rPr>
        <w:t xml:space="preserve">Administrative review. </w:t>
      </w:r>
      <w:r>
        <w:rPr>
          <w:rFonts w:ascii="Aptos" w:hAnsi="Aptos"/>
          <w:color w:val="241E1B"/>
          <w:sz w:val="21"/>
        </w:rPr>
        <w:t>Filter applications and inspect the submitted documents</w:t>
      </w:r>
    </w:p>
    <w:p>
      <w:pPr>
        <w:pStyle w:val="ListNumber"/>
        <w:spacing w:after="100"/>
      </w:pPr>
      <w:r>
        <w:rPr>
          <w:rFonts w:ascii="Aptos" w:hAnsi="Aptos"/>
          <w:b/>
          <w:color w:val="743951"/>
          <w:sz w:val="21"/>
        </w:rPr>
        <w:t xml:space="preserve">Decision. </w:t>
      </w:r>
      <w:r>
        <w:rPr>
          <w:rFonts w:ascii="Aptos" w:hAnsi="Aptos"/>
          <w:color w:val="241E1B"/>
          <w:sz w:val="21"/>
        </w:rPr>
        <w:t>Approve or reject the application with the official status</w:t>
      </w:r>
    </w:p>
    <w:p>
      <w:pPr>
        <w:pStyle w:val="ListNumber"/>
        <w:spacing w:after="100"/>
      </w:pPr>
      <w:r>
        <w:rPr>
          <w:rFonts w:ascii="Aptos" w:hAnsi="Aptos"/>
          <w:b/>
          <w:color w:val="743951"/>
          <w:sz w:val="21"/>
        </w:rPr>
        <w:t xml:space="preserve">Reporting. </w:t>
      </w:r>
      <w:r>
        <w:rPr>
          <w:rFonts w:ascii="Aptos" w:hAnsi="Aptos"/>
          <w:color w:val="241E1B"/>
          <w:sz w:val="21"/>
        </w:rPr>
        <w:t>Export application data when authorized</w:t>
      </w:r>
    </w:p>
    <w:p>
      <w:pPr>
        <w:pStyle w:val="Heading2"/>
      </w:pPr>
      <w:r>
        <w:t>2.5 Campus movement workflow</w:t>
      </w:r>
    </w:p>
    <w:p>
      <w:pPr>
        <w:pStyle w:val="ListNumber"/>
        <w:spacing w:after="100"/>
      </w:pPr>
      <w:r>
        <w:rPr>
          <w:rFonts w:ascii="Aptos" w:hAnsi="Aptos"/>
          <w:b/>
          <w:color w:val="743951"/>
          <w:sz w:val="21"/>
        </w:rPr>
        <w:t xml:space="preserve">Open scanner. </w:t>
      </w:r>
      <w:r>
        <w:rPr>
          <w:rFonts w:ascii="Aptos" w:hAnsi="Aptos"/>
          <w:color w:val="241E1B"/>
          <w:sz w:val="21"/>
        </w:rPr>
        <w:t>The student opens the movement QR scanner</w:t>
      </w:r>
    </w:p>
    <w:p>
      <w:pPr>
        <w:pStyle w:val="ListNumber"/>
        <w:spacing w:after="100"/>
      </w:pPr>
      <w:r>
        <w:rPr>
          <w:rFonts w:ascii="Aptos" w:hAnsi="Aptos"/>
          <w:b/>
          <w:color w:val="743951"/>
          <w:sz w:val="21"/>
        </w:rPr>
        <w:t xml:space="preserve">Scan guard-house QR. </w:t>
      </w:r>
      <w:r>
        <w:rPr>
          <w:rFonts w:ascii="Aptos" w:hAnsi="Aptos"/>
          <w:color w:val="241E1B"/>
          <w:sz w:val="21"/>
        </w:rPr>
        <w:t>The active QR token is validated</w:t>
      </w:r>
    </w:p>
    <w:p>
      <w:pPr>
        <w:pStyle w:val="ListNumber"/>
        <w:spacing w:after="100"/>
      </w:pPr>
      <w:r>
        <w:rPr>
          <w:rFonts w:ascii="Aptos" w:hAnsi="Aptos"/>
          <w:b/>
          <w:color w:val="743951"/>
          <w:sz w:val="21"/>
        </w:rPr>
        <w:t xml:space="preserve">Checkout or return. </w:t>
      </w:r>
      <w:r>
        <w:rPr>
          <w:rFonts w:ascii="Aptos" w:hAnsi="Aptos"/>
          <w:color w:val="241E1B"/>
          <w:sz w:val="21"/>
        </w:rPr>
        <w:t>The system records the correct transition atomically</w:t>
      </w:r>
    </w:p>
    <w:p>
      <w:pPr>
        <w:pStyle w:val="ListNumber"/>
        <w:spacing w:after="100"/>
      </w:pPr>
      <w:r>
        <w:rPr>
          <w:rFonts w:ascii="Aptos" w:hAnsi="Aptos"/>
          <w:b/>
          <w:color w:val="743951"/>
          <w:sz w:val="21"/>
        </w:rPr>
        <w:t xml:space="preserve">Monitor. </w:t>
      </w:r>
      <w:r>
        <w:rPr>
          <w:rFonts w:ascii="Aptos" w:hAnsi="Aptos"/>
          <w:color w:val="241E1B"/>
          <w:sz w:val="21"/>
        </w:rPr>
        <w:t>Guards and authorized staff view outside students, records, deadlines, and violations</w:t>
      </w:r>
    </w:p>
    <w:p>
      <w:pPr>
        <w:pStyle w:val="ListNumber"/>
        <w:spacing w:after="100"/>
      </w:pPr>
      <w:r>
        <w:rPr>
          <w:rFonts w:ascii="Aptos" w:hAnsi="Aptos"/>
          <w:b/>
          <w:color w:val="743951"/>
          <w:sz w:val="21"/>
        </w:rPr>
        <w:t xml:space="preserve">Report. </w:t>
      </w:r>
      <w:r>
        <w:rPr>
          <w:rFonts w:ascii="Aptos" w:hAnsi="Aptos"/>
          <w:color w:val="241E1B"/>
          <w:sz w:val="21"/>
        </w:rPr>
        <w:t>Authorized staff filter and export movement records</w:t>
      </w:r>
    </w:p>
    <w:p>
      <w:pPr>
        <w:pStyle w:val="Heading2"/>
      </w:pPr>
      <w:r>
        <w:t>2.6 Student document workflow</w:t>
      </w:r>
    </w:p>
    <w:p>
      <w:pPr>
        <w:pStyle w:val="ListNumber"/>
        <w:spacing w:after="100"/>
      </w:pPr>
      <w:r>
        <w:rPr>
          <w:rFonts w:ascii="Aptos" w:hAnsi="Aptos"/>
          <w:b/>
          <w:color w:val="743951"/>
          <w:sz w:val="21"/>
        </w:rPr>
        <w:t xml:space="preserve">Upload. </w:t>
      </w:r>
      <w:r>
        <w:rPr>
          <w:rFonts w:ascii="Aptos" w:hAnsi="Aptos"/>
          <w:color w:val="241E1B"/>
          <w:sz w:val="21"/>
        </w:rPr>
        <w:t>The student adds a private document and relevant metadata</w:t>
      </w:r>
    </w:p>
    <w:p>
      <w:pPr>
        <w:pStyle w:val="ListNumber"/>
        <w:spacing w:after="100"/>
      </w:pPr>
      <w:r>
        <w:rPr>
          <w:rFonts w:ascii="Aptos" w:hAnsi="Aptos"/>
          <w:b/>
          <w:color w:val="743951"/>
          <w:sz w:val="21"/>
        </w:rPr>
        <w:t xml:space="preserve">Review. </w:t>
      </w:r>
      <w:r>
        <w:rPr>
          <w:rFonts w:ascii="Aptos" w:hAnsi="Aptos"/>
          <w:color w:val="241E1B"/>
          <w:sz w:val="21"/>
        </w:rPr>
        <w:t>Authorized administrators inspect and approve or reject the submission</w:t>
      </w:r>
    </w:p>
    <w:p>
      <w:pPr>
        <w:pStyle w:val="ListNumber"/>
        <w:spacing w:after="100"/>
      </w:pPr>
      <w:r>
        <w:rPr>
          <w:rFonts w:ascii="Aptos" w:hAnsi="Aptos"/>
          <w:b/>
          <w:color w:val="743951"/>
          <w:sz w:val="21"/>
        </w:rPr>
        <w:t xml:space="preserve">Download. </w:t>
      </w:r>
      <w:r>
        <w:rPr>
          <w:rFonts w:ascii="Aptos" w:hAnsi="Aptos"/>
          <w:color w:val="241E1B"/>
          <w:sz w:val="21"/>
        </w:rPr>
        <w:t>The owner or authorized reviewer downloads through an authenticated controller</w:t>
      </w:r>
    </w:p>
    <w:p>
      <w:pPr>
        <w:pStyle w:val="ListNumber"/>
        <w:spacing w:after="100"/>
      </w:pPr>
      <w:r>
        <w:rPr>
          <w:rFonts w:ascii="Aptos" w:hAnsi="Aptos"/>
          <w:b/>
          <w:color w:val="743951"/>
          <w:sz w:val="21"/>
        </w:rPr>
        <w:t xml:space="preserve">Expiry reminder. </w:t>
      </w:r>
      <w:r>
        <w:rPr>
          <w:rFonts w:ascii="Aptos" w:hAnsi="Aptos"/>
          <w:color w:val="241E1B"/>
          <w:sz w:val="21"/>
        </w:rPr>
        <w:t>The scheduled reminder notifies subscribed students near configured expiry dates</w:t>
      </w:r>
    </w:p>
    <w:p>
      <w:pPr>
        <w:pStyle w:val="Heading2"/>
      </w:pPr>
      <w:r>
        <w:t>2.7 AI research and report workflow</w:t>
      </w:r>
    </w:p>
    <w:p>
      <w:pPr>
        <w:pStyle w:val="ListNumber"/>
        <w:spacing w:after="100"/>
      </w:pPr>
      <w:r>
        <w:rPr>
          <w:rFonts w:ascii="Aptos" w:hAnsi="Aptos"/>
          <w:b/>
          <w:color w:val="743951"/>
          <w:sz w:val="21"/>
        </w:rPr>
        <w:t xml:space="preserve">Start or resume a chat. </w:t>
      </w:r>
      <w:r>
        <w:rPr>
          <w:rFonts w:ascii="Aptos" w:hAnsi="Aptos"/>
          <w:color w:val="241E1B"/>
          <w:sz w:val="21"/>
        </w:rPr>
        <w:t>Open AI Helper, choose New chat, or select an account-scoped history item</w:t>
      </w:r>
    </w:p>
    <w:p>
      <w:pPr>
        <w:pStyle w:val="ListNumber"/>
        <w:spacing w:after="100"/>
      </w:pPr>
      <w:r>
        <w:rPr>
          <w:rFonts w:ascii="Aptos" w:hAnsi="Aptos"/>
          <w:b/>
          <w:color w:val="743951"/>
          <w:sz w:val="21"/>
        </w:rPr>
        <w:t xml:space="preserve">Add sources. </w:t>
      </w:r>
      <w:r>
        <w:rPr>
          <w:rFonts w:ascii="Aptos" w:hAnsi="Aptos"/>
          <w:color w:val="241E1B"/>
          <w:sz w:val="21"/>
        </w:rPr>
        <w:t>Attach PDF, image, CSV, or XLSX files when the answer must be grounded in external material</w:t>
      </w:r>
    </w:p>
    <w:p>
      <w:pPr>
        <w:pStyle w:val="ListNumber"/>
        <w:spacing w:after="100"/>
      </w:pPr>
      <w:r>
        <w:rPr>
          <w:rFonts w:ascii="Aptos" w:hAnsi="Aptos"/>
          <w:b/>
          <w:color w:val="743951"/>
          <w:sz w:val="21"/>
        </w:rPr>
        <w:t xml:space="preserve">Send a clear request. </w:t>
      </w:r>
      <w:r>
        <w:rPr>
          <w:rFonts w:ascii="Aptos" w:hAnsi="Aptos"/>
          <w:color w:val="241E1B"/>
          <w:sz w:val="21"/>
        </w:rPr>
        <w:t>Ask a natural question and state whether the AI should use attached files, system data, or both</w:t>
      </w:r>
    </w:p>
    <w:p>
      <w:pPr>
        <w:pStyle w:val="ListNumber"/>
        <w:spacing w:after="100"/>
      </w:pPr>
      <w:r>
        <w:rPr>
          <w:rFonts w:ascii="Aptos" w:hAnsi="Aptos"/>
          <w:b/>
          <w:color w:val="743951"/>
          <w:sz w:val="21"/>
        </w:rPr>
        <w:t xml:space="preserve">Review source boundaries. </w:t>
      </w:r>
      <w:r>
        <w:rPr>
          <w:rFonts w:ascii="Aptos" w:hAnsi="Aptos"/>
          <w:color w:val="241E1B"/>
          <w:sz w:val="21"/>
        </w:rPr>
        <w:t>Confirm that file findings came from the attachment and system findings came from authorized records</w:t>
      </w:r>
    </w:p>
    <w:p>
      <w:pPr>
        <w:pStyle w:val="ListNumber"/>
        <w:spacing w:after="100"/>
      </w:pPr>
      <w:r>
        <w:rPr>
          <w:rFonts w:ascii="Aptos" w:hAnsi="Aptos"/>
          <w:b/>
          <w:color w:val="743951"/>
          <w:sz w:val="21"/>
        </w:rPr>
        <w:t xml:space="preserve">Refine. </w:t>
      </w:r>
      <w:r>
        <w:rPr>
          <w:rFonts w:ascii="Aptos" w:hAnsi="Aptos"/>
          <w:color w:val="241E1B"/>
          <w:sz w:val="21"/>
        </w:rPr>
        <w:t>Regenerate once, edit the full output, or select text and ask for focused changes</w:t>
      </w:r>
    </w:p>
    <w:p>
      <w:pPr>
        <w:pStyle w:val="ListNumber"/>
        <w:spacing w:after="100"/>
      </w:pPr>
      <w:r>
        <w:rPr>
          <w:rFonts w:ascii="Aptos" w:hAnsi="Aptos"/>
          <w:b/>
          <w:color w:val="743951"/>
          <w:sz w:val="21"/>
        </w:rPr>
        <w:t xml:space="preserve">Finalize outside AI. </w:t>
      </w:r>
      <w:r>
        <w:rPr>
          <w:rFonts w:ascii="Aptos" w:hAnsi="Aptos"/>
          <w:color w:val="241E1B"/>
          <w:sz w:val="21"/>
        </w:rPr>
        <w:t>Copy the reviewed draft into the official workflow and complete the real approval or publication process</w:t>
      </w:r>
    </w:p>
    <w:p>
      <w:pPr>
        <w:pStyle w:val="Heading2"/>
      </w:pPr>
      <w:r>
        <w:t>2.8 Laptop borrowing workflow</w:t>
      </w:r>
    </w:p>
    <w:p>
      <w:pPr>
        <w:pStyle w:val="ListNumber"/>
        <w:spacing w:after="100"/>
      </w:pPr>
      <w:r>
        <w:rPr>
          <w:rFonts w:ascii="Aptos" w:hAnsi="Aptos"/>
          <w:b/>
          <w:color w:val="743951"/>
          <w:sz w:val="21"/>
        </w:rPr>
        <w:t xml:space="preserve">Prepare inventory. </w:t>
      </w:r>
      <w:r>
        <w:rPr>
          <w:rFonts w:ascii="Aptos" w:hAnsi="Aptos"/>
          <w:color w:val="241E1B"/>
          <w:sz w:val="21"/>
        </w:rPr>
        <w:t>Authorized staff register devices and print QR labels</w:t>
      </w:r>
    </w:p>
    <w:p>
      <w:pPr>
        <w:pStyle w:val="ListNumber"/>
        <w:spacing w:after="100"/>
      </w:pPr>
      <w:r>
        <w:rPr>
          <w:rFonts w:ascii="Aptos" w:hAnsi="Aptos"/>
          <w:b/>
          <w:color w:val="743951"/>
          <w:sz w:val="21"/>
        </w:rPr>
        <w:t xml:space="preserve">Identify borrower. </w:t>
      </w:r>
      <w:r>
        <w:rPr>
          <w:rFonts w:ascii="Aptos" w:hAnsi="Aptos"/>
          <w:color w:val="241E1B"/>
          <w:sz w:val="21"/>
        </w:rPr>
        <w:t>Use the public or staff scanning flow and validate the borrower</w:t>
      </w:r>
    </w:p>
    <w:p>
      <w:pPr>
        <w:pStyle w:val="ListNumber"/>
        <w:spacing w:after="100"/>
      </w:pPr>
      <w:r>
        <w:rPr>
          <w:rFonts w:ascii="Aptos" w:hAnsi="Aptos"/>
          <w:b/>
          <w:color w:val="743951"/>
          <w:sz w:val="21"/>
        </w:rPr>
        <w:t xml:space="preserve">Scan device. </w:t>
      </w:r>
      <w:r>
        <w:rPr>
          <w:rFonts w:ascii="Aptos" w:hAnsi="Aptos"/>
          <w:color w:val="241E1B"/>
          <w:sz w:val="21"/>
        </w:rPr>
        <w:t>The transaction processes an atomic borrow or return action</w:t>
      </w:r>
    </w:p>
    <w:p>
      <w:pPr>
        <w:pStyle w:val="ListNumber"/>
        <w:spacing w:after="100"/>
      </w:pPr>
      <w:r>
        <w:rPr>
          <w:rFonts w:ascii="Aptos" w:hAnsi="Aptos"/>
          <w:b/>
          <w:color w:val="743951"/>
          <w:sz w:val="21"/>
        </w:rPr>
        <w:t xml:space="preserve">Monitor. </w:t>
      </w:r>
      <w:r>
        <w:rPr>
          <w:rFonts w:ascii="Aptos" w:hAnsi="Aptos"/>
          <w:color w:val="241E1B"/>
          <w:sz w:val="21"/>
        </w:rPr>
        <w:t>Staff review current loans and transaction history</w:t>
      </w:r>
    </w:p>
    <w:p>
      <w:pPr>
        <w:pStyle w:val="Heading2"/>
      </w:pPr>
      <w:r>
        <w:t>2.9 Problem reporting workflow</w:t>
      </w:r>
    </w:p>
    <w:p>
      <w:pPr>
        <w:pStyle w:val="ListNumber"/>
        <w:spacing w:after="100"/>
      </w:pPr>
      <w:r>
        <w:rPr>
          <w:rFonts w:ascii="Aptos" w:hAnsi="Aptos"/>
          <w:b/>
          <w:color w:val="743951"/>
          <w:sz w:val="21"/>
        </w:rPr>
        <w:t xml:space="preserve">Describe the issue. </w:t>
      </w:r>
      <w:r>
        <w:rPr>
          <w:rFonts w:ascii="Aptos" w:hAnsi="Aptos"/>
          <w:color w:val="241E1B"/>
          <w:sz w:val="21"/>
        </w:rPr>
        <w:t>Select a category and provide subject, expected behaviour, actual behaviour, and reproduction steps</w:t>
      </w:r>
    </w:p>
    <w:p>
      <w:pPr>
        <w:pStyle w:val="ListNumber"/>
        <w:spacing w:after="100"/>
      </w:pPr>
      <w:r>
        <w:rPr>
          <w:rFonts w:ascii="Aptos" w:hAnsi="Aptos"/>
          <w:b/>
          <w:color w:val="743951"/>
          <w:sz w:val="21"/>
        </w:rPr>
        <w:t xml:space="preserve">Attach a screenshot. </w:t>
      </w:r>
      <w:r>
        <w:rPr>
          <w:rFonts w:ascii="Aptos" w:hAnsi="Aptos"/>
          <w:color w:val="241E1B"/>
          <w:sz w:val="21"/>
        </w:rPr>
        <w:t>Include a clear image without unnecessary private information</w:t>
      </w:r>
    </w:p>
    <w:p>
      <w:pPr>
        <w:pStyle w:val="ListNumber"/>
        <w:spacing w:after="100"/>
      </w:pPr>
      <w:r>
        <w:rPr>
          <w:rFonts w:ascii="Aptos" w:hAnsi="Aptos"/>
          <w:b/>
          <w:color w:val="743951"/>
          <w:sz w:val="21"/>
        </w:rPr>
        <w:t xml:space="preserve">Submit. </w:t>
      </w:r>
      <w:r>
        <w:rPr>
          <w:rFonts w:ascii="Aptos" w:hAnsi="Aptos"/>
          <w:color w:val="241E1B"/>
          <w:sz w:val="21"/>
        </w:rPr>
        <w:t>The report is stored and delivery to the configured administrator is attempted</w:t>
      </w:r>
    </w:p>
    <w:p>
      <w:pPr>
        <w:pStyle w:val="ListNumber"/>
        <w:spacing w:after="100"/>
      </w:pPr>
      <w:r>
        <w:rPr>
          <w:rFonts w:ascii="Aptos" w:hAnsi="Aptos"/>
          <w:b/>
          <w:color w:val="743951"/>
          <w:sz w:val="21"/>
        </w:rPr>
        <w:t xml:space="preserve">Triage. </w:t>
      </w:r>
      <w:r>
        <w:rPr>
          <w:rFonts w:ascii="Aptos" w:hAnsi="Aptos"/>
          <w:color w:val="241E1B"/>
          <w:sz w:val="21"/>
        </w:rPr>
        <w:t>System administrators update status and notes</w:t>
      </w:r>
    </w:p>
    <w:p>
      <w:pPr>
        <w:pStyle w:val="ListNumber"/>
        <w:spacing w:after="100"/>
      </w:pPr>
      <w:r>
        <w:rPr>
          <w:rFonts w:ascii="Aptos" w:hAnsi="Aptos"/>
          <w:b/>
          <w:color w:val="743951"/>
          <w:sz w:val="21"/>
        </w:rPr>
        <w:t xml:space="preserve">Notify. </w:t>
      </w:r>
      <w:r>
        <w:rPr>
          <w:rFonts w:ascii="Aptos" w:hAnsi="Aptos"/>
          <w:color w:val="241E1B"/>
          <w:sz w:val="21"/>
        </w:rPr>
        <w:t>Push and email delivery status is recorded where configured</w:t>
      </w:r>
    </w:p>
    <w:p>
      <w:r>
        <w:br w:type="page"/>
      </w:r>
    </w:p>
    <w:p>
      <w:pPr>
        <w:spacing w:after="60"/>
      </w:pPr>
      <w:r>
        <w:rPr>
          <w:rFonts w:ascii="Aptos" w:hAnsi="Aptos"/>
          <w:b/>
          <w:color w:val="A8567B"/>
          <w:sz w:val="18"/>
        </w:rPr>
        <w:t>PART 3</w:t>
      </w:r>
    </w:p>
    <w:p>
      <w:pPr>
        <w:pStyle w:val="Heading1"/>
        <w:spacing w:before="0"/>
      </w:pPr>
      <w:r>
        <w:rPr>
          <w:rFonts w:ascii="Aptos" w:hAnsi="Aptos"/>
          <w:b/>
          <w:color w:val="743951"/>
          <w:sz w:val="44"/>
        </w:rPr>
        <w:t>Coding explanation</w:t>
      </w:r>
    </w:p>
    <w:p>
      <w:pPr>
        <w:spacing w:after="360"/>
      </w:pPr>
      <w:r>
        <w:rPr>
          <w:rFonts w:ascii="Aptos" w:hAnsi="Aptos"/>
          <w:b w:val="0"/>
          <w:i/>
          <w:color w:val="786D66"/>
          <w:sz w:val="23"/>
        </w:rPr>
        <w:t>How the Laravel application is organized and how a request becomes a result</w:t>
      </w:r>
    </w:p>
    <w:p>
      <w:pPr>
        <w:pStyle w:val="Heading2"/>
      </w:pPr>
      <w:r>
        <w:t>3.1 Technology stack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120"/>
      </w:tblPr>
      <w:tblGrid>
        <w:gridCol w:w="1850"/>
        <w:gridCol w:w="7510"/>
      </w:tblGrid>
      <w:tr>
        <w:trPr>
          <w:tblHeader w:val="true"/>
        </w:trPr>
        <w:tc>
          <w:tcPr>
            <w:tcW w:type="dxa" w:w="1850"/>
            <w:shd w:fill="7439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Layer</w:t>
            </w:r>
          </w:p>
        </w:tc>
        <w:tc>
          <w:tcPr>
            <w:tcW w:type="dxa" w:w="7510"/>
            <w:shd w:fill="7439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Implementation</w:t>
            </w:r>
          </w:p>
        </w:tc>
      </w:tr>
      <w:tr>
        <w:tc>
          <w:tcPr>
            <w:tcW w:type="dxa" w:w="1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Backend</w:t>
            </w:r>
          </w:p>
        </w:tc>
        <w:tc>
          <w:tcPr>
            <w:tcW w:type="dxa" w:w="75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PHP 8.3+ and Laravel 13</w:t>
            </w:r>
          </w:p>
        </w:tc>
      </w:tr>
      <w:tr>
        <w:tc>
          <w:tcPr>
            <w:tcW w:type="dxa" w:w="185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Database</w:t>
            </w:r>
          </w:p>
        </w:tc>
        <w:tc>
          <w:tcPr>
            <w:tcW w:type="dxa" w:w="751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MySQL/MariaDB relational storage with migrations and imported baseline schema</w:t>
            </w:r>
          </w:p>
        </w:tc>
      </w:tr>
      <w:tr>
        <w:tc>
          <w:tcPr>
            <w:tcW w:type="dxa" w:w="1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Frontend</w:t>
            </w:r>
          </w:p>
        </w:tc>
        <w:tc>
          <w:tcPr>
            <w:tcW w:type="dxa" w:w="75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Blade views, Vite 8 assets, CSS design system, JavaScript interactions, and Tailwind CSS 4 tooling</w:t>
            </w:r>
          </w:p>
        </w:tc>
      </w:tr>
      <w:tr>
        <w:tc>
          <w:tcPr>
            <w:tcW w:type="dxa" w:w="185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PWA</w:t>
            </w:r>
          </w:p>
        </w:tc>
        <w:tc>
          <w:tcPr>
            <w:tcW w:type="dxa" w:w="751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Responsive application shell, service worker, install guidance, push subscription, and notification feed</w:t>
            </w:r>
          </w:p>
        </w:tc>
      </w:tr>
      <w:tr>
        <w:tc>
          <w:tcPr>
            <w:tcW w:type="dxa" w:w="1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AI</w:t>
            </w:r>
          </w:p>
        </w:tc>
        <w:tc>
          <w:tcPr>
            <w:tcW w:type="dxa" w:w="75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Provider abstraction with Gemini configuration, role-aware prompts, authorized system context, file extraction, and stored conversations</w:t>
            </w:r>
          </w:p>
        </w:tc>
      </w:tr>
      <w:tr>
        <w:tc>
          <w:tcPr>
            <w:tcW w:type="dxa" w:w="185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Files</w:t>
            </w:r>
          </w:p>
        </w:tc>
        <w:tc>
          <w:tcPr>
            <w:tcW w:type="dxa" w:w="751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Public assets plus private authenticated storage for sensitive student material</w:t>
            </w:r>
          </w:p>
        </w:tc>
      </w:tr>
    </w:tbl>
    <w:p>
      <w:pPr>
        <w:spacing w:after="0"/>
      </w:pPr>
    </w:p>
    <w:p>
      <w:pPr>
        <w:pStyle w:val="Heading2"/>
      </w:pPr>
      <w:r>
        <w:t>3.2 Request lifecycle</w:t>
      </w:r>
    </w:p>
    <w:p>
      <w:pPr>
        <w:pStyle w:val="ListNumber"/>
        <w:spacing w:after="100"/>
      </w:pPr>
      <w:r>
        <w:rPr>
          <w:rFonts w:ascii="Aptos" w:hAnsi="Aptos"/>
          <w:b/>
          <w:color w:val="743951"/>
          <w:sz w:val="21"/>
        </w:rPr>
        <w:t xml:space="preserve">Route. </w:t>
      </w:r>
      <w:r>
        <w:rPr>
          <w:rFonts w:ascii="Aptos" w:hAnsi="Aptos"/>
          <w:color w:val="241E1B"/>
          <w:sz w:val="21"/>
        </w:rPr>
        <w:t>routes/web.php maps the HTTP method and URL to a controller or closure and assigns middleware and a route name</w:t>
      </w:r>
    </w:p>
    <w:p>
      <w:pPr>
        <w:pStyle w:val="ListNumber"/>
        <w:spacing w:after="100"/>
      </w:pPr>
      <w:r>
        <w:rPr>
          <w:rFonts w:ascii="Aptos" w:hAnsi="Aptos"/>
          <w:b/>
          <w:color w:val="743951"/>
          <w:sz w:val="21"/>
        </w:rPr>
        <w:t xml:space="preserve">Middleware. </w:t>
      </w:r>
      <w:r>
        <w:rPr>
          <w:rFonts w:ascii="Aptos" w:hAnsi="Aptos"/>
          <w:color w:val="241E1B"/>
          <w:sz w:val="21"/>
        </w:rPr>
        <w:t>Authentication, active-session checks, scope/ability checks, lecturer page gates, and feature flags reject unauthorized requests</w:t>
      </w:r>
    </w:p>
    <w:p>
      <w:pPr>
        <w:pStyle w:val="ListNumber"/>
        <w:spacing w:after="100"/>
      </w:pPr>
      <w:r>
        <w:rPr>
          <w:rFonts w:ascii="Aptos" w:hAnsi="Aptos"/>
          <w:b/>
          <w:color w:val="743951"/>
          <w:sz w:val="21"/>
        </w:rPr>
        <w:t xml:space="preserve">Controller. </w:t>
      </w:r>
      <w:r>
        <w:rPr>
          <w:rFonts w:ascii="Aptos" w:hAnsi="Aptos"/>
          <w:color w:val="241E1B"/>
          <w:sz w:val="21"/>
        </w:rPr>
        <w:t>The controller validates input, calls application services/helpers, reads or changes data, records audit information, and returns a view, redirect, file, or JSON response</w:t>
      </w:r>
    </w:p>
    <w:p>
      <w:pPr>
        <w:pStyle w:val="ListNumber"/>
        <w:spacing w:after="100"/>
      </w:pPr>
      <w:r>
        <w:rPr>
          <w:rFonts w:ascii="Aptos" w:hAnsi="Aptos"/>
          <w:b/>
          <w:color w:val="743951"/>
          <w:sz w:val="21"/>
        </w:rPr>
        <w:t xml:space="preserve">Data layer. </w:t>
      </w:r>
      <w:r>
        <w:rPr>
          <w:rFonts w:ascii="Aptos" w:hAnsi="Aptos"/>
          <w:color w:val="241E1B"/>
          <w:sz w:val="21"/>
        </w:rPr>
        <w:t>Query Builder and supporting services use the database schema and transactions where consistency matters</w:t>
      </w:r>
    </w:p>
    <w:p>
      <w:pPr>
        <w:pStyle w:val="ListNumber"/>
        <w:spacing w:after="100"/>
      </w:pPr>
      <w:r>
        <w:rPr>
          <w:rFonts w:ascii="Aptos" w:hAnsi="Aptos"/>
          <w:b/>
          <w:color w:val="743951"/>
          <w:sz w:val="21"/>
        </w:rPr>
        <w:t xml:space="preserve">Presentation. </w:t>
      </w:r>
      <w:r>
        <w:rPr>
          <w:rFonts w:ascii="Aptos" w:hAnsi="Aptos"/>
          <w:color w:val="241E1B"/>
          <w:sz w:val="21"/>
        </w:rPr>
        <w:t>Blade templates render server data; JavaScript adds chat, scanner, PWA, notification, and responsive interactions</w:t>
      </w:r>
    </w:p>
    <w:p>
      <w:pPr>
        <w:pStyle w:val="ListNumber"/>
        <w:spacing w:after="100"/>
      </w:pPr>
      <w:r>
        <w:rPr>
          <w:rFonts w:ascii="Aptos" w:hAnsi="Aptos"/>
          <w:b/>
          <w:color w:val="743951"/>
          <w:sz w:val="21"/>
        </w:rPr>
        <w:t xml:space="preserve">Verification. </w:t>
      </w:r>
      <w:r>
        <w:rPr>
          <w:rFonts w:ascii="Aptos" w:hAnsi="Aptos"/>
          <w:color w:val="241E1B"/>
          <w:sz w:val="21"/>
        </w:rPr>
        <w:t>Feature tests, PHP linting, route inspection, frontend builds, and UAT validate the result</w:t>
      </w:r>
    </w:p>
    <w:p>
      <w:pPr>
        <w:pStyle w:val="Heading2"/>
      </w:pPr>
      <w:r>
        <w:t>3.3 Main code map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120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7439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Path</w:t>
            </w:r>
          </w:p>
        </w:tc>
        <w:tc>
          <w:tcPr>
            <w:tcW w:type="dxa" w:w="6660"/>
            <w:shd w:fill="7439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routes/web.php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Named public, shared, student, lecturer, and administration endpoints</w:t>
            </w:r>
          </w:p>
        </w:tc>
      </w:tr>
      <w:tr>
        <w:tc>
          <w:tcPr>
            <w:tcW w:type="dxa" w:w="270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routes/console.php</w:t>
            </w:r>
          </w:p>
        </w:tc>
        <w:tc>
          <w:tcPr>
            <w:tcW w:type="dxa" w:w="666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Scheduled reminders and AI-conversation retention cleanup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app/Http/Controllers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Request validation and orchestration grouped by Shared, Student, Auth, and Admin</w:t>
            </w:r>
          </w:p>
        </w:tc>
      </w:tr>
      <w:tr>
        <w:tc>
          <w:tcPr>
            <w:tcW w:type="dxa" w:w="270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app/Services and app/Support</w:t>
            </w:r>
          </w:p>
        </w:tc>
        <w:tc>
          <w:tcPr>
            <w:tcW w:type="dxa" w:w="666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Reusable session, permissions, AI, feature, settings, and operational logic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resources/views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Blade pages, reusable layouts, responsive components, and role navigation</w:t>
            </w:r>
          </w:p>
        </w:tc>
      </w:tr>
      <w:tr>
        <w:tc>
          <w:tcPr>
            <w:tcW w:type="dxa" w:w="270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resources/css and resources/js</w:t>
            </w:r>
          </w:p>
        </w:tc>
        <w:tc>
          <w:tcPr>
            <w:tcW w:type="dxa" w:w="666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Design tokens, PWA/mobile behaviour, chat UI, scanners, and client interactions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database/migrations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Incremental schema changes and indexes</w:t>
            </w:r>
          </w:p>
        </w:tc>
      </w:tr>
      <w:tr>
        <w:tc>
          <w:tcPr>
            <w:tcW w:type="dxa" w:w="270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lang/en.json and lang/ms.json</w:t>
            </w:r>
          </w:p>
        </w:tc>
        <w:tc>
          <w:tcPr>
            <w:tcW w:type="dxa" w:w="666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English/Malay display translations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tests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Regression and authorization coverage</w:t>
            </w:r>
          </w:p>
        </w:tc>
      </w:tr>
      <w:tr>
        <w:tc>
          <w:tcPr>
            <w:tcW w:type="dxa" w:w="270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docs and Document Context</w:t>
            </w:r>
          </w:p>
        </w:tc>
        <w:tc>
          <w:tcPr>
            <w:tcW w:type="dxa" w:w="666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System, architecture, operations, UAT, and product references</w:t>
            </w:r>
          </w:p>
        </w:tc>
      </w:tr>
    </w:tbl>
    <w:p>
      <w:pPr>
        <w:spacing w:after="0"/>
      </w:pPr>
    </w:p>
    <w:p>
      <w:pPr>
        <w:pStyle w:val="Heading2"/>
      </w:pPr>
      <w:r>
        <w:t>3.4 Authentication and authorization</w:t>
      </w:r>
    </w:p>
    <w:p>
      <w:r>
        <w:t>StudentEdge uses role-aware sessions and centralized ability checks. Route middleware provides the first gate; controllers must still enforce ownership and sensitive-data rules before reading, exporting, downloading, or mutating records.</w:t>
      </w:r>
    </w:p>
    <w:p>
      <w:pPr>
        <w:pStyle w:val="ListBullet"/>
        <w:spacing w:after="60" w:line="276" w:lineRule="auto"/>
      </w:pPr>
      <w:r>
        <w:rPr>
          <w:rFonts w:ascii="Aptos" w:hAnsi="Aptos"/>
          <w:color w:val="241E1B"/>
          <w:sz w:val="20"/>
        </w:rPr>
        <w:t>Authentication answers who the user is; authorization answers what the user is allowed to do.</w:t>
      </w:r>
    </w:p>
    <w:p>
      <w:pPr>
        <w:pStyle w:val="ListBullet"/>
        <w:spacing w:after="60" w:line="276" w:lineRule="auto"/>
      </w:pPr>
      <w:r>
        <w:rPr>
          <w:rFonts w:ascii="Aptos" w:hAnsi="Aptos"/>
          <w:color w:val="241E1B"/>
          <w:sz w:val="20"/>
        </w:rPr>
        <w:t>Role names do not replace granular abilities. Student list, sensitive detail, export, mutation, scholarship, discipline, movement, document, staff, and system permissions remain separable.</w:t>
      </w:r>
    </w:p>
    <w:p>
      <w:pPr>
        <w:pStyle w:val="ListBullet"/>
        <w:spacing w:after="60" w:line="276" w:lineRule="auto"/>
      </w:pPr>
      <w:r>
        <w:rPr>
          <w:rFonts w:ascii="Aptos" w:hAnsi="Aptos"/>
          <w:color w:val="241E1B"/>
          <w:sz w:val="20"/>
        </w:rPr>
        <w:t>Lecturer access combines account role, category/scope, enabled-page configuration, and global feature flags.</w:t>
      </w:r>
    </w:p>
    <w:p>
      <w:pPr>
        <w:pStyle w:val="ListBullet"/>
        <w:spacing w:after="60" w:line="276" w:lineRule="auto"/>
      </w:pPr>
      <w:r>
        <w:rPr>
          <w:rFonts w:ascii="Aptos" w:hAnsi="Aptos"/>
          <w:color w:val="241E1B"/>
          <w:sz w:val="20"/>
        </w:rPr>
        <w:t>Private downloads must check both authentication and ownership/ability before streaming a file.</w:t>
      </w:r>
    </w:p>
    <w:p>
      <w:pPr>
        <w:pStyle w:val="Heading2"/>
      </w:pPr>
      <w:r>
        <w:t>3.5 Database and consistency</w:t>
      </w:r>
    </w:p>
    <w:p>
      <w:pPr>
        <w:pStyle w:val="ListBullet"/>
        <w:spacing w:after="60" w:line="276" w:lineRule="auto"/>
      </w:pPr>
      <w:r>
        <w:rPr>
          <w:rFonts w:ascii="Aptos" w:hAnsi="Aptos"/>
          <w:color w:val="241E1B"/>
          <w:sz w:val="20"/>
        </w:rPr>
        <w:t>The imported StudentEdge.sql baseline and incremental Laravel migrations together define the current database.</w:t>
      </w:r>
    </w:p>
    <w:p>
      <w:pPr>
        <w:pStyle w:val="ListBullet"/>
        <w:spacing w:after="60" w:line="276" w:lineRule="auto"/>
      </w:pPr>
      <w:r>
        <w:rPr>
          <w:rFonts w:ascii="Aptos" w:hAnsi="Aptos"/>
          <w:color w:val="241E1B"/>
          <w:sz w:val="20"/>
        </w:rPr>
        <w:t>Use transactions for paired or stateful operations such as QR borrow/return and movement transitions.</w:t>
      </w:r>
    </w:p>
    <w:p>
      <w:pPr>
        <w:pStyle w:val="ListBullet"/>
        <w:spacing w:after="60" w:line="276" w:lineRule="auto"/>
      </w:pPr>
      <w:r>
        <w:rPr>
          <w:rFonts w:ascii="Aptos" w:hAnsi="Aptos"/>
          <w:color w:val="241E1B"/>
          <w:sz w:val="20"/>
        </w:rPr>
        <w:t>Large feeds use ordered cursor pagination, JSON batches, near-bottom loading, and DOM virtualization.</w:t>
      </w:r>
    </w:p>
    <w:p>
      <w:pPr>
        <w:pStyle w:val="ListBullet"/>
        <w:spacing w:after="60" w:line="276" w:lineRule="auto"/>
      </w:pPr>
      <w:r>
        <w:rPr>
          <w:rFonts w:ascii="Aptos" w:hAnsi="Aptos"/>
          <w:color w:val="241E1B"/>
          <w:sz w:val="20"/>
        </w:rPr>
        <w:t>Indexes support movement feeds, student profile lookup, and name-based student lists.</w:t>
      </w:r>
    </w:p>
    <w:p>
      <w:pPr>
        <w:pStyle w:val="ListBullet"/>
        <w:spacing w:after="60" w:line="276" w:lineRule="auto"/>
      </w:pPr>
      <w:r>
        <w:rPr>
          <w:rFonts w:ascii="Aptos" w:hAnsi="Aptos"/>
          <w:color w:val="241E1B"/>
          <w:sz w:val="20"/>
        </w:rPr>
        <w:t>Audit logs record sensitive administrative actions; production troubleshooting should preserve this evidence.</w:t>
      </w:r>
    </w:p>
    <w:p>
      <w:pPr>
        <w:pStyle w:val="Heading2"/>
      </w:pPr>
      <w:r>
        <w:t>3.6 AI Helper implementation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120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shd w:fill="7439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7160"/>
            <w:shd w:fill="7439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Behaviour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Role entry points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Separate student, lecturer, and administrator routes apply different prompts, scopes, and feature gates.</w:t>
            </w:r>
          </w:p>
        </w:tc>
      </w:tr>
      <w:tr>
        <w:tc>
          <w:tcPr>
            <w:tcW w:type="dxa" w:w="220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Context</w:t>
            </w:r>
          </w:p>
        </w:tc>
        <w:tc>
          <w:tcPr>
            <w:tcW w:type="dxa" w:w="716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The server builds only the system context authorized for the current account.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Attachments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PDF/image/CSV/XLSX extraction is sent as a source context distinct from live system data.</w:t>
            </w:r>
          </w:p>
        </w:tc>
      </w:tr>
      <w:tr>
        <w:tc>
          <w:tcPr>
            <w:tcW w:type="dxa" w:w="220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Conversation storage</w:t>
            </w:r>
          </w:p>
        </w:tc>
        <w:tc>
          <w:tcPr>
            <w:tcW w:type="dxa" w:w="716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Messages and titles are stored per account, can be reopened/renamed/deleted, and expire after inactivity.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Editing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Authorized admin/lecturer users can edit generated messages; selected text can be sent back for focused revision.</w:t>
            </w:r>
          </w:p>
        </w:tc>
      </w:tr>
      <w:tr>
        <w:tc>
          <w:tcPr>
            <w:tcW w:type="dxa" w:w="220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Concurrency</w:t>
            </w:r>
          </w:p>
        </w:tc>
        <w:tc>
          <w:tcPr>
            <w:tcW w:type="dxa" w:w="716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The interface disables/queues regeneration while a request is active to limit duplicate output.</w:t>
            </w:r>
          </w:p>
        </w:tc>
      </w:tr>
    </w:tbl>
    <w:p>
      <w:pPr>
        <w:spacing w:after="0"/>
      </w:pPr>
    </w:p>
    <w:p>
      <w:pPr>
        <w:pStyle w:val="Heading2"/>
      </w:pPr>
      <w:r>
        <w:t>3.7 File and upload security</w:t>
      </w:r>
    </w:p>
    <w:p>
      <w:pPr>
        <w:pStyle w:val="ListBullet"/>
        <w:spacing w:after="60" w:line="276" w:lineRule="auto"/>
      </w:pPr>
      <w:r>
        <w:rPr>
          <w:rFonts w:ascii="Aptos" w:hAnsi="Aptos"/>
          <w:color w:val="241E1B"/>
          <w:sz w:val="20"/>
        </w:rPr>
        <w:t>Validate extension, MIME type, size, and ownership on the server; browser accept attributes are only a convenience.</w:t>
      </w:r>
    </w:p>
    <w:p>
      <w:pPr>
        <w:pStyle w:val="ListBullet"/>
        <w:spacing w:after="60" w:line="276" w:lineRule="auto"/>
      </w:pPr>
      <w:r>
        <w:rPr>
          <w:rFonts w:ascii="Aptos" w:hAnsi="Aptos"/>
          <w:color w:val="241E1B"/>
          <w:sz w:val="20"/>
        </w:rPr>
        <w:t>Generate storage filenames rather than trusting the supplied filename.</w:t>
      </w:r>
    </w:p>
    <w:p>
      <w:pPr>
        <w:pStyle w:val="ListBullet"/>
        <w:spacing w:after="60" w:line="276" w:lineRule="auto"/>
      </w:pPr>
      <w:r>
        <w:rPr>
          <w:rFonts w:ascii="Aptos" w:hAnsi="Aptos"/>
          <w:color w:val="241E1B"/>
          <w:sz w:val="20"/>
        </w:rPr>
        <w:t>Keep sensitive files in private storage and stream them only after authorization.</w:t>
      </w:r>
    </w:p>
    <w:p>
      <w:pPr>
        <w:pStyle w:val="ListBullet"/>
        <w:spacing w:after="60" w:line="276" w:lineRule="auto"/>
      </w:pPr>
      <w:r>
        <w:rPr>
          <w:rFonts w:ascii="Aptos" w:hAnsi="Aptos"/>
          <w:color w:val="241E1B"/>
          <w:sz w:val="20"/>
        </w:rPr>
        <w:t>Never cache authenticated pages or private downloads in the PWA service worker.</w:t>
      </w:r>
    </w:p>
    <w:p>
      <w:pPr>
        <w:pStyle w:val="ListBullet"/>
        <w:spacing w:after="60" w:line="276" w:lineRule="auto"/>
      </w:pPr>
      <w:r>
        <w:rPr>
          <w:rFonts w:ascii="Aptos" w:hAnsi="Aptos"/>
          <w:color w:val="241E1B"/>
          <w:sz w:val="20"/>
        </w:rPr>
        <w:t>Treat spreadsheet cells and extracted document text as untrusted input when displayed or used in prompts.</w:t>
      </w:r>
    </w:p>
    <w:p>
      <w:pPr>
        <w:pStyle w:val="Heading2"/>
      </w:pPr>
      <w:r>
        <w:t>3.8 Adding a new function safely</w:t>
      </w:r>
    </w:p>
    <w:p>
      <w:pPr>
        <w:pStyle w:val="ListNumber"/>
        <w:spacing w:after="100"/>
      </w:pPr>
      <w:r>
        <w:rPr>
          <w:rFonts w:ascii="Aptos" w:hAnsi="Aptos"/>
          <w:b/>
          <w:color w:val="743951"/>
          <w:sz w:val="21"/>
        </w:rPr>
        <w:t xml:space="preserve">Define the requirement. </w:t>
      </w:r>
      <w:r>
        <w:rPr>
          <w:rFonts w:ascii="Aptos" w:hAnsi="Aptos"/>
          <w:color w:val="241E1B"/>
          <w:sz w:val="21"/>
        </w:rPr>
        <w:t>Identify the owner, permitted roles, data, validation, success state, and failure states</w:t>
      </w:r>
    </w:p>
    <w:p>
      <w:pPr>
        <w:pStyle w:val="ListNumber"/>
        <w:spacing w:after="100"/>
      </w:pPr>
      <w:r>
        <w:rPr>
          <w:rFonts w:ascii="Aptos" w:hAnsi="Aptos"/>
          <w:b/>
          <w:color w:val="743951"/>
          <w:sz w:val="21"/>
        </w:rPr>
        <w:t xml:space="preserve">Add authorization. </w:t>
      </w:r>
      <w:r>
        <w:rPr>
          <w:rFonts w:ascii="Aptos" w:hAnsi="Aptos"/>
          <w:color w:val="241E1B"/>
          <w:sz w:val="21"/>
        </w:rPr>
        <w:t>Create or reuse the smallest relevant ability and apply middleware plus controller checks</w:t>
      </w:r>
    </w:p>
    <w:p>
      <w:pPr>
        <w:pStyle w:val="ListNumber"/>
        <w:spacing w:after="100"/>
      </w:pPr>
      <w:r>
        <w:rPr>
          <w:rFonts w:ascii="Aptos" w:hAnsi="Aptos"/>
          <w:b/>
          <w:color w:val="743951"/>
          <w:sz w:val="21"/>
        </w:rPr>
        <w:t xml:space="preserve">Implement data changes. </w:t>
      </w:r>
      <w:r>
        <w:rPr>
          <w:rFonts w:ascii="Aptos" w:hAnsi="Aptos"/>
          <w:color w:val="241E1B"/>
          <w:sz w:val="21"/>
        </w:rPr>
        <w:t>Add a migration/index if required and preserve existing records</w:t>
      </w:r>
    </w:p>
    <w:p>
      <w:pPr>
        <w:pStyle w:val="ListNumber"/>
        <w:spacing w:after="100"/>
      </w:pPr>
      <w:r>
        <w:rPr>
          <w:rFonts w:ascii="Aptos" w:hAnsi="Aptos"/>
          <w:b/>
          <w:color w:val="743951"/>
          <w:sz w:val="21"/>
        </w:rPr>
        <w:t xml:space="preserve">Create the route and controller. </w:t>
      </w:r>
      <w:r>
        <w:rPr>
          <w:rFonts w:ascii="Aptos" w:hAnsi="Aptos"/>
          <w:color w:val="241E1B"/>
          <w:sz w:val="21"/>
        </w:rPr>
        <w:t>Use a named route, explicit validation, and auditable operations</w:t>
      </w:r>
    </w:p>
    <w:p>
      <w:pPr>
        <w:pStyle w:val="ListNumber"/>
        <w:spacing w:after="100"/>
      </w:pPr>
      <w:r>
        <w:rPr>
          <w:rFonts w:ascii="Aptos" w:hAnsi="Aptos"/>
          <w:b/>
          <w:color w:val="743951"/>
          <w:sz w:val="21"/>
        </w:rPr>
        <w:t xml:space="preserve">Build the interface. </w:t>
      </w:r>
      <w:r>
        <w:rPr>
          <w:rFonts w:ascii="Aptos" w:hAnsi="Aptos"/>
          <w:color w:val="241E1B"/>
          <w:sz w:val="21"/>
        </w:rPr>
        <w:t>Support responsive layouts, light/dark themes, Malay/English labels, keyboard access, and reduced motion</w:t>
      </w:r>
    </w:p>
    <w:p>
      <w:pPr>
        <w:pStyle w:val="ListNumber"/>
        <w:spacing w:after="100"/>
      </w:pPr>
      <w:r>
        <w:rPr>
          <w:rFonts w:ascii="Aptos" w:hAnsi="Aptos"/>
          <w:b/>
          <w:color w:val="743951"/>
          <w:sz w:val="21"/>
        </w:rPr>
        <w:t xml:space="preserve">Test. </w:t>
      </w:r>
      <w:r>
        <w:rPr>
          <w:rFonts w:ascii="Aptos" w:hAnsi="Aptos"/>
          <w:color w:val="241E1B"/>
          <w:sz w:val="21"/>
        </w:rPr>
        <w:t>Cover allowed access, forbidden access, validation, ownership, success, failure, and relevant performance paths</w:t>
      </w:r>
    </w:p>
    <w:p>
      <w:pPr>
        <w:pStyle w:val="ListNumber"/>
        <w:spacing w:after="100"/>
      </w:pPr>
      <w:r>
        <w:rPr>
          <w:rFonts w:ascii="Aptos" w:hAnsi="Aptos"/>
          <w:b/>
          <w:color w:val="743951"/>
          <w:sz w:val="21"/>
        </w:rPr>
        <w:t xml:space="preserve">Document and deploy. </w:t>
      </w:r>
      <w:r>
        <w:rPr>
          <w:rFonts w:ascii="Aptos" w:hAnsi="Aptos"/>
          <w:color w:val="241E1B"/>
          <w:sz w:val="21"/>
        </w:rPr>
        <w:t>Update function/system documentation, build assets, migrate safely, clear caches, and perform UAT</w:t>
      </w:r>
    </w:p>
    <w:p>
      <w:r>
        <w:br w:type="page"/>
      </w:r>
    </w:p>
    <w:p>
      <w:pPr>
        <w:spacing w:after="60"/>
      </w:pPr>
      <w:r>
        <w:rPr>
          <w:rFonts w:ascii="Aptos" w:hAnsi="Aptos"/>
          <w:b/>
          <w:color w:val="A8567B"/>
          <w:sz w:val="18"/>
        </w:rPr>
        <w:t>PART 4</w:t>
      </w:r>
    </w:p>
    <w:p>
      <w:pPr>
        <w:pStyle w:val="Heading1"/>
        <w:spacing w:before="0"/>
      </w:pPr>
      <w:r>
        <w:rPr>
          <w:rFonts w:ascii="Aptos" w:hAnsi="Aptos"/>
          <w:b/>
          <w:color w:val="743951"/>
          <w:sz w:val="44"/>
        </w:rPr>
        <w:t>Implemented function catalogue</w:t>
      </w:r>
    </w:p>
    <w:p>
      <w:pPr>
        <w:spacing w:after="360"/>
      </w:pPr>
      <w:r>
        <w:rPr>
          <w:rFonts w:ascii="Aptos" w:hAnsi="Aptos"/>
          <w:b w:val="0"/>
          <w:i/>
          <w:color w:val="786D66"/>
          <w:sz w:val="23"/>
        </w:rPr>
        <w:t>A role- and module-organized view of the current system</w:t>
      </w:r>
    </w:p>
    <w:p>
      <w:pPr>
        <w:pStyle w:val="Heading2"/>
      </w:pPr>
      <w:r>
        <w:t>4.1 Count and method</w:t>
      </w:r>
    </w:p>
    <w:p>
      <w:r>
        <w:t>The reproducible total is 185 named application endpoints. It excludes the unnamed framework health route and two framework storage routes. Internal helper methods, UI-only controls, and scheduled commands are described separately so the number is not artificially inflated.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120"/>
      </w:tblPr>
      <w:tblGrid>
        <w:gridCol w:w="6500"/>
        <w:gridCol w:w="2860"/>
      </w:tblGrid>
      <w:tr>
        <w:trPr>
          <w:tblHeader w:val="true"/>
        </w:trPr>
        <w:tc>
          <w:tcPr>
            <w:tcW w:type="dxa" w:w="6500"/>
            <w:shd w:fill="7439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Area</w:t>
            </w:r>
          </w:p>
        </w:tc>
        <w:tc>
          <w:tcPr>
            <w:tcW w:type="dxa" w:w="2860"/>
            <w:shd w:fill="7439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Count</w:t>
            </w:r>
          </w:p>
        </w:tc>
      </w:tr>
      <w:tr>
        <w:tc>
          <w:tcPr>
            <w:tcW w:type="dxa" w:w="6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Public and shared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26</w:t>
            </w:r>
          </w:p>
        </w:tc>
      </w:tr>
      <w:tr>
        <w:tc>
          <w:tcPr>
            <w:tcW w:type="dxa" w:w="650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Student</w:t>
            </w:r>
          </w:p>
        </w:tc>
        <w:tc>
          <w:tcPr>
            <w:tcW w:type="dxa" w:w="286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26</w:t>
            </w:r>
          </w:p>
        </w:tc>
      </w:tr>
      <w:tr>
        <w:tc>
          <w:tcPr>
            <w:tcW w:type="dxa" w:w="6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Lecturer AI Helper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7</w:t>
            </w:r>
          </w:p>
        </w:tc>
      </w:tr>
      <w:tr>
        <w:tc>
          <w:tcPr>
            <w:tcW w:type="dxa" w:w="650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Administration</w:t>
            </w:r>
          </w:p>
        </w:tc>
        <w:tc>
          <w:tcPr>
            <w:tcW w:type="dxa" w:w="286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126</w:t>
            </w:r>
          </w:p>
        </w:tc>
      </w:tr>
      <w:tr>
        <w:tc>
          <w:tcPr>
            <w:tcW w:type="dxa" w:w="6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Total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185</w:t>
            </w:r>
          </w:p>
        </w:tc>
      </w:tr>
    </w:tbl>
    <w:p>
      <w:pPr>
        <w:spacing w:after="0"/>
      </w:pPr>
    </w:p>
    <w:p>
      <w:pPr>
        <w:pStyle w:val="Heading2"/>
      </w:pPr>
      <w:r>
        <w:t>4.2 Public and shared functions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7439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7260"/>
            <w:shd w:fill="7439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Implemented capabilities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Home and overview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Public home page and live system overview</w:t>
            </w:r>
          </w:p>
        </w:tc>
      </w:tr>
      <w:tr>
        <w:tc>
          <w:tcPr>
            <w:tcW w:type="dxa" w:w="210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Authentication</w:t>
            </w:r>
          </w:p>
        </w:tc>
        <w:tc>
          <w:tcPr>
            <w:tcW w:type="dxa" w:w="726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Login, logout, forgot password, code verification, and password reset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Preferences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Locale, theme, account settings, and linked role-mode switching</w:t>
            </w:r>
          </w:p>
        </w:tc>
      </w:tr>
      <w:tr>
        <w:tc>
          <w:tcPr>
            <w:tcW w:type="dxa" w:w="210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Sessions</w:t>
            </w:r>
          </w:p>
        </w:tc>
        <w:tc>
          <w:tcPr>
            <w:tcW w:type="dxa" w:w="726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View active devices; revoke one or all other sessions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Notifications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Notification feed plus Web Push subscribe/unsubscribe</w:t>
            </w:r>
          </w:p>
        </w:tc>
      </w:tr>
      <w:tr>
        <w:tc>
          <w:tcPr>
            <w:tcW w:type="dxa" w:w="210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Support</w:t>
            </w:r>
          </w:p>
        </w:tc>
        <w:tc>
          <w:tcPr>
            <w:tcW w:type="dxa" w:w="726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Public and authenticated problem-report submission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Laptop public flow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Open QR borrowing form, check borrower identity, and submit borrowing/return action</w:t>
            </w:r>
          </w:p>
        </w:tc>
      </w:tr>
    </w:tbl>
    <w:p>
      <w:pPr>
        <w:spacing w:after="0"/>
      </w:pPr>
    </w:p>
    <w:p>
      <w:pPr>
        <w:pStyle w:val="Heading2"/>
      </w:pPr>
      <w:r>
        <w:t>4.3 Student functions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780"/>
        <w:gridCol w:w="6780"/>
      </w:tblGrid>
      <w:tr>
        <w:trPr>
          <w:tblHeader w:val="true"/>
        </w:trPr>
        <w:tc>
          <w:tcPr>
            <w:tcW w:type="dxa" w:w="1800"/>
            <w:shd w:fill="7439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780"/>
            <w:shd w:fill="7439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Count</w:t>
            </w:r>
          </w:p>
        </w:tc>
        <w:tc>
          <w:tcPr>
            <w:tcW w:type="dxa" w:w="6780"/>
            <w:shd w:fill="7439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Implemented capabilities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Dashboard</w:t>
            </w:r>
          </w:p>
        </w:tc>
        <w:tc>
          <w:tcPr>
            <w:tcW w:type="dxa" w:w="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1</w:t>
            </w:r>
          </w:p>
        </w:tc>
        <w:tc>
          <w:tcPr>
            <w:tcW w:type="dxa" w:w="6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Operational overview and role-specific notices</w:t>
            </w:r>
          </w:p>
        </w:tc>
      </w:tr>
      <w:tr>
        <w:tc>
          <w:tcPr>
            <w:tcW w:type="dxa" w:w="180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Profile</w:t>
            </w:r>
          </w:p>
        </w:tc>
        <w:tc>
          <w:tcPr>
            <w:tcW w:type="dxa" w:w="78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3</w:t>
            </w:r>
          </w:p>
        </w:tc>
        <w:tc>
          <w:tcPr>
            <w:tcW w:type="dxa" w:w="678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View/update profile and change password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Scholarship</w:t>
            </w:r>
          </w:p>
        </w:tc>
        <w:tc>
          <w:tcPr>
            <w:tcW w:type="dxa" w:w="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4</w:t>
            </w:r>
          </w:p>
        </w:tc>
        <w:tc>
          <w:tcPr>
            <w:tcW w:type="dxa" w:w="6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Records, announcements, declaration, and offer-letter submission</w:t>
            </w:r>
          </w:p>
        </w:tc>
      </w:tr>
      <w:tr>
        <w:tc>
          <w:tcPr>
            <w:tcW w:type="dxa" w:w="180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Discipline</w:t>
            </w:r>
          </w:p>
        </w:tc>
        <w:tc>
          <w:tcPr>
            <w:tcW w:type="dxa" w:w="78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5</w:t>
            </w:r>
          </w:p>
        </w:tc>
        <w:tc>
          <w:tcPr>
            <w:tcW w:type="dxa" w:w="678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Offenses, print view, fine receipt, rules, and announcements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Vehicle sticker</w:t>
            </w:r>
          </w:p>
        </w:tc>
        <w:tc>
          <w:tcPr>
            <w:tcW w:type="dxa" w:w="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2</w:t>
            </w:r>
          </w:p>
        </w:tc>
        <w:tc>
          <w:tcPr>
            <w:tcW w:type="dxa" w:w="6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List and submit application with evidence</w:t>
            </w:r>
          </w:p>
        </w:tc>
      </w:tr>
      <w:tr>
        <w:tc>
          <w:tcPr>
            <w:tcW w:type="dxa" w:w="180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Movement</w:t>
            </w:r>
          </w:p>
        </w:tc>
        <w:tc>
          <w:tcPr>
            <w:tcW w:type="dxa" w:w="78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3</w:t>
            </w:r>
          </w:p>
        </w:tc>
        <w:tc>
          <w:tcPr>
            <w:tcW w:type="dxa" w:w="678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History, scanner, and checkout/return submission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Documents</w:t>
            </w:r>
          </w:p>
        </w:tc>
        <w:tc>
          <w:tcPr>
            <w:tcW w:type="dxa" w:w="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4</w:t>
            </w:r>
          </w:p>
        </w:tc>
        <w:tc>
          <w:tcPr>
            <w:tcW w:type="dxa" w:w="6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List, upload, authenticated download, and delete own document</w:t>
            </w:r>
          </w:p>
        </w:tc>
      </w:tr>
      <w:tr>
        <w:tc>
          <w:tcPr>
            <w:tcW w:type="dxa" w:w="180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AI Helper</w:t>
            </w:r>
          </w:p>
        </w:tc>
        <w:tc>
          <w:tcPr>
            <w:tcW w:type="dxa" w:w="78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6</w:t>
            </w:r>
          </w:p>
        </w:tc>
        <w:tc>
          <w:tcPr>
            <w:tcW w:type="dxa" w:w="678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Chat, history loading, rename, individual deletion, and delete all</w:t>
            </w:r>
          </w:p>
        </w:tc>
      </w:tr>
    </w:tbl>
    <w:p>
      <w:pPr>
        <w:spacing w:after="0"/>
      </w:pPr>
    </w:p>
    <w:p>
      <w:pPr>
        <w:pStyle w:val="Heading2"/>
      </w:pPr>
      <w:r>
        <w:t>4.4 Lecturer functions</w:t>
      </w:r>
    </w:p>
    <w:p>
      <w:r>
        <w:t>Every lecturer receives only the functions allowed by the account's category, scope, enabled pages, and global feature flags. The dedicated AI Helper contributes seven named endpoints.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120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7439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Area</w:t>
            </w:r>
          </w:p>
        </w:tc>
        <w:tc>
          <w:tcPr>
            <w:tcW w:type="dxa" w:w="7460"/>
            <w:shd w:fill="7439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Capabilities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AI Helper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Open helper, ask, load conversation, rename, edit AI message, delete one, and delete all</w:t>
            </w:r>
          </w:p>
        </w:tc>
      </w:tr>
      <w:tr>
        <w:tc>
          <w:tcPr>
            <w:tcW w:type="dxa" w:w="190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Scholarship</w:t>
            </w:r>
          </w:p>
        </w:tc>
        <w:tc>
          <w:tcPr>
            <w:tcW w:type="dxa" w:w="746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Assigned scholarship pages and student lookup where enabled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Discipline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Assigned offense, rules, fine, announcement, or sticker pages where enabled</w:t>
            </w:r>
          </w:p>
        </w:tc>
      </w:tr>
      <w:tr>
        <w:tc>
          <w:tcPr>
            <w:tcW w:type="dxa" w:w="190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Movement</w:t>
            </w:r>
          </w:p>
        </w:tc>
        <w:tc>
          <w:tcPr>
            <w:tcW w:type="dxa" w:w="746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Assigned movement monitoring and reporting pages where enabled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Student data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Only the permitted lookup/list/detail/export ability; sensitive detail is separate</w:t>
            </w:r>
          </w:p>
        </w:tc>
      </w:tr>
    </w:tbl>
    <w:p>
      <w:pPr>
        <w:spacing w:after="0"/>
      </w:pPr>
    </w:p>
    <w:p>
      <w:pPr>
        <w:pStyle w:val="Heading2"/>
      </w:pPr>
      <w:r>
        <w:t>4.5 Administration functions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120"/>
      </w:tblPr>
      <w:tblGrid>
        <w:gridCol w:w="2200"/>
        <w:gridCol w:w="700"/>
        <w:gridCol w:w="6460"/>
      </w:tblGrid>
      <w:tr>
        <w:trPr>
          <w:tblHeader w:val="true"/>
        </w:trPr>
        <w:tc>
          <w:tcPr>
            <w:tcW w:type="dxa" w:w="2200"/>
            <w:shd w:fill="7439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700"/>
            <w:shd w:fill="7439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Count</w:t>
            </w:r>
          </w:p>
        </w:tc>
        <w:tc>
          <w:tcPr>
            <w:tcW w:type="dxa" w:w="6460"/>
            <w:shd w:fill="7439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Implemented capabilities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Dashboard and monitoring</w:t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2</w:t>
            </w:r>
          </w:p>
        </w:tc>
        <w:tc>
          <w:tcPr>
            <w:tcW w:type="dxa" w:w="6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Dashboard analytics and live system monitoring</w:t>
            </w:r>
          </w:p>
        </w:tc>
      </w:tr>
      <w:tr>
        <w:tc>
          <w:tcPr>
            <w:tcW w:type="dxa" w:w="220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Admin users</w:t>
            </w:r>
          </w:p>
        </w:tc>
        <w:tc>
          <w:tcPr>
            <w:tcW w:type="dxa" w:w="70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7</w:t>
            </w:r>
          </w:p>
        </w:tc>
        <w:tc>
          <w:tcPr>
            <w:tcW w:type="dxa" w:w="646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List/create/store/edit/update/reset password/delete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Staff accounts</w:t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8</w:t>
            </w:r>
          </w:p>
        </w:tc>
        <w:tc>
          <w:tcPr>
            <w:tcW w:type="dxa" w:w="6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CRUD, import, reset password, and lecturer page configuration</w:t>
            </w:r>
          </w:p>
        </w:tc>
      </w:tr>
      <w:tr>
        <w:tc>
          <w:tcPr>
            <w:tcW w:type="dxa" w:w="220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Guard accounts</w:t>
            </w:r>
          </w:p>
        </w:tc>
        <w:tc>
          <w:tcPr>
            <w:tcW w:type="dxa" w:w="70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7</w:t>
            </w:r>
          </w:p>
        </w:tc>
        <w:tc>
          <w:tcPr>
            <w:tcW w:type="dxa" w:w="646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CRUD and reset password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Student management</w:t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12</w:t>
            </w:r>
          </w:p>
        </w:tc>
        <w:tc>
          <w:tcPr>
            <w:tcW w:type="dxa" w:w="6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List/search/detail/CRUD/import/export/reset/bulk delete</w:t>
            </w:r>
          </w:p>
        </w:tc>
      </w:tr>
      <w:tr>
        <w:tc>
          <w:tcPr>
            <w:tcW w:type="dxa" w:w="220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Scholarships</w:t>
            </w:r>
          </w:p>
        </w:tc>
        <w:tc>
          <w:tcPr>
            <w:tcW w:type="dxa" w:w="70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10</w:t>
            </w:r>
          </w:p>
        </w:tc>
        <w:tc>
          <w:tcPr>
            <w:tcW w:type="dxa" w:w="646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CRUD/export plus B40 TVET view/import/export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Scholarship announcements</w:t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7</w:t>
            </w:r>
          </w:p>
        </w:tc>
        <w:tc>
          <w:tcPr>
            <w:tcW w:type="dxa" w:w="6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CRUD and export</w:t>
            </w:r>
          </w:p>
        </w:tc>
      </w:tr>
      <w:tr>
        <w:tc>
          <w:tcPr>
            <w:tcW w:type="dxa" w:w="220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Student scholarship status</w:t>
            </w:r>
          </w:p>
        </w:tc>
        <w:tc>
          <w:tcPr>
            <w:tcW w:type="dxa" w:w="70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2</w:t>
            </w:r>
          </w:p>
        </w:tc>
        <w:tc>
          <w:tcPr>
            <w:tcW w:type="dxa" w:w="646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Review declarations and download offer letters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Offenses</w:t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10</w:t>
            </w:r>
          </w:p>
        </w:tc>
        <w:tc>
          <w:tcPr>
            <w:tcW w:type="dxa" w:w="6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List/create/store/export/edit/update/paid/delete/PDF/print</w:t>
            </w:r>
          </w:p>
        </w:tc>
      </w:tr>
      <w:tr>
        <w:tc>
          <w:tcPr>
            <w:tcW w:type="dxa" w:w="220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Rules</w:t>
            </w:r>
          </w:p>
        </w:tc>
        <w:tc>
          <w:tcPr>
            <w:tcW w:type="dxa" w:w="70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7</w:t>
            </w:r>
          </w:p>
        </w:tc>
        <w:tc>
          <w:tcPr>
            <w:tcW w:type="dxa" w:w="646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CRUD and export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Discipline announcements</w:t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7</w:t>
            </w:r>
          </w:p>
        </w:tc>
        <w:tc>
          <w:tcPr>
            <w:tcW w:type="dxa" w:w="6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CRUD and export</w:t>
            </w:r>
          </w:p>
        </w:tc>
      </w:tr>
      <w:tr>
        <w:tc>
          <w:tcPr>
            <w:tcW w:type="dxa" w:w="220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Fine applications</w:t>
            </w:r>
          </w:p>
        </w:tc>
        <w:tc>
          <w:tcPr>
            <w:tcW w:type="dxa" w:w="70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3</w:t>
            </w:r>
          </w:p>
        </w:tc>
        <w:tc>
          <w:tcPr>
            <w:tcW w:type="dxa" w:w="646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List/export/approve or reject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Vehicle stickers</w:t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4</w:t>
            </w:r>
          </w:p>
        </w:tc>
        <w:tc>
          <w:tcPr>
            <w:tcW w:type="dxa" w:w="6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List/export/decision/delete</w:t>
            </w:r>
          </w:p>
        </w:tc>
      </w:tr>
      <w:tr>
        <w:tc>
          <w:tcPr>
            <w:tcW w:type="dxa" w:w="220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Movement</w:t>
            </w:r>
          </w:p>
        </w:tc>
        <w:tc>
          <w:tcPr>
            <w:tcW w:type="dxa" w:w="70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10</w:t>
            </w:r>
          </w:p>
        </w:tc>
        <w:tc>
          <w:tcPr>
            <w:tcW w:type="dxa" w:w="646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Records/export/outside/violations/QR/status/settings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Student documents</w:t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3</w:t>
            </w:r>
          </w:p>
        </w:tc>
        <w:tc>
          <w:tcPr>
            <w:tcW w:type="dxa" w:w="6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Review list/authenticated download/decision</w:t>
            </w:r>
          </w:p>
        </w:tc>
      </w:tr>
      <w:tr>
        <w:tc>
          <w:tcPr>
            <w:tcW w:type="dxa" w:w="220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Feature and session control</w:t>
            </w:r>
          </w:p>
        </w:tc>
        <w:tc>
          <w:tcPr>
            <w:tcW w:type="dxa" w:w="70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3</w:t>
            </w:r>
          </w:p>
        </w:tc>
        <w:tc>
          <w:tcPr>
            <w:tcW w:type="dxa" w:w="646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Feature flags and configured session lifetime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Laptop management</w:t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4</w:t>
            </w:r>
          </w:p>
        </w:tc>
        <w:tc>
          <w:tcPr>
            <w:tcW w:type="dxa" w:w="6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Inventory/history, printable labels, scanner, and scan processing</w:t>
            </w:r>
          </w:p>
        </w:tc>
      </w:tr>
      <w:tr>
        <w:tc>
          <w:tcPr>
            <w:tcW w:type="dxa" w:w="220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Maintenance</w:t>
            </w:r>
          </w:p>
        </w:tc>
        <w:tc>
          <w:tcPr>
            <w:tcW w:type="dxa" w:w="70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5</w:t>
            </w:r>
          </w:p>
        </w:tc>
        <w:tc>
          <w:tcPr>
            <w:tcW w:type="dxa" w:w="646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Control/cache state, push test, email test, maintenance broadcast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Monthly report</w:t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1</w:t>
            </w:r>
          </w:p>
        </w:tc>
        <w:tc>
          <w:tcPr>
            <w:tcW w:type="dxa" w:w="6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Selected-month operational analytics report</w:t>
            </w:r>
          </w:p>
        </w:tc>
      </w:tr>
      <w:tr>
        <w:tc>
          <w:tcPr>
            <w:tcW w:type="dxa" w:w="220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AI Helper</w:t>
            </w:r>
          </w:p>
        </w:tc>
        <w:tc>
          <w:tcPr>
            <w:tcW w:type="dxa" w:w="70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7</w:t>
            </w:r>
          </w:p>
        </w:tc>
        <w:tc>
          <w:tcPr>
            <w:tcW w:type="dxa" w:w="646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Chat/history/edit/rename/delete functions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Bug reports</w:t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3</w:t>
            </w:r>
          </w:p>
        </w:tc>
        <w:tc>
          <w:tcPr>
            <w:tcW w:type="dxa" w:w="6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List/update/delete</w:t>
            </w:r>
          </w:p>
        </w:tc>
      </w:tr>
      <w:tr>
        <w:tc>
          <w:tcPr>
            <w:tcW w:type="dxa" w:w="220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Admin profile</w:t>
            </w:r>
          </w:p>
        </w:tc>
        <w:tc>
          <w:tcPr>
            <w:tcW w:type="dxa" w:w="70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3</w:t>
            </w:r>
          </w:p>
        </w:tc>
        <w:tc>
          <w:tcPr>
            <w:tcW w:type="dxa" w:w="646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Profile, photo crop/upload, and password change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Active visitors</w:t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1</w:t>
            </w:r>
          </w:p>
        </w:tc>
        <w:tc>
          <w:tcPr>
            <w:tcW w:type="dxa" w:w="6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System Admin active-session monitoring</w:t>
            </w:r>
          </w:p>
        </w:tc>
      </w:tr>
    </w:tbl>
    <w:p>
      <w:pPr>
        <w:spacing w:after="0"/>
      </w:pPr>
    </w:p>
    <w:p>
      <w:pPr>
        <w:pStyle w:val="Heading2"/>
      </w:pPr>
      <w:r>
        <w:t>4.6 Scheduled functions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7439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Schedule</w:t>
            </w:r>
          </w:p>
        </w:tc>
        <w:tc>
          <w:tcPr>
            <w:tcW w:type="dxa" w:w="7260"/>
            <w:shd w:fill="7439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Function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Every five minutes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Send subscribed students document-expiry and approaching movement-return reminders without overlapping runs</w:t>
            </w:r>
          </w:p>
        </w:tc>
      </w:tr>
      <w:tr>
        <w:tc>
          <w:tcPr>
            <w:tcW w:type="dxa" w:w="210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Daily at 02:15</w:t>
            </w:r>
          </w:p>
        </w:tc>
        <w:tc>
          <w:tcPr>
            <w:tcW w:type="dxa" w:w="726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Delete inactive student/admin AI conversations older than the configured retention period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60"/>
      </w:pPr>
      <w:r>
        <w:rPr>
          <w:rFonts w:ascii="Aptos" w:hAnsi="Aptos"/>
          <w:b/>
          <w:color w:val="A8567B"/>
          <w:sz w:val="18"/>
        </w:rPr>
        <w:t>PART 5</w:t>
      </w:r>
    </w:p>
    <w:p>
      <w:pPr>
        <w:pStyle w:val="Heading1"/>
        <w:spacing w:before="0"/>
      </w:pPr>
      <w:r>
        <w:rPr>
          <w:rFonts w:ascii="Aptos" w:hAnsi="Aptos"/>
          <w:b/>
          <w:color w:val="743951"/>
          <w:sz w:val="44"/>
        </w:rPr>
        <w:t>Operations and verification</w:t>
      </w:r>
    </w:p>
    <w:p>
      <w:pPr>
        <w:spacing w:after="360"/>
      </w:pPr>
      <w:r>
        <w:rPr>
          <w:rFonts w:ascii="Aptos" w:hAnsi="Aptos"/>
          <w:b w:val="0"/>
          <w:i/>
          <w:color w:val="786D66"/>
          <w:sz w:val="23"/>
        </w:rPr>
        <w:t>How to validate, deploy, recover, and troubleshoot the platform</w:t>
      </w:r>
    </w:p>
    <w:p>
      <w:pPr>
        <w:pStyle w:val="Heading2"/>
      </w:pPr>
      <w:r>
        <w:t>5.1 Local setup</w:t>
      </w:r>
    </w:p>
    <w:p>
      <w:pPr>
        <w:pStyle w:val="ListNumber"/>
        <w:spacing w:after="100"/>
      </w:pPr>
      <w:r>
        <w:rPr>
          <w:rFonts w:ascii="Aptos" w:hAnsi="Aptos"/>
          <w:b/>
          <w:color w:val="743951"/>
          <w:sz w:val="21"/>
        </w:rPr>
        <w:t xml:space="preserve">Install dependencies. </w:t>
      </w:r>
      <w:r>
        <w:rPr>
          <w:rFonts w:ascii="Aptos" w:hAnsi="Aptos"/>
          <w:color w:val="241E1B"/>
          <w:sz w:val="21"/>
        </w:rPr>
        <w:t>Run composer install and npm install</w:t>
      </w:r>
    </w:p>
    <w:p>
      <w:pPr>
        <w:pStyle w:val="ListNumber"/>
        <w:spacing w:after="100"/>
      </w:pPr>
      <w:r>
        <w:rPr>
          <w:rFonts w:ascii="Aptos" w:hAnsi="Aptos"/>
          <w:b/>
          <w:color w:val="743951"/>
          <w:sz w:val="21"/>
        </w:rPr>
        <w:t xml:space="preserve">Configure environment. </w:t>
      </w:r>
      <w:r>
        <w:rPr>
          <w:rFonts w:ascii="Aptos" w:hAnsi="Aptos"/>
          <w:color w:val="241E1B"/>
          <w:sz w:val="21"/>
        </w:rPr>
        <w:t>Copy .env.example, set database/mail/push/AI values, and generate the application key</w:t>
      </w:r>
    </w:p>
    <w:p>
      <w:pPr>
        <w:pStyle w:val="ListNumber"/>
        <w:spacing w:after="100"/>
      </w:pPr>
      <w:r>
        <w:rPr>
          <w:rFonts w:ascii="Aptos" w:hAnsi="Aptos"/>
          <w:b/>
          <w:color w:val="743951"/>
          <w:sz w:val="21"/>
        </w:rPr>
        <w:t xml:space="preserve">Prepare database. </w:t>
      </w:r>
      <w:r>
        <w:rPr>
          <w:rFonts w:ascii="Aptos" w:hAnsi="Aptos"/>
          <w:color w:val="241E1B"/>
          <w:sz w:val="21"/>
        </w:rPr>
        <w:t>Import StudentEdge.sql, then run php artisan migrate</w:t>
      </w:r>
    </w:p>
    <w:p>
      <w:pPr>
        <w:pStyle w:val="ListNumber"/>
        <w:spacing w:after="100"/>
      </w:pPr>
      <w:r>
        <w:rPr>
          <w:rFonts w:ascii="Aptos" w:hAnsi="Aptos"/>
          <w:b/>
          <w:color w:val="743951"/>
          <w:sz w:val="21"/>
        </w:rPr>
        <w:t xml:space="preserve">Prepare storage. </w:t>
      </w:r>
      <w:r>
        <w:rPr>
          <w:rFonts w:ascii="Aptos" w:hAnsi="Aptos"/>
          <w:color w:val="241E1B"/>
          <w:sz w:val="21"/>
        </w:rPr>
        <w:t>Run php artisan storage:link only for intended public assets; keep private student files outside public storage</w:t>
      </w:r>
    </w:p>
    <w:p>
      <w:pPr>
        <w:pStyle w:val="ListNumber"/>
        <w:spacing w:after="100"/>
      </w:pPr>
      <w:r>
        <w:rPr>
          <w:rFonts w:ascii="Aptos" w:hAnsi="Aptos"/>
          <w:b/>
          <w:color w:val="743951"/>
          <w:sz w:val="21"/>
        </w:rPr>
        <w:t xml:space="preserve">Build. </w:t>
      </w:r>
      <w:r>
        <w:rPr>
          <w:rFonts w:ascii="Aptos" w:hAnsi="Aptos"/>
          <w:color w:val="241E1B"/>
          <w:sz w:val="21"/>
        </w:rPr>
        <w:t>Run npm run build</w:t>
      </w:r>
    </w:p>
    <w:p>
      <w:pPr>
        <w:pStyle w:val="ListNumber"/>
        <w:spacing w:after="100"/>
      </w:pPr>
      <w:r>
        <w:rPr>
          <w:rFonts w:ascii="Aptos" w:hAnsi="Aptos"/>
          <w:b/>
          <w:color w:val="743951"/>
          <w:sz w:val="21"/>
        </w:rPr>
        <w:t xml:space="preserve">Start. </w:t>
      </w:r>
      <w:r>
        <w:rPr>
          <w:rFonts w:ascii="Aptos" w:hAnsi="Aptos"/>
          <w:color w:val="241E1B"/>
          <w:sz w:val="21"/>
        </w:rPr>
        <w:t>Run php artisan serve or use the configured Laragon virtual host</w:t>
      </w:r>
    </w:p>
    <w:p>
      <w:pPr>
        <w:pStyle w:val="Heading2"/>
      </w:pPr>
      <w:r>
        <w:t>5.2 Verification checklist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120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7439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Check</w:t>
            </w:r>
          </w:p>
        </w:tc>
        <w:tc>
          <w:tcPr>
            <w:tcW w:type="dxa" w:w="7460"/>
            <w:shd w:fill="7439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Command or evidence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PHP syntax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php -l &lt;changed PHP file&gt;</w:t>
            </w:r>
          </w:p>
        </w:tc>
      </w:tr>
      <w:tr>
        <w:tc>
          <w:tcPr>
            <w:tcW w:type="dxa" w:w="190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Routes</w:t>
            </w:r>
          </w:p>
        </w:tc>
        <w:tc>
          <w:tcPr>
            <w:tcW w:type="dxa" w:w="746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php artisan route:list --json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Tests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php artisan test --compact</w:t>
            </w:r>
          </w:p>
        </w:tc>
      </w:tr>
      <w:tr>
        <w:tc>
          <w:tcPr>
            <w:tcW w:type="dxa" w:w="190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Frontend</w:t>
            </w:r>
          </w:p>
        </w:tc>
        <w:tc>
          <w:tcPr>
            <w:tcW w:type="dxa" w:w="746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npm run build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Formatting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git diff --check</w:t>
            </w:r>
          </w:p>
        </w:tc>
      </w:tr>
      <w:tr>
        <w:tc>
          <w:tcPr>
            <w:tcW w:type="dxa" w:w="190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Database</w:t>
            </w:r>
          </w:p>
        </w:tc>
        <w:tc>
          <w:tcPr>
            <w:tcW w:type="dxa" w:w="746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Focused feature tests against a prepared test database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UI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Desktop and phone UAT in light/dark themes, keyboard navigation, reduced motion, and PWA mode</w:t>
            </w:r>
          </w:p>
        </w:tc>
      </w:tr>
      <w:tr>
        <w:tc>
          <w:tcPr>
            <w:tcW w:type="dxa" w:w="190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Permissions</w:t>
            </w:r>
          </w:p>
        </w:tc>
        <w:tc>
          <w:tcPr>
            <w:tcW w:type="dxa" w:w="746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Positive and negative role tests for every sensitive route</w:t>
            </w:r>
          </w:p>
        </w:tc>
      </w:tr>
    </w:tbl>
    <w:p>
      <w:pPr>
        <w:spacing w:after="0"/>
      </w:pPr>
    </w:p>
    <w:p>
      <w:pPr>
        <w:pStyle w:val="Heading2"/>
      </w:pPr>
      <w:r>
        <w:t>5.3 Backup and restore</w:t>
      </w:r>
    </w:p>
    <w:p>
      <w:pPr>
        <w:pStyle w:val="ListBullet"/>
        <w:spacing w:after="60" w:line="276" w:lineRule="auto"/>
      </w:pPr>
      <w:r>
        <w:rPr>
          <w:rFonts w:ascii="Aptos" w:hAnsi="Aptos"/>
          <w:color w:val="241E1B"/>
          <w:sz w:val="20"/>
        </w:rPr>
        <w:t>Back up the database, .env/configuration secrets through an approved secure process, and private uploads.</w:t>
      </w:r>
    </w:p>
    <w:p>
      <w:pPr>
        <w:pStyle w:val="ListBullet"/>
        <w:spacing w:after="60" w:line="276" w:lineRule="auto"/>
      </w:pPr>
      <w:r>
        <w:rPr>
          <w:rFonts w:ascii="Aptos" w:hAnsi="Aptos"/>
          <w:color w:val="241E1B"/>
          <w:sz w:val="20"/>
        </w:rPr>
        <w:t>Record application version, migration state, backup time, and responsible operator.</w:t>
      </w:r>
    </w:p>
    <w:p>
      <w:pPr>
        <w:pStyle w:val="ListBullet"/>
        <w:spacing w:after="60" w:line="276" w:lineRule="auto"/>
      </w:pPr>
      <w:r>
        <w:rPr>
          <w:rFonts w:ascii="Aptos" w:hAnsi="Aptos"/>
          <w:color w:val="241E1B"/>
          <w:sz w:val="20"/>
        </w:rPr>
        <w:t>Perform restoration in an isolated environment and verify counts, authentication, private downloads, core workflows, and audit evidence.</w:t>
      </w:r>
    </w:p>
    <w:p>
      <w:pPr>
        <w:pStyle w:val="ListBullet"/>
        <w:spacing w:after="60" w:line="276" w:lineRule="auto"/>
      </w:pPr>
      <w:r>
        <w:rPr>
          <w:rFonts w:ascii="Aptos" w:hAnsi="Aptos"/>
          <w:color w:val="241E1B"/>
          <w:sz w:val="20"/>
        </w:rPr>
        <w:t>Do not consider a backup complete until a restoration rehearsal succeeds.</w:t>
      </w:r>
    </w:p>
    <w:p>
      <w:pPr>
        <w:pStyle w:val="Heading2"/>
      </w:pPr>
      <w:r>
        <w:t>5.4 Troubleshooting sequence</w:t>
      </w:r>
    </w:p>
    <w:p>
      <w:pPr>
        <w:pStyle w:val="ListNumber"/>
        <w:spacing w:after="100"/>
      </w:pPr>
      <w:r>
        <w:rPr>
          <w:rFonts w:ascii="Aptos" w:hAnsi="Aptos"/>
          <w:b/>
          <w:color w:val="743951"/>
          <w:sz w:val="21"/>
        </w:rPr>
        <w:t xml:space="preserve">Reproduce. </w:t>
      </w:r>
      <w:r>
        <w:rPr>
          <w:rFonts w:ascii="Aptos" w:hAnsi="Aptos"/>
          <w:color w:val="241E1B"/>
          <w:sz w:val="21"/>
        </w:rPr>
        <w:t>Record account role, page, action, expected result, actual result, timestamp, and browser/device</w:t>
      </w:r>
    </w:p>
    <w:p>
      <w:pPr>
        <w:pStyle w:val="ListNumber"/>
        <w:spacing w:after="100"/>
      </w:pPr>
      <w:r>
        <w:rPr>
          <w:rFonts w:ascii="Aptos" w:hAnsi="Aptos"/>
          <w:b/>
          <w:color w:val="743951"/>
          <w:sz w:val="21"/>
        </w:rPr>
        <w:t xml:space="preserve">Check authorization. </w:t>
      </w:r>
      <w:r>
        <w:rPr>
          <w:rFonts w:ascii="Aptos" w:hAnsi="Aptos"/>
          <w:color w:val="241E1B"/>
          <w:sz w:val="21"/>
        </w:rPr>
        <w:t>Confirm feature flags, role scope, lecturer page gate, ownership, and active session</w:t>
      </w:r>
    </w:p>
    <w:p>
      <w:pPr>
        <w:pStyle w:val="ListNumber"/>
        <w:spacing w:after="100"/>
      </w:pPr>
      <w:r>
        <w:rPr>
          <w:rFonts w:ascii="Aptos" w:hAnsi="Aptos"/>
          <w:b/>
          <w:color w:val="743951"/>
          <w:sz w:val="21"/>
        </w:rPr>
        <w:t xml:space="preserve">Check logs. </w:t>
      </w:r>
      <w:r>
        <w:rPr>
          <w:rFonts w:ascii="Aptos" w:hAnsi="Aptos"/>
          <w:color w:val="241E1B"/>
          <w:sz w:val="21"/>
        </w:rPr>
        <w:t>Review Laravel, browser console, queue/scheduler, mail, and push-delivery evidence</w:t>
      </w:r>
    </w:p>
    <w:p>
      <w:pPr>
        <w:pStyle w:val="ListNumber"/>
        <w:spacing w:after="100"/>
      </w:pPr>
      <w:r>
        <w:rPr>
          <w:rFonts w:ascii="Aptos" w:hAnsi="Aptos"/>
          <w:b/>
          <w:color w:val="743951"/>
          <w:sz w:val="21"/>
        </w:rPr>
        <w:t xml:space="preserve">Check data. </w:t>
      </w:r>
      <w:r>
        <w:rPr>
          <w:rFonts w:ascii="Aptos" w:hAnsi="Aptos"/>
          <w:color w:val="241E1B"/>
          <w:sz w:val="21"/>
        </w:rPr>
        <w:t>Confirm tables, migrations, related rows, storage paths, and database availability</w:t>
      </w:r>
    </w:p>
    <w:p>
      <w:pPr>
        <w:pStyle w:val="ListNumber"/>
        <w:spacing w:after="100"/>
      </w:pPr>
      <w:r>
        <w:rPr>
          <w:rFonts w:ascii="Aptos" w:hAnsi="Aptos"/>
          <w:b/>
          <w:color w:val="743951"/>
          <w:sz w:val="21"/>
        </w:rPr>
        <w:t xml:space="preserve">Isolate. </w:t>
      </w:r>
      <w:r>
        <w:rPr>
          <w:rFonts w:ascii="Aptos" w:hAnsi="Aptos"/>
          <w:color w:val="241E1B"/>
          <w:sz w:val="21"/>
        </w:rPr>
        <w:t>Test the smallest controller/route/service path and avoid changing unrelated modules</w:t>
      </w:r>
    </w:p>
    <w:p>
      <w:pPr>
        <w:pStyle w:val="ListNumber"/>
        <w:spacing w:after="100"/>
      </w:pPr>
      <w:r>
        <w:rPr>
          <w:rFonts w:ascii="Aptos" w:hAnsi="Aptos"/>
          <w:b/>
          <w:color w:val="743951"/>
          <w:sz w:val="21"/>
        </w:rPr>
        <w:t xml:space="preserve">Verify fix. </w:t>
      </w:r>
      <w:r>
        <w:rPr>
          <w:rFonts w:ascii="Aptos" w:hAnsi="Aptos"/>
          <w:color w:val="241E1B"/>
          <w:sz w:val="21"/>
        </w:rPr>
        <w:t>Run focused tests, full feasible regression checks, build assets, and repeat the original UAT path</w:t>
      </w:r>
    </w:p>
    <w:p>
      <w:pPr>
        <w:pStyle w:val="Heading2"/>
      </w:pPr>
      <w:r>
        <w:t>5.5 Known production cautions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5E9E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743951"/>
                <w:sz w:val="18"/>
              </w:rPr>
              <w:t xml:space="preserve">PRODUCTION GATE  </w:t>
            </w:r>
            <w:r>
              <w:rPr>
                <w:rFonts w:ascii="Aptos" w:hAnsi="Aptos"/>
                <w:color w:val="241E1B"/>
                <w:sz w:val="20"/>
              </w:rPr>
              <w:t>Before institutional deployment, remove temporary password fallbacks, rotate secrets, disable debug mode, review dependency advisories, verify private-cache behaviour, rehearse backup/restore, and obtain approval for high-risk workflows.</w:t>
            </w:r>
          </w:p>
        </w:tc>
      </w:tr>
    </w:tbl>
    <w:p>
      <w:pPr>
        <w:spacing w:after="0"/>
      </w:pPr>
    </w:p>
    <w:p>
      <w:pPr>
        <w:pStyle w:val="ListBullet"/>
        <w:spacing w:after="60" w:line="276" w:lineRule="auto"/>
      </w:pPr>
      <w:r>
        <w:rPr>
          <w:rFonts w:ascii="Aptos" w:hAnsi="Aptos"/>
          <w:color w:val="241E1B"/>
          <w:sz w:val="20"/>
        </w:rPr>
        <w:t>The migrations do not recreate the complete original schema without the baseline SQL import.</w:t>
      </w:r>
    </w:p>
    <w:p>
      <w:pPr>
        <w:pStyle w:val="ListBullet"/>
        <w:spacing w:after="60" w:line="276" w:lineRule="auto"/>
      </w:pPr>
      <w:r>
        <w:rPr>
          <w:rFonts w:ascii="Aptos" w:hAnsi="Aptos"/>
          <w:color w:val="241E1B"/>
          <w:sz w:val="20"/>
        </w:rPr>
        <w:t>AI output can be incorrect or overconfident; important values and decisions require human verification.</w:t>
      </w:r>
    </w:p>
    <w:p>
      <w:pPr>
        <w:pStyle w:val="ListBullet"/>
        <w:spacing w:after="60" w:line="276" w:lineRule="auto"/>
      </w:pPr>
      <w:r>
        <w:rPr>
          <w:rFonts w:ascii="Aptos" w:hAnsi="Aptos"/>
          <w:color w:val="241E1B"/>
          <w:sz w:val="20"/>
        </w:rPr>
        <w:t>Receipt images and QR/OCR evidence are not proof of authentic payment without an official verification source.</w:t>
      </w:r>
    </w:p>
    <w:p>
      <w:pPr>
        <w:pStyle w:val="ListBullet"/>
        <w:spacing w:after="60" w:line="276" w:lineRule="auto"/>
      </w:pPr>
      <w:r>
        <w:rPr>
          <w:rFonts w:ascii="Aptos" w:hAnsi="Aptos"/>
          <w:color w:val="241E1B"/>
          <w:sz w:val="20"/>
        </w:rPr>
        <w:t>Public identity-number workflows and bulk deletion require throttling, logging, backups, and explicit policy approval.</w:t>
      </w:r>
    </w:p>
    <w:p>
      <w:pPr>
        <w:pStyle w:val="ListBullet"/>
        <w:spacing w:after="60" w:line="276" w:lineRule="auto"/>
      </w:pPr>
      <w:r>
        <w:rPr>
          <w:rFonts w:ascii="Aptos" w:hAnsi="Aptos"/>
          <w:color w:val="241E1B"/>
          <w:sz w:val="20"/>
        </w:rPr>
        <w:t>Database-dependent tests may fail when local MySQL is stopped even if PHP linting and frontend builds pass.</w:t>
      </w:r>
    </w:p>
    <w:p>
      <w:r>
        <w:br w:type="page"/>
      </w:r>
    </w:p>
    <w:p>
      <w:pPr>
        <w:pStyle w:val="Heading1"/>
      </w:pPr>
      <w:r>
        <w:t>Appendix A - Role responsibility summary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120"/>
      </w:tblPr>
      <w:tblGrid>
        <w:gridCol w:w="1900"/>
        <w:gridCol w:w="4380"/>
        <w:gridCol w:w="3080"/>
      </w:tblGrid>
      <w:tr>
        <w:trPr>
          <w:tblHeader w:val="true"/>
        </w:trPr>
        <w:tc>
          <w:tcPr>
            <w:tcW w:type="dxa" w:w="1900"/>
            <w:shd w:fill="7439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4380"/>
            <w:shd w:fill="7439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Primary responsibility</w:t>
            </w:r>
          </w:p>
        </w:tc>
        <w:tc>
          <w:tcPr>
            <w:tcW w:type="dxa" w:w="3080"/>
            <w:shd w:fill="7439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Important boundary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Student</w:t>
            </w:r>
          </w:p>
        </w:tc>
        <w:tc>
          <w:tcPr>
            <w:tcW w:type="dxa" w:w="43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Maintain own profile, applications, documents, movement, payments, and student AI conversations</w:t>
            </w:r>
          </w:p>
        </w:tc>
        <w:tc>
          <w:tcPr>
            <w:tcW w:type="dxa" w:w="3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Own records only</w:t>
            </w:r>
          </w:p>
        </w:tc>
      </w:tr>
      <w:tr>
        <w:tc>
          <w:tcPr>
            <w:tcW w:type="dxa" w:w="190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Lecturer/JHEP staff</w:t>
            </w:r>
          </w:p>
        </w:tc>
        <w:tc>
          <w:tcPr>
            <w:tcW w:type="dxa" w:w="438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Perform assigned scholarship, discipline, movement, research, or administrative tasks</w:t>
            </w:r>
          </w:p>
        </w:tc>
        <w:tc>
          <w:tcPr>
            <w:tcW w:type="dxa" w:w="308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Only enabled scopes/pages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Guard</w:t>
            </w:r>
          </w:p>
        </w:tc>
        <w:tc>
          <w:tcPr>
            <w:tcW w:type="dxa" w:w="43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Operate movement and permitted student lookup workflows</w:t>
            </w:r>
          </w:p>
        </w:tc>
        <w:tc>
          <w:tcPr>
            <w:tcW w:type="dxa" w:w="3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No broad sensitive administration</w:t>
            </w:r>
          </w:p>
        </w:tc>
      </w:tr>
      <w:tr>
        <w:tc>
          <w:tcPr>
            <w:tcW w:type="dxa" w:w="190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Scholarship administrator</w:t>
            </w:r>
          </w:p>
        </w:tc>
        <w:tc>
          <w:tcPr>
            <w:tcW w:type="dxa" w:w="438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Manage scholarships, announcements, declarations, and related reporting</w:t>
            </w:r>
          </w:p>
        </w:tc>
        <w:tc>
          <w:tcPr>
            <w:tcW w:type="dxa" w:w="308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Scholarship scope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Discipline administrator</w:t>
            </w:r>
          </w:p>
        </w:tc>
        <w:tc>
          <w:tcPr>
            <w:tcW w:type="dxa" w:w="43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Manage offenses, fines, rules, stickers, and related reporting</w:t>
            </w:r>
          </w:p>
        </w:tc>
        <w:tc>
          <w:tcPr>
            <w:tcW w:type="dxa" w:w="3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Discipline scope</w:t>
            </w:r>
          </w:p>
        </w:tc>
      </w:tr>
      <w:tr>
        <w:tc>
          <w:tcPr>
            <w:tcW w:type="dxa" w:w="190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Head of Student Affairs</w:t>
            </w:r>
          </w:p>
        </w:tc>
        <w:tc>
          <w:tcPr>
            <w:tcW w:type="dxa" w:w="438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Cross-domain operational oversight</w:t>
            </w:r>
          </w:p>
        </w:tc>
        <w:tc>
          <w:tcPr>
            <w:tcW w:type="dxa" w:w="308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No unrestricted system administration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System administrator</w:t>
            </w:r>
          </w:p>
        </w:tc>
        <w:tc>
          <w:tcPr>
            <w:tcW w:type="dxa" w:w="43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Accounts, features, monitoring, maintenance, delivery tests, and all registered abilities</w:t>
            </w:r>
          </w:p>
        </w:tc>
        <w:tc>
          <w:tcPr>
            <w:tcW w:type="dxa" w:w="3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Institutional policy and audit still apply</w:t>
            </w:r>
          </w:p>
        </w:tc>
      </w:tr>
    </w:tbl>
    <w:p>
      <w:pPr>
        <w:spacing w:after="0"/>
      </w:pPr>
    </w:p>
    <w:p>
      <w:pPr>
        <w:pStyle w:val="Heading1"/>
      </w:pPr>
      <w:r>
        <w:t>Appendix B - Source-of-truth files</w:t>
      </w:r>
    </w:p>
    <w:p>
      <w:pPr>
        <w:pStyle w:val="ListBullet"/>
        <w:spacing w:after="60" w:line="276" w:lineRule="auto"/>
      </w:pPr>
      <w:r>
        <w:rPr>
          <w:rFonts w:ascii="Aptos" w:hAnsi="Aptos"/>
          <w:color w:val="241E1B"/>
          <w:sz w:val="20"/>
        </w:rPr>
        <w:t>routes/web.php and routes/console.php for exposed and scheduled operations</w:t>
      </w:r>
    </w:p>
    <w:p>
      <w:pPr>
        <w:pStyle w:val="ListBullet"/>
        <w:spacing w:after="60" w:line="276" w:lineRule="auto"/>
      </w:pPr>
      <w:r>
        <w:rPr>
          <w:rFonts w:ascii="Aptos" w:hAnsi="Aptos"/>
          <w:color w:val="241E1B"/>
          <w:sz w:val="20"/>
        </w:rPr>
        <w:t>app/Http/Controllers for request orchestration</w:t>
      </w:r>
    </w:p>
    <w:p>
      <w:pPr>
        <w:pStyle w:val="ListBullet"/>
        <w:spacing w:after="60" w:line="276" w:lineRule="auto"/>
      </w:pPr>
      <w:r>
        <w:rPr>
          <w:rFonts w:ascii="Aptos" w:hAnsi="Aptos"/>
          <w:color w:val="241E1B"/>
          <w:sz w:val="20"/>
        </w:rPr>
        <w:t>database/migrations plus StudentEdge.sql for schema state</w:t>
      </w:r>
    </w:p>
    <w:p>
      <w:pPr>
        <w:pStyle w:val="ListBullet"/>
        <w:spacing w:after="60" w:line="276" w:lineRule="auto"/>
      </w:pPr>
      <w:r>
        <w:rPr>
          <w:rFonts w:ascii="Aptos" w:hAnsi="Aptos"/>
          <w:color w:val="241E1B"/>
          <w:sz w:val="20"/>
        </w:rPr>
        <w:t>app/Services, app/Support, middleware, and authorization helpers for shared rules</w:t>
      </w:r>
    </w:p>
    <w:p>
      <w:pPr>
        <w:pStyle w:val="ListBullet"/>
        <w:spacing w:after="60" w:line="276" w:lineRule="auto"/>
      </w:pPr>
      <w:r>
        <w:rPr>
          <w:rFonts w:ascii="Aptos" w:hAnsi="Aptos"/>
          <w:color w:val="241E1B"/>
          <w:sz w:val="20"/>
        </w:rPr>
        <w:t>resources/views, resources/css, and resources/js for the interface</w:t>
      </w:r>
    </w:p>
    <w:p>
      <w:pPr>
        <w:pStyle w:val="ListBullet"/>
        <w:spacing w:after="60" w:line="276" w:lineRule="auto"/>
      </w:pPr>
      <w:r>
        <w:rPr>
          <w:rFonts w:ascii="Aptos" w:hAnsi="Aptos"/>
          <w:color w:val="241E1B"/>
          <w:sz w:val="20"/>
        </w:rPr>
        <w:t>lang/en.json and lang/ms.json for display localization</w:t>
      </w:r>
    </w:p>
    <w:p>
      <w:pPr>
        <w:pStyle w:val="ListBullet"/>
        <w:spacing w:after="60" w:line="276" w:lineRule="auto"/>
      </w:pPr>
      <w:r>
        <w:rPr>
          <w:rFonts w:ascii="Aptos" w:hAnsi="Aptos"/>
          <w:color w:val="241E1B"/>
          <w:sz w:val="20"/>
        </w:rPr>
        <w:t>tests for executable regression expectations</w:t>
      </w:r>
    </w:p>
    <w:p>
      <w:pPr>
        <w:pStyle w:val="ListBullet"/>
        <w:spacing w:after="60" w:line="276" w:lineRule="auto"/>
      </w:pPr>
      <w:r>
        <w:rPr>
          <w:rFonts w:ascii="Aptos" w:hAnsi="Aptos"/>
          <w:color w:val="241E1B"/>
          <w:sz w:val="20"/>
        </w:rPr>
        <w:t>docs/SYSTEM_DOCUMENTATION.md, docs/UAT_CHECKLIST.md, docs/BACKUP_RESTORE_SOP.md, and Document Context files for maintained project guidance</w:t>
      </w:r>
    </w:p>
    <w:p>
      <w:pPr>
        <w:spacing w:before="360"/>
        <w:jc w:val="center"/>
      </w:pPr>
      <w:r>
        <w:rPr>
          <w:rFonts w:ascii="Aptos" w:hAnsi="Aptos"/>
          <w:b/>
          <w:color w:val="A8567B"/>
          <w:sz w:val="18"/>
        </w:rPr>
        <w:t>END OF HANDBOOK</w:t>
      </w:r>
    </w:p>
    <w:sectPr>
      <w:headerReference w:type="default" r:id="rId9"/>
      <w:footerReference w:type="default" r:id="rId10"/>
      <w:pgSz w:w="12240" w:h="15840"/>
      <w:pgMar w:top="1123" w:right="1296" w:bottom="1037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786D66"/>
        <w:sz w:val="16"/>
      </w:rPr>
      <w:t>StudentEdge - Politeknik Besut  |  Internal reference  |  August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786D66"/>
        <w:sz w:val="16"/>
      </w:rPr>
      <w:t>STUDENTEDGE  /  SYSTEM HANDBOOK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ptos" w:hAnsi="Aptos"/>
      <w:color w:val="241E1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74395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7439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A8567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StudentEdge System Guideline, Workflow, Coding &amp; Function Handbook</dc:title>
  <dc:subject>Operational and technical handbook for StudentEdge</dc:subject>
  <dc:creator/>
  <cp:keywords>StudentEdge, guideline, workflow, coding, functions, Laravel, student affairs</cp:keywords>
  <dc:description>Generated from the implementation baseline on 12 August 2026.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