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rPr>
          <w:rFonts w:ascii="Calibri" w:hAnsi="Calibri"/>
          <w:b/>
          <w:color w:val="FF6565"/>
          <w:sz w:val="22"/>
        </w:rPr>
        <w:t>RINGKASAN KAPASITI PENGEHOSAN KERAJAAN</w:t>
      </w:r>
    </w:p>
    <w:p>
      <w:pPr>
        <w:jc w:val="center"/>
      </w:pPr>
      <w:r>
        <w:rPr>
          <w:rFonts w:ascii="Calibri" w:hAnsi="Calibri"/>
          <w:b/>
          <w:color w:val="1F4D78"/>
          <w:sz w:val="56"/>
        </w:rPr>
        <w:t>Anggaran Storan MyOKUcare</w:t>
      </w:r>
    </w:p>
    <w:p>
      <w:pPr>
        <w:spacing w:after="360"/>
        <w:jc w:val="center"/>
      </w:pPr>
      <w:r>
        <w:rPr>
          <w:rFonts w:ascii="Calibri" w:hAnsi="Calibri"/>
          <w:b/>
          <w:color w:val="2E74B5"/>
          <w:sz w:val="34"/>
        </w:rPr>
        <w:t>Perancangan kapasiti untuk kira-kira 500 pengguna di Kota Putera</w:t>
      </w:r>
    </w:p>
    <w:p>
      <w:pPr>
        <w:spacing w:after="1600"/>
        <w:jc w:val="center"/>
      </w:pPr>
      <w:r>
        <w:rPr>
          <w:rFonts w:ascii="Calibri" w:hAnsi="Calibri"/>
          <w:color w:val="666666"/>
          <w:sz w:val="22"/>
        </w:rPr>
        <w:t>Fail aplikasi • Pangkalan data • Dokumen identiti • Résumé • Eksport • Log • Sandaran</w:t>
      </w:r>
    </w:p>
    <w:p>
      <w:pPr>
        <w:jc w:val="center"/>
      </w:pPr>
      <w:r>
        <w:rPr>
          <w:rFonts w:ascii="Calibri" w:hAnsi="Calibri"/>
          <w:b/>
          <w:color w:val="666666"/>
          <w:sz w:val="20"/>
        </w:rPr>
        <w:t>Disediakan untuk pembentangan KIK/JKM dan migrasi ke pengehosan kerajaan</w:t>
      </w:r>
    </w:p>
    <w:p>
      <w:r>
        <w:br w:type="page"/>
      </w:r>
    </w:p>
    <w:p>
      <w:pPr>
        <w:pStyle w:val="Heading1"/>
      </w:pPr>
      <w:r>
        <w:t>Cadangan Utama</w:t>
      </w:r>
    </w:p>
    <w:p>
      <w:pPr>
        <w:spacing w:before="80" w:after="200"/>
        <w:ind w:left="173" w:right="173"/>
        <w:shd w:fill="F4F6F9"/>
        <w:pBdr>
          <w:top w:val="single" w:sz="6" w:space="6" w:color="D9E2F3"/>
          <w:left w:val="single" w:sz="6" w:space="6" w:color="D9E2F3"/>
          <w:bottom w:val="single" w:sz="6" w:space="6" w:color="D9E2F3"/>
          <w:right w:val="single" w:sz="6" w:space="6" w:color="D9E2F3"/>
        </w:pBdr>
      </w:pPr>
      <w:r>
        <w:rPr>
          <w:rFonts w:ascii="Calibri" w:hAnsi="Calibri"/>
          <w:b/>
          <w:color w:val="1F4D78"/>
          <w:sz w:val="24"/>
        </w:rPr>
        <w:t>Peruntukan yang disyorkan</w:t>
        <w:br/>
      </w:r>
      <w:r>
        <w:rPr>
          <w:rFonts w:ascii="Calibri" w:hAnsi="Calibri"/>
          <w:sz w:val="22"/>
        </w:rPr>
        <w:t>Sediakan 100 GB untuk volum aplikasi langsung, termasuk pangkalan data dan muat naik peribadi. Sediakan lokasi sandaran disulitkan berasingan sebanyak 150–300 GB. Tetapkan amaran storan pada penggunaan 70% dan 85%.</w:t>
      </w:r>
    </w:p>
    <w:p/>
    <w:tbl>
      <w:tblPr>
        <w:tblStyle w:val="TableGrid"/>
        <w:tblW w:type="dxa" w:w="9360"/>
        <w:jc w:val="center"/>
        <w:tblLayout w:type="fixed"/>
        <w:tblLook w:firstColumn="1" w:firstRow="1" w:lastColumn="0" w:lastRow="0" w:noHBand="0" w:noVBand="1" w:val="04A0"/>
        <w:tblInd w:w="120" w:type="dxa"/>
      </w:tblPr>
      <w:tblGrid>
        <w:gridCol w:w="2300"/>
        <w:gridCol w:w="1300"/>
        <w:gridCol w:w="1700"/>
        <w:gridCol w:w="4060"/>
      </w:tblGrid>
      <w:tr>
        <w:trPr>
          <w:tblHeader w:val="true"/>
        </w:trPr>
        <w:tc>
          <w:tcPr>
            <w:tcW w:type="dxa" w:w="2300"/>
            <w:shd w:fill="E8EEF5"/>
            <w:vAlign w:val="center"/>
            <w:tcMar>
              <w:top w:w="90" w:type="dxa"/>
              <w:start w:w="120" w:type="dxa"/>
              <w:bottom w:w="90" w:type="dxa"/>
              <w:end w:w="120" w:type="dxa"/>
            </w:tcMar>
          </w:tcPr>
          <w:p>
            <w:r>
              <w:rPr>
                <w:rFonts w:ascii="Calibri" w:hAnsi="Calibri"/>
                <w:b/>
                <w:color w:val="1F4D78"/>
                <w:sz w:val="19"/>
              </w:rPr>
              <w:t>Bahagian kapasiti</w:t>
            </w:r>
          </w:p>
        </w:tc>
        <w:tc>
          <w:tcPr>
            <w:tcW w:type="dxa" w:w="1300"/>
            <w:shd w:fill="E8EEF5"/>
            <w:vAlign w:val="center"/>
            <w:tcMar>
              <w:top w:w="90" w:type="dxa"/>
              <w:start w:w="120" w:type="dxa"/>
              <w:bottom w:w="90" w:type="dxa"/>
              <w:end w:w="120" w:type="dxa"/>
            </w:tcMar>
          </w:tcPr>
          <w:p>
            <w:r>
              <w:rPr>
                <w:rFonts w:ascii="Calibri" w:hAnsi="Calibri"/>
                <w:b/>
                <w:color w:val="1F4D78"/>
                <w:sz w:val="19"/>
              </w:rPr>
              <w:t>Minimum</w:t>
            </w:r>
          </w:p>
        </w:tc>
        <w:tc>
          <w:tcPr>
            <w:tcW w:type="dxa" w:w="1700"/>
            <w:shd w:fill="E8EEF5"/>
            <w:vAlign w:val="center"/>
            <w:tcMar>
              <w:top w:w="90" w:type="dxa"/>
              <w:start w:w="120" w:type="dxa"/>
              <w:bottom w:w="90" w:type="dxa"/>
              <w:end w:w="120" w:type="dxa"/>
            </w:tcMar>
          </w:tcPr>
          <w:p>
            <w:r>
              <w:rPr>
                <w:rFonts w:ascii="Calibri" w:hAnsi="Calibri"/>
                <w:b/>
                <w:color w:val="1F4D78"/>
                <w:sz w:val="19"/>
              </w:rPr>
              <w:t>Disyorkan</w:t>
            </w:r>
          </w:p>
        </w:tc>
        <w:tc>
          <w:tcPr>
            <w:tcW w:type="dxa" w:w="4060"/>
            <w:shd w:fill="E8EEF5"/>
            <w:vAlign w:val="center"/>
            <w:tcMar>
              <w:top w:w="90" w:type="dxa"/>
              <w:start w:w="120" w:type="dxa"/>
              <w:bottom w:w="90" w:type="dxa"/>
              <w:end w:w="120" w:type="dxa"/>
            </w:tcMar>
          </w:tcPr>
          <w:p>
            <w:r>
              <w:rPr>
                <w:rFonts w:ascii="Calibri" w:hAnsi="Calibri"/>
                <w:b/>
                <w:color w:val="1F4D78"/>
                <w:sz w:val="19"/>
              </w:rPr>
              <w:t>Sebab</w:t>
            </w:r>
          </w:p>
        </w:tc>
      </w:tr>
      <w:tr>
        <w:tc>
          <w:tcPr>
            <w:tcW w:type="dxa" w:w="2300"/>
            <w:vAlign w:val="center"/>
            <w:tcMar>
              <w:top w:w="90" w:type="dxa"/>
              <w:start w:w="120" w:type="dxa"/>
              <w:bottom w:w="90" w:type="dxa"/>
              <w:end w:w="120" w:type="dxa"/>
            </w:tcMar>
          </w:tcPr>
          <w:p>
            <w:r>
              <w:rPr>
                <w:rFonts w:ascii="Calibri" w:hAnsi="Calibri"/>
                <w:sz w:val="19"/>
              </w:rPr>
              <w:t>Volum aplikasi langsung</w:t>
            </w:r>
          </w:p>
        </w:tc>
        <w:tc>
          <w:tcPr>
            <w:tcW w:type="dxa" w:w="1300"/>
            <w:vAlign w:val="center"/>
            <w:tcMar>
              <w:top w:w="90" w:type="dxa"/>
              <w:start w:w="120" w:type="dxa"/>
              <w:bottom w:w="90" w:type="dxa"/>
              <w:end w:w="120" w:type="dxa"/>
            </w:tcMar>
          </w:tcPr>
          <w:p>
            <w:r>
              <w:rPr>
                <w:rFonts w:ascii="Calibri" w:hAnsi="Calibri"/>
                <w:sz w:val="19"/>
              </w:rPr>
              <w:t>50 GB</w:t>
            </w:r>
          </w:p>
        </w:tc>
        <w:tc>
          <w:tcPr>
            <w:tcW w:type="dxa" w:w="1700"/>
            <w:vAlign w:val="center"/>
            <w:tcMar>
              <w:top w:w="90" w:type="dxa"/>
              <w:start w:w="120" w:type="dxa"/>
              <w:bottom w:w="90" w:type="dxa"/>
              <w:end w:w="120" w:type="dxa"/>
            </w:tcMar>
          </w:tcPr>
          <w:p>
            <w:r>
              <w:rPr>
                <w:rFonts w:ascii="Calibri" w:hAnsi="Calibri"/>
                <w:sz w:val="19"/>
              </w:rPr>
              <w:t>100 GB</w:t>
            </w:r>
          </w:p>
        </w:tc>
        <w:tc>
          <w:tcPr>
            <w:tcW w:type="dxa" w:w="4060"/>
            <w:vAlign w:val="center"/>
            <w:tcMar>
              <w:top w:w="90" w:type="dxa"/>
              <w:start w:w="120" w:type="dxa"/>
              <w:bottom w:w="90" w:type="dxa"/>
              <w:end w:w="120" w:type="dxa"/>
            </w:tcMar>
          </w:tcPr>
          <w:p>
            <w:r>
              <w:rPr>
                <w:rFonts w:ascii="Calibri" w:hAnsi="Calibri"/>
                <w:sz w:val="19"/>
              </w:rPr>
              <w:t>Meliputi pertumbuhan 500 pengguna, muat naik tinggi dan ruang operasi</w:t>
            </w:r>
          </w:p>
        </w:tc>
      </w:tr>
      <w:tr>
        <w:tc>
          <w:tcPr>
            <w:tcW w:type="dxa" w:w="2300"/>
            <w:vAlign w:val="center"/>
            <w:tcMar>
              <w:top w:w="90" w:type="dxa"/>
              <w:start w:w="120" w:type="dxa"/>
              <w:bottom w:w="90" w:type="dxa"/>
              <w:end w:w="120" w:type="dxa"/>
            </w:tcMar>
          </w:tcPr>
          <w:p>
            <w:r>
              <w:rPr>
                <w:rFonts w:ascii="Calibri" w:hAnsi="Calibri"/>
                <w:sz w:val="19"/>
              </w:rPr>
              <w:t>Peruntukan pangkalan data</w:t>
            </w:r>
          </w:p>
        </w:tc>
        <w:tc>
          <w:tcPr>
            <w:tcW w:type="dxa" w:w="1300"/>
            <w:vAlign w:val="center"/>
            <w:tcMar>
              <w:top w:w="90" w:type="dxa"/>
              <w:start w:w="120" w:type="dxa"/>
              <w:bottom w:w="90" w:type="dxa"/>
              <w:end w:w="120" w:type="dxa"/>
            </w:tcMar>
          </w:tcPr>
          <w:p>
            <w:r>
              <w:rPr>
                <w:rFonts w:ascii="Calibri" w:hAnsi="Calibri"/>
                <w:sz w:val="19"/>
              </w:rPr>
              <w:t>2 GB</w:t>
            </w:r>
          </w:p>
        </w:tc>
        <w:tc>
          <w:tcPr>
            <w:tcW w:type="dxa" w:w="1700"/>
            <w:vAlign w:val="center"/>
            <w:tcMar>
              <w:top w:w="90" w:type="dxa"/>
              <w:start w:w="120" w:type="dxa"/>
              <w:bottom w:w="90" w:type="dxa"/>
              <w:end w:w="120" w:type="dxa"/>
            </w:tcMar>
          </w:tcPr>
          <w:p>
            <w:r>
              <w:rPr>
                <w:rFonts w:ascii="Calibri" w:hAnsi="Calibri"/>
                <w:sz w:val="19"/>
              </w:rPr>
              <w:t>5 GB</w:t>
            </w:r>
          </w:p>
        </w:tc>
        <w:tc>
          <w:tcPr>
            <w:tcW w:type="dxa" w:w="4060"/>
            <w:vAlign w:val="center"/>
            <w:tcMar>
              <w:top w:w="90" w:type="dxa"/>
              <w:start w:w="120" w:type="dxa"/>
              <w:bottom w:w="90" w:type="dxa"/>
              <w:end w:w="120" w:type="dxa"/>
            </w:tcMar>
          </w:tcPr>
          <w:p>
            <w:r>
              <w:rPr>
                <w:rFonts w:ascii="Calibri" w:hAnsi="Calibri"/>
                <w:sz w:val="19"/>
              </w:rPr>
              <w:t>Mencukupi untuk rekod, indeks, audit dan sesi bagi Kota Putera</w:t>
            </w:r>
          </w:p>
        </w:tc>
      </w:tr>
      <w:tr>
        <w:tc>
          <w:tcPr>
            <w:tcW w:type="dxa" w:w="2300"/>
            <w:vAlign w:val="center"/>
            <w:tcMar>
              <w:top w:w="90" w:type="dxa"/>
              <w:start w:w="120" w:type="dxa"/>
              <w:bottom w:w="90" w:type="dxa"/>
              <w:end w:w="120" w:type="dxa"/>
            </w:tcMar>
          </w:tcPr>
          <w:p>
            <w:r>
              <w:rPr>
                <w:rFonts w:ascii="Calibri" w:hAnsi="Calibri"/>
                <w:sz w:val="19"/>
              </w:rPr>
              <w:t>Storan sandaran berasingan</w:t>
            </w:r>
          </w:p>
        </w:tc>
        <w:tc>
          <w:tcPr>
            <w:tcW w:type="dxa" w:w="1300"/>
            <w:vAlign w:val="center"/>
            <w:tcMar>
              <w:top w:w="90" w:type="dxa"/>
              <w:start w:w="120" w:type="dxa"/>
              <w:bottom w:w="90" w:type="dxa"/>
              <w:end w:w="120" w:type="dxa"/>
            </w:tcMar>
          </w:tcPr>
          <w:p>
            <w:r>
              <w:rPr>
                <w:rFonts w:ascii="Calibri" w:hAnsi="Calibri"/>
                <w:sz w:val="19"/>
              </w:rPr>
              <w:t>100 GB</w:t>
            </w:r>
          </w:p>
        </w:tc>
        <w:tc>
          <w:tcPr>
            <w:tcW w:type="dxa" w:w="1700"/>
            <w:vAlign w:val="center"/>
            <w:tcMar>
              <w:top w:w="90" w:type="dxa"/>
              <w:start w:w="120" w:type="dxa"/>
              <w:bottom w:w="90" w:type="dxa"/>
              <w:end w:w="120" w:type="dxa"/>
            </w:tcMar>
          </w:tcPr>
          <w:p>
            <w:r>
              <w:rPr>
                <w:rFonts w:ascii="Calibri" w:hAnsi="Calibri"/>
                <w:sz w:val="19"/>
              </w:rPr>
              <w:t>150–300 GB</w:t>
            </w:r>
          </w:p>
        </w:tc>
        <w:tc>
          <w:tcPr>
            <w:tcW w:type="dxa" w:w="4060"/>
            <w:vAlign w:val="center"/>
            <w:tcMar>
              <w:top w:w="90" w:type="dxa"/>
              <w:start w:w="120" w:type="dxa"/>
              <w:bottom w:w="90" w:type="dxa"/>
              <w:end w:w="120" w:type="dxa"/>
            </w:tcMar>
          </w:tcPr>
          <w:p>
            <w:r>
              <w:rPr>
                <w:rFonts w:ascii="Calibri" w:hAnsi="Calibri"/>
                <w:sz w:val="19"/>
              </w:rPr>
              <w:t>Menyokong beberapa salinan pemulihan disulitkan</w:t>
            </w:r>
          </w:p>
        </w:tc>
      </w:tr>
      <w:tr>
        <w:tc>
          <w:tcPr>
            <w:tcW w:type="dxa" w:w="2300"/>
            <w:vAlign w:val="center"/>
            <w:tcMar>
              <w:top w:w="90" w:type="dxa"/>
              <w:start w:w="120" w:type="dxa"/>
              <w:bottom w:w="90" w:type="dxa"/>
              <w:end w:w="120" w:type="dxa"/>
            </w:tcMar>
          </w:tcPr>
          <w:p>
            <w:r>
              <w:rPr>
                <w:rFonts w:ascii="Calibri" w:hAnsi="Calibri"/>
                <w:sz w:val="19"/>
              </w:rPr>
              <w:t>Ruang kerja sementara</w:t>
            </w:r>
          </w:p>
        </w:tc>
        <w:tc>
          <w:tcPr>
            <w:tcW w:type="dxa" w:w="1300"/>
            <w:vAlign w:val="center"/>
            <w:tcMar>
              <w:top w:w="90" w:type="dxa"/>
              <w:start w:w="120" w:type="dxa"/>
              <w:bottom w:w="90" w:type="dxa"/>
              <w:end w:w="120" w:type="dxa"/>
            </w:tcMar>
          </w:tcPr>
          <w:p>
            <w:r>
              <w:rPr>
                <w:rFonts w:ascii="Calibri" w:hAnsi="Calibri"/>
                <w:sz w:val="19"/>
              </w:rPr>
              <w:t>5 GB</w:t>
            </w:r>
          </w:p>
        </w:tc>
        <w:tc>
          <w:tcPr>
            <w:tcW w:type="dxa" w:w="1700"/>
            <w:vAlign w:val="center"/>
            <w:tcMar>
              <w:top w:w="90" w:type="dxa"/>
              <w:start w:w="120" w:type="dxa"/>
              <w:bottom w:w="90" w:type="dxa"/>
              <w:end w:w="120" w:type="dxa"/>
            </w:tcMar>
          </w:tcPr>
          <w:p>
            <w:r>
              <w:rPr>
                <w:rFonts w:ascii="Calibri" w:hAnsi="Calibri"/>
                <w:sz w:val="19"/>
              </w:rPr>
              <w:t>10 GB</w:t>
            </w:r>
          </w:p>
        </w:tc>
        <w:tc>
          <w:tcPr>
            <w:tcW w:type="dxa" w:w="4060"/>
            <w:vAlign w:val="center"/>
            <w:tcMar>
              <w:top w:w="90" w:type="dxa"/>
              <w:start w:w="120" w:type="dxa"/>
              <w:bottom w:w="90" w:type="dxa"/>
              <w:end w:w="120" w:type="dxa"/>
            </w:tcMar>
          </w:tcPr>
          <w:p>
            <w:r>
              <w:rPr>
                <w:rFonts w:ascii="Calibri" w:hAnsi="Calibri"/>
                <w:sz w:val="19"/>
              </w:rPr>
              <w:t>Penerapan, eksport, pemprosesan imej dan kemas kini</w:t>
            </w:r>
          </w:p>
        </w:tc>
      </w:tr>
    </w:tbl>
    <w:p>
      <w:r>
        <w:t>Cadangan ini sengaja ditetapkan lebih besar daripada jangkaan penggunaan operasi biasa 8–12 GB. Pengehosan kerajaan perlu merangkumi margin keselamatan, fail operasi dan kapasiti pemulihan.</w:t>
      </w:r>
    </w:p>
    <w:p>
      <w:pPr>
        <w:pStyle w:val="Heading1"/>
      </w:pPr>
      <w:r>
        <w:t>Pemerhatian Pengehosan Semasa</w:t>
      </w:r>
    </w:p>
    <w:p>
      <w:r>
        <w:t>Tangkapan skrin Ryaze yang diberikan menunjukkan 215.8 MB digunakan daripada peruntukan 1 GB. Sebahagian besarnya ialah kandungan pembangunan dan kebergantungan, bukannya maklumat pengguna.</w:t>
      </w:r>
    </w:p>
    <w:tbl>
      <w:tblPr>
        <w:tblStyle w:val="TableGrid"/>
        <w:tblW w:type="dxa" w:w="9360"/>
        <w:jc w:val="center"/>
        <w:tblLayout w:type="fixed"/>
        <w:tblLook w:firstColumn="1" w:firstRow="1" w:lastColumn="0" w:lastRow="0" w:noHBand="0" w:noVBand="1" w:val="04A0"/>
        <w:tblInd w:w="120" w:type="dxa"/>
      </w:tblPr>
      <w:tblGrid>
        <w:gridCol w:w="2300"/>
        <w:gridCol w:w="1700"/>
        <w:gridCol w:w="5360"/>
      </w:tblGrid>
      <w:tr>
        <w:trPr>
          <w:tblHeader w:val="true"/>
        </w:trPr>
        <w:tc>
          <w:tcPr>
            <w:tcW w:type="dxa" w:w="2300"/>
            <w:shd w:fill="E8EEF5"/>
            <w:vAlign w:val="center"/>
            <w:tcMar>
              <w:top w:w="90" w:type="dxa"/>
              <w:start w:w="120" w:type="dxa"/>
              <w:bottom w:w="90" w:type="dxa"/>
              <w:end w:w="120" w:type="dxa"/>
            </w:tcMar>
          </w:tcPr>
          <w:p>
            <w:r>
              <w:rPr>
                <w:rFonts w:ascii="Calibri" w:hAnsi="Calibri"/>
                <w:b/>
                <w:color w:val="1F4D78"/>
                <w:sz w:val="19"/>
              </w:rPr>
              <w:t>Item semasa</w:t>
            </w:r>
          </w:p>
        </w:tc>
        <w:tc>
          <w:tcPr>
            <w:tcW w:type="dxa" w:w="1700"/>
            <w:shd w:fill="E8EEF5"/>
            <w:vAlign w:val="center"/>
            <w:tcMar>
              <w:top w:w="90" w:type="dxa"/>
              <w:start w:w="120" w:type="dxa"/>
              <w:bottom w:w="90" w:type="dxa"/>
              <w:end w:w="120" w:type="dxa"/>
            </w:tcMar>
          </w:tcPr>
          <w:p>
            <w:r>
              <w:rPr>
                <w:rFonts w:ascii="Calibri" w:hAnsi="Calibri"/>
                <w:b/>
                <w:color w:val="1F4D78"/>
                <w:sz w:val="19"/>
              </w:rPr>
              <w:t>Saiz diperhatikan</w:t>
            </w:r>
          </w:p>
        </w:tc>
        <w:tc>
          <w:tcPr>
            <w:tcW w:type="dxa" w:w="5360"/>
            <w:shd w:fill="E8EEF5"/>
            <w:vAlign w:val="center"/>
            <w:tcMar>
              <w:top w:w="90" w:type="dxa"/>
              <w:start w:w="120" w:type="dxa"/>
              <w:bottom w:w="90" w:type="dxa"/>
              <w:end w:w="120" w:type="dxa"/>
            </w:tcMar>
          </w:tcPr>
          <w:p>
            <w:r>
              <w:rPr>
                <w:rFonts w:ascii="Calibri" w:hAnsi="Calibri"/>
                <w:b/>
                <w:color w:val="1F4D78"/>
                <w:sz w:val="19"/>
              </w:rPr>
              <w:t>Tindakan pengeluaran</w:t>
            </w:r>
          </w:p>
        </w:tc>
      </w:tr>
      <w:tr>
        <w:tc>
          <w:tcPr>
            <w:tcW w:type="dxa" w:w="2300"/>
            <w:vAlign w:val="center"/>
            <w:tcMar>
              <w:top w:w="90" w:type="dxa"/>
              <w:start w:w="120" w:type="dxa"/>
              <w:bottom w:w="90" w:type="dxa"/>
              <w:end w:w="120" w:type="dxa"/>
            </w:tcMar>
          </w:tcPr>
          <w:p>
            <w:r>
              <w:rPr>
                <w:rFonts w:ascii="Calibri" w:hAnsi="Calibri"/>
                <w:sz w:val="19"/>
              </w:rPr>
              <w:t>node_modules</w:t>
            </w:r>
          </w:p>
        </w:tc>
        <w:tc>
          <w:tcPr>
            <w:tcW w:type="dxa" w:w="1700"/>
            <w:vAlign w:val="center"/>
            <w:tcMar>
              <w:top w:w="90" w:type="dxa"/>
              <w:start w:w="120" w:type="dxa"/>
              <w:bottom w:w="90" w:type="dxa"/>
              <w:end w:w="120" w:type="dxa"/>
            </w:tcMar>
          </w:tcPr>
          <w:p>
            <w:r>
              <w:rPr>
                <w:rFonts w:ascii="Calibri" w:hAnsi="Calibri"/>
                <w:sz w:val="19"/>
              </w:rPr>
              <w:t>135.4 MB</w:t>
            </w:r>
          </w:p>
        </w:tc>
        <w:tc>
          <w:tcPr>
            <w:tcW w:type="dxa" w:w="5360"/>
            <w:vAlign w:val="center"/>
            <w:tcMar>
              <w:top w:w="90" w:type="dxa"/>
              <w:start w:w="120" w:type="dxa"/>
              <w:bottom w:w="90" w:type="dxa"/>
              <w:end w:w="120" w:type="dxa"/>
            </w:tcMar>
          </w:tcPr>
          <w:p>
            <w:r>
              <w:rPr>
                <w:rFonts w:ascii="Calibri" w:hAnsi="Calibri"/>
                <w:sz w:val="19"/>
              </w:rPr>
              <w:t>Jangan simpan pada pelayan pengeluaran selepas aset Vite dibina</w:t>
            </w:r>
          </w:p>
        </w:tc>
      </w:tr>
      <w:tr>
        <w:tc>
          <w:tcPr>
            <w:tcW w:type="dxa" w:w="2300"/>
            <w:vAlign w:val="center"/>
            <w:tcMar>
              <w:top w:w="90" w:type="dxa"/>
              <w:start w:w="120" w:type="dxa"/>
              <w:bottom w:w="90" w:type="dxa"/>
              <w:end w:w="120" w:type="dxa"/>
            </w:tcMar>
          </w:tcPr>
          <w:p>
            <w:r>
              <w:rPr>
                <w:rFonts w:ascii="Calibri" w:hAnsi="Calibri"/>
                <w:sz w:val="19"/>
              </w:rPr>
              <w:t>vendor</w:t>
            </w:r>
          </w:p>
        </w:tc>
        <w:tc>
          <w:tcPr>
            <w:tcW w:type="dxa" w:w="1700"/>
            <w:vAlign w:val="center"/>
            <w:tcMar>
              <w:top w:w="90" w:type="dxa"/>
              <w:start w:w="120" w:type="dxa"/>
              <w:bottom w:w="90" w:type="dxa"/>
              <w:end w:w="120" w:type="dxa"/>
            </w:tcMar>
          </w:tcPr>
          <w:p>
            <w:r>
              <w:rPr>
                <w:rFonts w:ascii="Calibri" w:hAnsi="Calibri"/>
                <w:sz w:val="19"/>
              </w:rPr>
              <w:t>71.5 MB dalam tangkapan skrin</w:t>
            </w:r>
          </w:p>
        </w:tc>
        <w:tc>
          <w:tcPr>
            <w:tcW w:type="dxa" w:w="5360"/>
            <w:vAlign w:val="center"/>
            <w:tcMar>
              <w:top w:w="90" w:type="dxa"/>
              <w:start w:w="120" w:type="dxa"/>
              <w:bottom w:w="90" w:type="dxa"/>
              <w:end w:w="120" w:type="dxa"/>
            </w:tcMar>
          </w:tcPr>
          <w:p>
            <w:r>
              <w:rPr>
                <w:rFonts w:ascii="Calibri" w:hAnsi="Calibri"/>
                <w:sz w:val="19"/>
              </w:rPr>
              <w:t>Diperlukan untuk masa jalan pengeluaran Laravel</w:t>
            </w:r>
          </w:p>
        </w:tc>
      </w:tr>
      <w:tr>
        <w:tc>
          <w:tcPr>
            <w:tcW w:type="dxa" w:w="2300"/>
            <w:vAlign w:val="center"/>
            <w:tcMar>
              <w:top w:w="90" w:type="dxa"/>
              <w:start w:w="120" w:type="dxa"/>
              <w:bottom w:w="90" w:type="dxa"/>
              <w:end w:w="120" w:type="dxa"/>
            </w:tcMar>
          </w:tcPr>
          <w:p>
            <w:r>
              <w:rPr>
                <w:rFonts w:ascii="Calibri" w:hAnsi="Calibri"/>
                <w:sz w:val="19"/>
              </w:rPr>
              <w:t>storage</w:t>
            </w:r>
          </w:p>
        </w:tc>
        <w:tc>
          <w:tcPr>
            <w:tcW w:type="dxa" w:w="1700"/>
            <w:vAlign w:val="center"/>
            <w:tcMar>
              <w:top w:w="90" w:type="dxa"/>
              <w:start w:w="120" w:type="dxa"/>
              <w:bottom w:w="90" w:type="dxa"/>
              <w:end w:w="120" w:type="dxa"/>
            </w:tcMar>
          </w:tcPr>
          <w:p>
            <w:r>
              <w:rPr>
                <w:rFonts w:ascii="Calibri" w:hAnsi="Calibri"/>
                <w:sz w:val="19"/>
              </w:rPr>
              <w:t>4.2 MB dalam tangkapan skrin</w:t>
            </w:r>
          </w:p>
        </w:tc>
        <w:tc>
          <w:tcPr>
            <w:tcW w:type="dxa" w:w="5360"/>
            <w:vAlign w:val="center"/>
            <w:tcMar>
              <w:top w:w="90" w:type="dxa"/>
              <w:start w:w="120" w:type="dxa"/>
              <w:bottom w:w="90" w:type="dxa"/>
              <w:end w:w="120" w:type="dxa"/>
            </w:tcMar>
          </w:tcPr>
          <w:p>
            <w:r>
              <w:rPr>
                <w:rFonts w:ascii="Calibri" w:hAnsi="Calibri"/>
                <w:sz w:val="19"/>
              </w:rPr>
              <w:t>Bertambah mengikut dokumen peribadi, log dan eksport</w:t>
            </w:r>
          </w:p>
        </w:tc>
      </w:tr>
      <w:tr>
        <w:tc>
          <w:tcPr>
            <w:tcW w:type="dxa" w:w="2300"/>
            <w:vAlign w:val="center"/>
            <w:tcMar>
              <w:top w:w="90" w:type="dxa"/>
              <w:start w:w="120" w:type="dxa"/>
              <w:bottom w:w="90" w:type="dxa"/>
              <w:end w:w="120" w:type="dxa"/>
            </w:tcMar>
          </w:tcPr>
          <w:p>
            <w:r>
              <w:rPr>
                <w:rFonts w:ascii="Calibri" w:hAnsi="Calibri"/>
                <w:sz w:val="19"/>
              </w:rPr>
              <w:t>.git</w:t>
            </w:r>
          </w:p>
        </w:tc>
        <w:tc>
          <w:tcPr>
            <w:tcW w:type="dxa" w:w="1700"/>
            <w:vAlign w:val="center"/>
            <w:tcMar>
              <w:top w:w="90" w:type="dxa"/>
              <w:start w:w="120" w:type="dxa"/>
              <w:bottom w:w="90" w:type="dxa"/>
              <w:end w:w="120" w:type="dxa"/>
            </w:tcMar>
          </w:tcPr>
          <w:p>
            <w:r>
              <w:rPr>
                <w:rFonts w:ascii="Calibri" w:hAnsi="Calibri"/>
                <w:sz w:val="19"/>
              </w:rPr>
              <w:t>1.8 MB</w:t>
            </w:r>
          </w:p>
        </w:tc>
        <w:tc>
          <w:tcPr>
            <w:tcW w:type="dxa" w:w="5360"/>
            <w:vAlign w:val="center"/>
            <w:tcMar>
              <w:top w:w="90" w:type="dxa"/>
              <w:start w:w="120" w:type="dxa"/>
              <w:bottom w:w="90" w:type="dxa"/>
              <w:end w:w="120" w:type="dxa"/>
            </w:tcMar>
          </w:tcPr>
          <w:p>
            <w:r>
              <w:rPr>
                <w:rFonts w:ascii="Calibri" w:hAnsi="Calibri"/>
                <w:sz w:val="19"/>
              </w:rPr>
              <w:t>Tidak diperlukan dalam pakej keluaran pengeluaran</w:t>
            </w:r>
          </w:p>
        </w:tc>
      </w:tr>
      <w:tr>
        <w:tc>
          <w:tcPr>
            <w:tcW w:type="dxa" w:w="2300"/>
            <w:vAlign w:val="center"/>
            <w:tcMar>
              <w:top w:w="90" w:type="dxa"/>
              <w:start w:w="120" w:type="dxa"/>
              <w:bottom w:w="90" w:type="dxa"/>
              <w:end w:w="120" w:type="dxa"/>
            </w:tcMar>
          </w:tcPr>
          <w:p>
            <w:r>
              <w:rPr>
                <w:rFonts w:ascii="Calibri" w:hAnsi="Calibri"/>
                <w:sz w:val="19"/>
              </w:rPr>
              <w:t>public/resources/aplikasi</w:t>
            </w:r>
          </w:p>
        </w:tc>
        <w:tc>
          <w:tcPr>
            <w:tcW w:type="dxa" w:w="1700"/>
            <w:vAlign w:val="center"/>
            <w:tcMar>
              <w:top w:w="90" w:type="dxa"/>
              <w:start w:w="120" w:type="dxa"/>
              <w:bottom w:w="90" w:type="dxa"/>
              <w:end w:w="120" w:type="dxa"/>
            </w:tcMar>
          </w:tcPr>
          <w:p>
            <w:r>
              <w:rPr>
                <w:rFonts w:ascii="Calibri" w:hAnsi="Calibri"/>
                <w:sz w:val="19"/>
              </w:rPr>
              <w:t>Kecil</w:t>
            </w:r>
          </w:p>
        </w:tc>
        <w:tc>
          <w:tcPr>
            <w:tcW w:type="dxa" w:w="5360"/>
            <w:vAlign w:val="center"/>
            <w:tcMar>
              <w:top w:w="90" w:type="dxa"/>
              <w:start w:w="120" w:type="dxa"/>
              <w:bottom w:w="90" w:type="dxa"/>
              <w:end w:w="120" w:type="dxa"/>
            </w:tcMar>
          </w:tcPr>
          <w:p>
            <w:r>
              <w:rPr>
                <w:rFonts w:ascii="Calibri" w:hAnsi="Calibri"/>
                <w:sz w:val="19"/>
              </w:rPr>
              <w:t>Fail aplikasi kompilasi/masa jalan yang diperlukan</w:t>
            </w:r>
          </w:p>
        </w:tc>
      </w:tr>
    </w:tbl>
    <w:p>
      <w:pPr>
        <w:spacing w:before="80" w:after="200"/>
        <w:ind w:left="173" w:right="173"/>
        <w:shd w:fill="F4F6F9"/>
        <w:pBdr>
          <w:top w:val="single" w:sz="6" w:space="6" w:color="D9E2F3"/>
          <w:left w:val="single" w:sz="6" w:space="6" w:color="D9E2F3"/>
          <w:bottom w:val="single" w:sz="6" w:space="6" w:color="D9E2F3"/>
          <w:right w:val="single" w:sz="6" w:space="6" w:color="D9E2F3"/>
        </w:pBdr>
      </w:pPr>
      <w:r>
        <w:rPr>
          <w:rFonts w:ascii="Calibri" w:hAnsi="Calibri"/>
          <w:b/>
          <w:color w:val="1F4D78"/>
          <w:sz w:val="24"/>
        </w:rPr>
        <w:t>Asas aplikasi pengeluaran</w:t>
        <w:br/>
      </w:r>
      <w:r>
        <w:rPr>
          <w:rFonts w:ascii="Calibri" w:hAnsi="Calibri"/>
          <w:sz w:val="22"/>
        </w:rPr>
        <w:t>Penerapan bersih tanpa node_modules, .git, ujian dan fail pembangunan dianggarkan sekitar 65–80 MB sebelum muat naik pengguna dan pertumbuhan pangkalan data.</w:t>
      </w:r>
    </w:p>
    <w:p>
      <w:pPr>
        <w:pStyle w:val="Heading1"/>
      </w:pPr>
      <w:r>
        <w:t>Andaian bagi 500 Pengguna – Kota Putera</w:t>
      </w:r>
    </w:p>
    <w:p>
      <w:pPr>
        <w:pStyle w:val="ListBullet"/>
      </w:pPr>
      <w:r>
        <w:t>Anggaran konservatif ini adalah khusus untuk Kota Putera dan mengandaikan kesemua 500 akaun berpotensi menjadi pengguna OKU yang memuat naik dokumen.</w:t>
      </w:r>
    </w:p>
    <w:p>
      <w:pPr>
        <w:pStyle w:val="ListBullet"/>
      </w:pPr>
      <w:r>
        <w:t>Had foto profil: 3 MB.</w:t>
      </w:r>
    </w:p>
    <w:p>
      <w:pPr>
        <w:pStyle w:val="ListBullet"/>
      </w:pPr>
      <w:r>
        <w:t>Had imej Kad OKU: 5 MB.</w:t>
      </w:r>
    </w:p>
    <w:p>
      <w:pPr>
        <w:pStyle w:val="ListBullet"/>
      </w:pPr>
      <w:r>
        <w:t>Had résumé: 5 MB.</w:t>
      </w:r>
    </w:p>
    <w:p>
      <w:pPr>
        <w:pStyle w:val="ListBullet"/>
      </w:pPr>
      <w:r>
        <w:t>Had muat naik pengesahan identiti: 8 MB bagi setiap imej, dengan sehingga empat bahagian dokumen.</w:t>
      </w:r>
    </w:p>
    <w:p>
      <w:pPr>
        <w:pStyle w:val="ListBullet"/>
      </w:pPr>
      <w:r>
        <w:t>Pengesahan identiti menyimpan salinan asal dan salinan diproses yang disulitkan; penyulitan/base64 menambah penggunaan storan.</w:t>
      </w:r>
    </w:p>
    <w:p>
      <w:pPr>
        <w:pStyle w:val="ListBullet"/>
      </w:pPr>
      <w:r>
        <w:t>Dokumen identiti dikonfigurasikan untuk dipadam selepas 90 hari apabila penjadual Laravel berjalan.</w:t>
      </w:r>
    </w:p>
    <w:p>
      <w:pPr>
        <w:pStyle w:val="ListBullet"/>
      </w:pPr>
      <w:r>
        <w:t>Eksport yang dijana tamat tempoh selepas 24 jam dan dipadam oleh penjadual.</w:t>
      </w:r>
    </w:p>
    <w:p>
      <w:pPr>
        <w:pStyle w:val="ListBullet"/>
      </w:pPr>
      <w:r>
        <w:t>Saiz rekod pangkalan data adalah kecil berbanding imej dokumen; log dan sandaran memerlukan kawalan berasingan.</w:t>
      </w:r>
    </w:p>
    <w:p>
      <w:pPr>
        <w:pStyle w:val="Heading1"/>
      </w:pPr>
      <w:r>
        <w:t>Senario Storan</w:t>
      </w:r>
    </w:p>
    <w:tbl>
      <w:tblPr>
        <w:tblStyle w:val="TableGrid"/>
        <w:tblW w:type="dxa" w:w="9360"/>
        <w:jc w:val="center"/>
        <w:tblLayout w:type="fixed"/>
        <w:tblLook w:firstColumn="1" w:firstRow="1" w:lastColumn="0" w:lastRow="0" w:noHBand="0" w:noVBand="1" w:val="04A0"/>
        <w:tblInd w:w="120" w:type="dxa"/>
      </w:tblPr>
      <w:tblGrid>
        <w:gridCol w:w="1700"/>
        <w:gridCol w:w="1700"/>
        <w:gridCol w:w="1500"/>
        <w:gridCol w:w="1900"/>
        <w:gridCol w:w="2560"/>
      </w:tblGrid>
      <w:tr>
        <w:trPr>
          <w:tblHeader w:val="true"/>
        </w:trPr>
        <w:tc>
          <w:tcPr>
            <w:tcW w:type="dxa" w:w="1700"/>
            <w:shd w:fill="E8EEF5"/>
            <w:vAlign w:val="center"/>
            <w:tcMar>
              <w:top w:w="90" w:type="dxa"/>
              <w:start w:w="120" w:type="dxa"/>
              <w:bottom w:w="90" w:type="dxa"/>
              <w:end w:w="120" w:type="dxa"/>
            </w:tcMar>
          </w:tcPr>
          <w:p>
            <w:r>
              <w:rPr>
                <w:rFonts w:ascii="Calibri" w:hAnsi="Calibri"/>
                <w:b/>
                <w:color w:val="1F4D78"/>
                <w:sz w:val="19"/>
              </w:rPr>
              <w:t>Senario</w:t>
            </w:r>
          </w:p>
        </w:tc>
        <w:tc>
          <w:tcPr>
            <w:tcW w:type="dxa" w:w="1700"/>
            <w:shd w:fill="E8EEF5"/>
            <w:vAlign w:val="center"/>
            <w:tcMar>
              <w:top w:w="90" w:type="dxa"/>
              <w:start w:w="120" w:type="dxa"/>
              <w:bottom w:w="90" w:type="dxa"/>
              <w:end w:w="120" w:type="dxa"/>
            </w:tcMar>
          </w:tcPr>
          <w:p>
            <w:r>
              <w:rPr>
                <w:rFonts w:ascii="Calibri" w:hAnsi="Calibri"/>
                <w:b/>
                <w:color w:val="1F4D78"/>
                <w:sz w:val="19"/>
              </w:rPr>
              <w:t>Fail setiap pengguna</w:t>
            </w:r>
          </w:p>
        </w:tc>
        <w:tc>
          <w:tcPr>
            <w:tcW w:type="dxa" w:w="1500"/>
            <w:shd w:fill="E8EEF5"/>
            <w:vAlign w:val="center"/>
            <w:tcMar>
              <w:top w:w="90" w:type="dxa"/>
              <w:start w:w="120" w:type="dxa"/>
              <w:bottom w:w="90" w:type="dxa"/>
              <w:end w:w="120" w:type="dxa"/>
            </w:tcMar>
          </w:tcPr>
          <w:p>
            <w:r>
              <w:rPr>
                <w:rFonts w:ascii="Calibri" w:hAnsi="Calibri"/>
                <w:b/>
                <w:color w:val="1F4D78"/>
                <w:sz w:val="19"/>
              </w:rPr>
              <w:t>500 pengguna</w:t>
            </w:r>
          </w:p>
        </w:tc>
        <w:tc>
          <w:tcPr>
            <w:tcW w:type="dxa" w:w="1900"/>
            <w:shd w:fill="E8EEF5"/>
            <w:vAlign w:val="center"/>
            <w:tcMar>
              <w:top w:w="90" w:type="dxa"/>
              <w:start w:w="120" w:type="dxa"/>
              <w:bottom w:w="90" w:type="dxa"/>
              <w:end w:w="120" w:type="dxa"/>
            </w:tcMar>
          </w:tcPr>
          <w:p>
            <w:r>
              <w:rPr>
                <w:rFonts w:ascii="Calibri" w:hAnsi="Calibri"/>
                <w:b/>
                <w:color w:val="1F4D78"/>
                <w:sz w:val="19"/>
              </w:rPr>
              <w:t>Data langsung lain</w:t>
            </w:r>
          </w:p>
        </w:tc>
        <w:tc>
          <w:tcPr>
            <w:tcW w:type="dxa" w:w="2560"/>
            <w:shd w:fill="E8EEF5"/>
            <w:vAlign w:val="center"/>
            <w:tcMar>
              <w:top w:w="90" w:type="dxa"/>
              <w:start w:w="120" w:type="dxa"/>
              <w:bottom w:w="90" w:type="dxa"/>
              <w:end w:w="120" w:type="dxa"/>
            </w:tcMar>
          </w:tcPr>
          <w:p>
            <w:r>
              <w:rPr>
                <w:rFonts w:ascii="Calibri" w:hAnsi="Calibri"/>
                <w:b/>
                <w:color w:val="1F4D78"/>
                <w:sz w:val="19"/>
              </w:rPr>
              <w:t>Anggaran jumlah langsung</w:t>
            </w:r>
          </w:p>
        </w:tc>
      </w:tr>
      <w:tr>
        <w:tc>
          <w:tcPr>
            <w:tcW w:type="dxa" w:w="1700"/>
            <w:vAlign w:val="center"/>
            <w:tcMar>
              <w:top w:w="90" w:type="dxa"/>
              <w:start w:w="120" w:type="dxa"/>
              <w:bottom w:w="90" w:type="dxa"/>
              <w:end w:w="120" w:type="dxa"/>
            </w:tcMar>
          </w:tcPr>
          <w:p>
            <w:r>
              <w:rPr>
                <w:rFonts w:ascii="Calibri" w:hAnsi="Calibri"/>
                <w:sz w:val="19"/>
              </w:rPr>
              <w:t>Minimum</w:t>
            </w:r>
          </w:p>
        </w:tc>
        <w:tc>
          <w:tcPr>
            <w:tcW w:type="dxa" w:w="1700"/>
            <w:vAlign w:val="center"/>
            <w:tcMar>
              <w:top w:w="90" w:type="dxa"/>
              <w:start w:w="120" w:type="dxa"/>
              <w:bottom w:w="90" w:type="dxa"/>
              <w:end w:w="120" w:type="dxa"/>
            </w:tcMar>
          </w:tcPr>
          <w:p>
            <w:r>
              <w:rPr>
                <w:rFonts w:ascii="Calibri" w:hAnsi="Calibri"/>
                <w:sz w:val="19"/>
              </w:rPr>
              <w:t>≈5 MB</w:t>
            </w:r>
          </w:p>
        </w:tc>
        <w:tc>
          <w:tcPr>
            <w:tcW w:type="dxa" w:w="1500"/>
            <w:vAlign w:val="center"/>
            <w:tcMar>
              <w:top w:w="90" w:type="dxa"/>
              <w:start w:w="120" w:type="dxa"/>
              <w:bottom w:w="90" w:type="dxa"/>
              <w:end w:w="120" w:type="dxa"/>
            </w:tcMar>
          </w:tcPr>
          <w:p>
            <w:r>
              <w:rPr>
                <w:rFonts w:ascii="Calibri" w:hAnsi="Calibri"/>
                <w:sz w:val="19"/>
              </w:rPr>
              <w:t>≈2.5 GB</w:t>
            </w:r>
          </w:p>
        </w:tc>
        <w:tc>
          <w:tcPr>
            <w:tcW w:type="dxa" w:w="1900"/>
            <w:vAlign w:val="center"/>
            <w:tcMar>
              <w:top w:w="90" w:type="dxa"/>
              <w:start w:w="120" w:type="dxa"/>
              <w:bottom w:w="90" w:type="dxa"/>
              <w:end w:w="120" w:type="dxa"/>
            </w:tcMar>
          </w:tcPr>
          <w:p>
            <w:r>
              <w:rPr>
                <w:rFonts w:ascii="Calibri" w:hAnsi="Calibri"/>
                <w:sz w:val="19"/>
              </w:rPr>
              <w:t>≈1.5 GB</w:t>
            </w:r>
          </w:p>
        </w:tc>
        <w:tc>
          <w:tcPr>
            <w:tcW w:type="dxa" w:w="2560"/>
            <w:vAlign w:val="center"/>
            <w:tcMar>
              <w:top w:w="90" w:type="dxa"/>
              <w:start w:w="120" w:type="dxa"/>
              <w:bottom w:w="90" w:type="dxa"/>
              <w:end w:w="120" w:type="dxa"/>
            </w:tcMar>
          </w:tcPr>
          <w:p>
            <w:r>
              <w:rPr>
                <w:rFonts w:ascii="Calibri" w:hAnsi="Calibri"/>
                <w:sz w:val="19"/>
              </w:rPr>
              <w:t>≈4–5 GB</w:t>
            </w:r>
          </w:p>
        </w:tc>
      </w:tr>
      <w:tr>
        <w:tc>
          <w:tcPr>
            <w:tcW w:type="dxa" w:w="1700"/>
            <w:vAlign w:val="center"/>
            <w:tcMar>
              <w:top w:w="90" w:type="dxa"/>
              <w:start w:w="120" w:type="dxa"/>
              <w:bottom w:w="90" w:type="dxa"/>
              <w:end w:w="120" w:type="dxa"/>
            </w:tcMar>
          </w:tcPr>
          <w:p>
            <w:r>
              <w:rPr>
                <w:rFonts w:ascii="Calibri" w:hAnsi="Calibri"/>
                <w:sz w:val="19"/>
              </w:rPr>
              <w:t>Jangkaan</w:t>
            </w:r>
          </w:p>
        </w:tc>
        <w:tc>
          <w:tcPr>
            <w:tcW w:type="dxa" w:w="1700"/>
            <w:vAlign w:val="center"/>
            <w:tcMar>
              <w:top w:w="90" w:type="dxa"/>
              <w:start w:w="120" w:type="dxa"/>
              <w:bottom w:w="90" w:type="dxa"/>
              <w:end w:w="120" w:type="dxa"/>
            </w:tcMar>
          </w:tcPr>
          <w:p>
            <w:r>
              <w:rPr>
                <w:rFonts w:ascii="Calibri" w:hAnsi="Calibri"/>
                <w:sz w:val="19"/>
              </w:rPr>
              <w:t>≈12 MB</w:t>
            </w:r>
          </w:p>
        </w:tc>
        <w:tc>
          <w:tcPr>
            <w:tcW w:type="dxa" w:w="1500"/>
            <w:vAlign w:val="center"/>
            <w:tcMar>
              <w:top w:w="90" w:type="dxa"/>
              <w:start w:w="120" w:type="dxa"/>
              <w:bottom w:w="90" w:type="dxa"/>
              <w:end w:w="120" w:type="dxa"/>
            </w:tcMar>
          </w:tcPr>
          <w:p>
            <w:r>
              <w:rPr>
                <w:rFonts w:ascii="Calibri" w:hAnsi="Calibri"/>
                <w:sz w:val="19"/>
              </w:rPr>
              <w:t>≈6 GB</w:t>
            </w:r>
          </w:p>
        </w:tc>
        <w:tc>
          <w:tcPr>
            <w:tcW w:type="dxa" w:w="1900"/>
            <w:vAlign w:val="center"/>
            <w:tcMar>
              <w:top w:w="90" w:type="dxa"/>
              <w:start w:w="120" w:type="dxa"/>
              <w:bottom w:w="90" w:type="dxa"/>
              <w:end w:w="120" w:type="dxa"/>
            </w:tcMar>
          </w:tcPr>
          <w:p>
            <w:r>
              <w:rPr>
                <w:rFonts w:ascii="Calibri" w:hAnsi="Calibri"/>
                <w:sz w:val="19"/>
              </w:rPr>
              <w:t>≈3 GB</w:t>
            </w:r>
          </w:p>
        </w:tc>
        <w:tc>
          <w:tcPr>
            <w:tcW w:type="dxa" w:w="2560"/>
            <w:vAlign w:val="center"/>
            <w:tcMar>
              <w:top w:w="90" w:type="dxa"/>
              <w:start w:w="120" w:type="dxa"/>
              <w:bottom w:w="90" w:type="dxa"/>
              <w:end w:w="120" w:type="dxa"/>
            </w:tcMar>
          </w:tcPr>
          <w:p>
            <w:r>
              <w:rPr>
                <w:rFonts w:ascii="Calibri" w:hAnsi="Calibri"/>
                <w:sz w:val="19"/>
              </w:rPr>
              <w:t>≈8–12 GB</w:t>
            </w:r>
          </w:p>
        </w:tc>
      </w:tr>
      <w:tr>
        <w:tc>
          <w:tcPr>
            <w:tcW w:type="dxa" w:w="1700"/>
            <w:vAlign w:val="center"/>
            <w:tcMar>
              <w:top w:w="90" w:type="dxa"/>
              <w:start w:w="120" w:type="dxa"/>
              <w:bottom w:w="90" w:type="dxa"/>
              <w:end w:w="120" w:type="dxa"/>
            </w:tcMar>
          </w:tcPr>
          <w:p>
            <w:r>
              <w:rPr>
                <w:rFonts w:ascii="Calibri" w:hAnsi="Calibri"/>
                <w:sz w:val="19"/>
              </w:rPr>
              <w:t>Penggunaan tinggi</w:t>
            </w:r>
          </w:p>
        </w:tc>
        <w:tc>
          <w:tcPr>
            <w:tcW w:type="dxa" w:w="1700"/>
            <w:vAlign w:val="center"/>
            <w:tcMar>
              <w:top w:w="90" w:type="dxa"/>
              <w:start w:w="120" w:type="dxa"/>
              <w:bottom w:w="90" w:type="dxa"/>
              <w:end w:w="120" w:type="dxa"/>
            </w:tcMar>
          </w:tcPr>
          <w:p>
            <w:r>
              <w:rPr>
                <w:rFonts w:ascii="Calibri" w:hAnsi="Calibri"/>
                <w:sz w:val="19"/>
              </w:rPr>
              <w:t>≈35 MB</w:t>
            </w:r>
          </w:p>
        </w:tc>
        <w:tc>
          <w:tcPr>
            <w:tcW w:type="dxa" w:w="1500"/>
            <w:vAlign w:val="center"/>
            <w:tcMar>
              <w:top w:w="90" w:type="dxa"/>
              <w:start w:w="120" w:type="dxa"/>
              <w:bottom w:w="90" w:type="dxa"/>
              <w:end w:w="120" w:type="dxa"/>
            </w:tcMar>
          </w:tcPr>
          <w:p>
            <w:r>
              <w:rPr>
                <w:rFonts w:ascii="Calibri" w:hAnsi="Calibri"/>
                <w:sz w:val="19"/>
              </w:rPr>
              <w:t>≈17.5 GB</w:t>
            </w:r>
          </w:p>
        </w:tc>
        <w:tc>
          <w:tcPr>
            <w:tcW w:type="dxa" w:w="1900"/>
            <w:vAlign w:val="center"/>
            <w:tcMar>
              <w:top w:w="90" w:type="dxa"/>
              <w:start w:w="120" w:type="dxa"/>
              <w:bottom w:w="90" w:type="dxa"/>
              <w:end w:w="120" w:type="dxa"/>
            </w:tcMar>
          </w:tcPr>
          <w:p>
            <w:r>
              <w:rPr>
                <w:rFonts w:ascii="Calibri" w:hAnsi="Calibri"/>
                <w:sz w:val="19"/>
              </w:rPr>
              <w:t>≈5–8 GB</w:t>
            </w:r>
          </w:p>
        </w:tc>
        <w:tc>
          <w:tcPr>
            <w:tcW w:type="dxa" w:w="2560"/>
            <w:vAlign w:val="center"/>
            <w:tcMar>
              <w:top w:w="90" w:type="dxa"/>
              <w:start w:w="120" w:type="dxa"/>
              <w:bottom w:w="90" w:type="dxa"/>
              <w:end w:w="120" w:type="dxa"/>
            </w:tcMar>
          </w:tcPr>
          <w:p>
            <w:r>
              <w:rPr>
                <w:rFonts w:ascii="Calibri" w:hAnsi="Calibri"/>
                <w:sz w:val="19"/>
              </w:rPr>
              <w:t>≈22–30 GB</w:t>
            </w:r>
          </w:p>
        </w:tc>
      </w:tr>
      <w:tr>
        <w:tc>
          <w:tcPr>
            <w:tcW w:type="dxa" w:w="1700"/>
            <w:vAlign w:val="center"/>
            <w:tcMar>
              <w:top w:w="90" w:type="dxa"/>
              <w:start w:w="120" w:type="dxa"/>
              <w:bottom w:w="90" w:type="dxa"/>
              <w:end w:w="120" w:type="dxa"/>
            </w:tcMar>
          </w:tcPr>
          <w:p>
            <w:r>
              <w:rPr>
                <w:rFonts w:ascii="Calibri" w:hAnsi="Calibri"/>
                <w:sz w:val="19"/>
              </w:rPr>
              <w:t>Kes terburuk muat naik tinggi</w:t>
            </w:r>
          </w:p>
        </w:tc>
        <w:tc>
          <w:tcPr>
            <w:tcW w:type="dxa" w:w="1700"/>
            <w:vAlign w:val="center"/>
            <w:tcMar>
              <w:top w:w="90" w:type="dxa"/>
              <w:start w:w="120" w:type="dxa"/>
              <w:bottom w:w="90" w:type="dxa"/>
              <w:end w:w="120" w:type="dxa"/>
            </w:tcMar>
          </w:tcPr>
          <w:p>
            <w:r>
              <w:rPr>
                <w:rFonts w:ascii="Calibri" w:hAnsi="Calibri"/>
                <w:sz w:val="19"/>
              </w:rPr>
              <w:t>Sehingga ≈70 MB</w:t>
            </w:r>
          </w:p>
        </w:tc>
        <w:tc>
          <w:tcPr>
            <w:tcW w:type="dxa" w:w="1500"/>
            <w:vAlign w:val="center"/>
            <w:tcMar>
              <w:top w:w="90" w:type="dxa"/>
              <w:start w:w="120" w:type="dxa"/>
              <w:bottom w:w="90" w:type="dxa"/>
              <w:end w:w="120" w:type="dxa"/>
            </w:tcMar>
          </w:tcPr>
          <w:p>
            <w:r>
              <w:rPr>
                <w:rFonts w:ascii="Calibri" w:hAnsi="Calibri"/>
                <w:sz w:val="19"/>
              </w:rPr>
              <w:t>≈35 GB</w:t>
            </w:r>
          </w:p>
        </w:tc>
        <w:tc>
          <w:tcPr>
            <w:tcW w:type="dxa" w:w="1900"/>
            <w:vAlign w:val="center"/>
            <w:tcMar>
              <w:top w:w="90" w:type="dxa"/>
              <w:start w:w="120" w:type="dxa"/>
              <w:bottom w:w="90" w:type="dxa"/>
              <w:end w:w="120" w:type="dxa"/>
            </w:tcMar>
          </w:tcPr>
          <w:p>
            <w:r>
              <w:rPr>
                <w:rFonts w:ascii="Calibri" w:hAnsi="Calibri"/>
                <w:sz w:val="19"/>
              </w:rPr>
              <w:t>≈10 GB</w:t>
            </w:r>
          </w:p>
        </w:tc>
        <w:tc>
          <w:tcPr>
            <w:tcW w:type="dxa" w:w="2560"/>
            <w:vAlign w:val="center"/>
            <w:tcMar>
              <w:top w:w="90" w:type="dxa"/>
              <w:start w:w="120" w:type="dxa"/>
              <w:bottom w:w="90" w:type="dxa"/>
              <w:end w:w="120" w:type="dxa"/>
            </w:tcMar>
          </w:tcPr>
          <w:p>
            <w:r>
              <w:rPr>
                <w:rFonts w:ascii="Calibri" w:hAnsi="Calibri"/>
                <w:sz w:val="19"/>
              </w:rPr>
              <w:t>≈40–45 GB</w:t>
            </w:r>
          </w:p>
        </w:tc>
      </w:tr>
    </w:tbl>
    <w:p>
      <w:r>
        <w:t>“Data langsung lain” merangkumi masa jalan aplikasi, pangkalan data, rekod audit/sesi, log, eksport sementara dan ruang pemprosesan. Angka ini ialah anggaran perancangan dan bukannya kuota mutlak.</w:t>
      </w:r>
    </w:p>
    <w:p>
      <w:pPr>
        <w:pStyle w:val="Heading1"/>
      </w:pPr>
      <w:r>
        <w:t>Cara Anggaran Jangkaan Dikira</w:t>
      </w:r>
    </w:p>
    <w:tbl>
      <w:tblPr>
        <w:tblStyle w:val="TableGrid"/>
        <w:tblW w:type="dxa" w:w="9360"/>
        <w:jc w:val="center"/>
        <w:tblLayout w:type="fixed"/>
        <w:tblLook w:firstColumn="1" w:firstRow="1" w:lastColumn="0" w:lastRow="0" w:noHBand="0" w:noVBand="1" w:val="04A0"/>
        <w:tblInd w:w="120" w:type="dxa"/>
      </w:tblPr>
      <w:tblGrid>
        <w:gridCol w:w="2500"/>
        <w:gridCol w:w="4500"/>
        <w:gridCol w:w="2360"/>
      </w:tblGrid>
      <w:tr>
        <w:trPr>
          <w:tblHeader w:val="true"/>
        </w:trPr>
        <w:tc>
          <w:tcPr>
            <w:tcW w:type="dxa" w:w="2500"/>
            <w:shd w:fill="E8EEF5"/>
            <w:vAlign w:val="center"/>
            <w:tcMar>
              <w:top w:w="90" w:type="dxa"/>
              <w:start w:w="120" w:type="dxa"/>
              <w:bottom w:w="90" w:type="dxa"/>
              <w:end w:w="120" w:type="dxa"/>
            </w:tcMar>
          </w:tcPr>
          <w:p>
            <w:r>
              <w:rPr>
                <w:rFonts w:ascii="Calibri" w:hAnsi="Calibri"/>
                <w:b/>
                <w:color w:val="1F4D78"/>
                <w:sz w:val="19"/>
              </w:rPr>
              <w:t>Komponen</w:t>
            </w:r>
          </w:p>
        </w:tc>
        <w:tc>
          <w:tcPr>
            <w:tcW w:type="dxa" w:w="4500"/>
            <w:shd w:fill="E8EEF5"/>
            <w:vAlign w:val="center"/>
            <w:tcMar>
              <w:top w:w="90" w:type="dxa"/>
              <w:start w:w="120" w:type="dxa"/>
              <w:bottom w:w="90" w:type="dxa"/>
              <w:end w:w="120" w:type="dxa"/>
            </w:tcMar>
          </w:tcPr>
          <w:p>
            <w:r>
              <w:rPr>
                <w:rFonts w:ascii="Calibri" w:hAnsi="Calibri"/>
                <w:b/>
                <w:color w:val="1F4D78"/>
                <w:sz w:val="19"/>
              </w:rPr>
              <w:t>Andaian perancangan</w:t>
            </w:r>
          </w:p>
        </w:tc>
        <w:tc>
          <w:tcPr>
            <w:tcW w:type="dxa" w:w="2360"/>
            <w:shd w:fill="E8EEF5"/>
            <w:vAlign w:val="center"/>
            <w:tcMar>
              <w:top w:w="90" w:type="dxa"/>
              <w:start w:w="120" w:type="dxa"/>
              <w:bottom w:w="90" w:type="dxa"/>
              <w:end w:w="120" w:type="dxa"/>
            </w:tcMar>
          </w:tcPr>
          <w:p>
            <w:r>
              <w:rPr>
                <w:rFonts w:ascii="Calibri" w:hAnsi="Calibri"/>
                <w:b/>
                <w:color w:val="1F4D78"/>
                <w:sz w:val="19"/>
              </w:rPr>
              <w:t>Jumlah anggaran</w:t>
            </w:r>
          </w:p>
        </w:tc>
      </w:tr>
      <w:tr>
        <w:tc>
          <w:tcPr>
            <w:tcW w:type="dxa" w:w="2500"/>
            <w:vAlign w:val="center"/>
            <w:tcMar>
              <w:top w:w="90" w:type="dxa"/>
              <w:start w:w="120" w:type="dxa"/>
              <w:bottom w:w="90" w:type="dxa"/>
              <w:end w:w="120" w:type="dxa"/>
            </w:tcMar>
          </w:tcPr>
          <w:p>
            <w:r>
              <w:rPr>
                <w:rFonts w:ascii="Calibri" w:hAnsi="Calibri"/>
                <w:sz w:val="19"/>
              </w:rPr>
              <w:t>Masa jalan aplikasi</w:t>
            </w:r>
          </w:p>
        </w:tc>
        <w:tc>
          <w:tcPr>
            <w:tcW w:type="dxa" w:w="4500"/>
            <w:vAlign w:val="center"/>
            <w:tcMar>
              <w:top w:w="90" w:type="dxa"/>
              <w:start w:w="120" w:type="dxa"/>
              <w:bottom w:w="90" w:type="dxa"/>
              <w:end w:w="120" w:type="dxa"/>
            </w:tcMar>
          </w:tcPr>
          <w:p>
            <w:r>
              <w:rPr>
                <w:rFonts w:ascii="Calibri" w:hAnsi="Calibri"/>
                <w:sz w:val="19"/>
              </w:rPr>
              <w:t>Penerapan Laravel bersih dengan vendor dan aset kompilasi</w:t>
            </w:r>
          </w:p>
        </w:tc>
        <w:tc>
          <w:tcPr>
            <w:tcW w:type="dxa" w:w="2360"/>
            <w:vAlign w:val="center"/>
            <w:tcMar>
              <w:top w:w="90" w:type="dxa"/>
              <w:start w:w="120" w:type="dxa"/>
              <w:bottom w:w="90" w:type="dxa"/>
              <w:end w:w="120" w:type="dxa"/>
            </w:tcMar>
          </w:tcPr>
          <w:p>
            <w:r>
              <w:rPr>
                <w:rFonts w:ascii="Calibri" w:hAnsi="Calibri"/>
                <w:sz w:val="19"/>
              </w:rPr>
              <w:t>≈75 MB</w:t>
            </w:r>
          </w:p>
        </w:tc>
      </w:tr>
      <w:tr>
        <w:tc>
          <w:tcPr>
            <w:tcW w:type="dxa" w:w="2500"/>
            <w:vAlign w:val="center"/>
            <w:tcMar>
              <w:top w:w="90" w:type="dxa"/>
              <w:start w:w="120" w:type="dxa"/>
              <w:bottom w:w="90" w:type="dxa"/>
              <w:end w:w="120" w:type="dxa"/>
            </w:tcMar>
          </w:tcPr>
          <w:p>
            <w:r>
              <w:rPr>
                <w:rFonts w:ascii="Calibri" w:hAnsi="Calibri"/>
                <w:sz w:val="19"/>
              </w:rPr>
              <w:t>Dokumen pengguna</w:t>
            </w:r>
          </w:p>
        </w:tc>
        <w:tc>
          <w:tcPr>
            <w:tcW w:type="dxa" w:w="4500"/>
            <w:vAlign w:val="center"/>
            <w:tcMar>
              <w:top w:w="90" w:type="dxa"/>
              <w:start w:w="120" w:type="dxa"/>
              <w:bottom w:w="90" w:type="dxa"/>
              <w:end w:w="120" w:type="dxa"/>
            </w:tcMar>
          </w:tcPr>
          <w:p>
            <w:r>
              <w:rPr>
                <w:rFonts w:ascii="Calibri" w:hAnsi="Calibri"/>
                <w:sz w:val="19"/>
              </w:rPr>
              <w:t>500 pengguna × kira-kira 12 MB</w:t>
            </w:r>
          </w:p>
        </w:tc>
        <w:tc>
          <w:tcPr>
            <w:tcW w:type="dxa" w:w="2360"/>
            <w:vAlign w:val="center"/>
            <w:tcMar>
              <w:top w:w="90" w:type="dxa"/>
              <w:start w:w="120" w:type="dxa"/>
              <w:bottom w:w="90" w:type="dxa"/>
              <w:end w:w="120" w:type="dxa"/>
            </w:tcMar>
          </w:tcPr>
          <w:p>
            <w:r>
              <w:rPr>
                <w:rFonts w:ascii="Calibri" w:hAnsi="Calibri"/>
                <w:sz w:val="19"/>
              </w:rPr>
              <w:t>≈6 GB</w:t>
            </w:r>
          </w:p>
        </w:tc>
      </w:tr>
      <w:tr>
        <w:tc>
          <w:tcPr>
            <w:tcW w:type="dxa" w:w="2500"/>
            <w:vAlign w:val="center"/>
            <w:tcMar>
              <w:top w:w="90" w:type="dxa"/>
              <w:start w:w="120" w:type="dxa"/>
              <w:bottom w:w="90" w:type="dxa"/>
              <w:end w:w="120" w:type="dxa"/>
            </w:tcMar>
          </w:tcPr>
          <w:p>
            <w:r>
              <w:rPr>
                <w:rFonts w:ascii="Calibri" w:hAnsi="Calibri"/>
                <w:sz w:val="19"/>
              </w:rPr>
              <w:t>Pangkalan data</w:t>
            </w:r>
          </w:p>
        </w:tc>
        <w:tc>
          <w:tcPr>
            <w:tcW w:type="dxa" w:w="4500"/>
            <w:vAlign w:val="center"/>
            <w:tcMar>
              <w:top w:w="90" w:type="dxa"/>
              <w:start w:w="120" w:type="dxa"/>
              <w:bottom w:w="90" w:type="dxa"/>
              <w:end w:w="120" w:type="dxa"/>
            </w:tcMar>
          </w:tcPr>
          <w:p>
            <w:r>
              <w:rPr>
                <w:rFonts w:ascii="Calibri" w:hAnsi="Calibri"/>
                <w:sz w:val="19"/>
              </w:rPr>
              <w:t>Profil, pekerjaan, kebajikan, audit, sesi dan indeks</w:t>
            </w:r>
          </w:p>
        </w:tc>
        <w:tc>
          <w:tcPr>
            <w:tcW w:type="dxa" w:w="2360"/>
            <w:vAlign w:val="center"/>
            <w:tcMar>
              <w:top w:w="90" w:type="dxa"/>
              <w:start w:w="120" w:type="dxa"/>
              <w:bottom w:w="90" w:type="dxa"/>
              <w:end w:w="120" w:type="dxa"/>
            </w:tcMar>
          </w:tcPr>
          <w:p>
            <w:r>
              <w:rPr>
                <w:rFonts w:ascii="Calibri" w:hAnsi="Calibri"/>
                <w:sz w:val="19"/>
              </w:rPr>
              <w:t>≈500 MB</w:t>
            </w:r>
          </w:p>
        </w:tc>
      </w:tr>
      <w:tr>
        <w:tc>
          <w:tcPr>
            <w:tcW w:type="dxa" w:w="2500"/>
            <w:vAlign w:val="center"/>
            <w:tcMar>
              <w:top w:w="90" w:type="dxa"/>
              <w:start w:w="120" w:type="dxa"/>
              <w:bottom w:w="90" w:type="dxa"/>
              <w:end w:w="120" w:type="dxa"/>
            </w:tcMar>
          </w:tcPr>
          <w:p>
            <w:r>
              <w:rPr>
                <w:rFonts w:ascii="Calibri" w:hAnsi="Calibri"/>
                <w:sz w:val="19"/>
              </w:rPr>
              <w:t>Log</w:t>
            </w:r>
          </w:p>
        </w:tc>
        <w:tc>
          <w:tcPr>
            <w:tcW w:type="dxa" w:w="4500"/>
            <w:vAlign w:val="center"/>
            <w:tcMar>
              <w:top w:w="90" w:type="dxa"/>
              <w:start w:w="120" w:type="dxa"/>
              <w:bottom w:w="90" w:type="dxa"/>
              <w:end w:w="120" w:type="dxa"/>
            </w:tcMar>
          </w:tcPr>
          <w:p>
            <w:r>
              <w:rPr>
                <w:rFonts w:ascii="Calibri" w:hAnsi="Calibri"/>
                <w:sz w:val="19"/>
              </w:rPr>
              <w:t>Log aplikasi/keselamatan yang diputar</w:t>
            </w:r>
          </w:p>
        </w:tc>
        <w:tc>
          <w:tcPr>
            <w:tcW w:type="dxa" w:w="2360"/>
            <w:vAlign w:val="center"/>
            <w:tcMar>
              <w:top w:w="90" w:type="dxa"/>
              <w:start w:w="120" w:type="dxa"/>
              <w:bottom w:w="90" w:type="dxa"/>
              <w:end w:w="120" w:type="dxa"/>
            </w:tcMar>
          </w:tcPr>
          <w:p>
            <w:r>
              <w:rPr>
                <w:rFonts w:ascii="Calibri" w:hAnsi="Calibri"/>
                <w:sz w:val="19"/>
              </w:rPr>
              <w:t>≈500 MB</w:t>
            </w:r>
          </w:p>
        </w:tc>
      </w:tr>
      <w:tr>
        <w:tc>
          <w:tcPr>
            <w:tcW w:type="dxa" w:w="2500"/>
            <w:vAlign w:val="center"/>
            <w:tcMar>
              <w:top w:w="90" w:type="dxa"/>
              <w:start w:w="120" w:type="dxa"/>
              <w:bottom w:w="90" w:type="dxa"/>
              <w:end w:w="120" w:type="dxa"/>
            </w:tcMar>
          </w:tcPr>
          <w:p>
            <w:r>
              <w:rPr>
                <w:rFonts w:ascii="Calibri" w:hAnsi="Calibri"/>
                <w:sz w:val="19"/>
              </w:rPr>
              <w:t>Eksport sementara</w:t>
            </w:r>
          </w:p>
        </w:tc>
        <w:tc>
          <w:tcPr>
            <w:tcW w:type="dxa" w:w="4500"/>
            <w:vAlign w:val="center"/>
            <w:tcMar>
              <w:top w:w="90" w:type="dxa"/>
              <w:start w:w="120" w:type="dxa"/>
              <w:bottom w:w="90" w:type="dxa"/>
              <w:end w:w="120" w:type="dxa"/>
            </w:tcMar>
          </w:tcPr>
          <w:p>
            <w:r>
              <w:rPr>
                <w:rFonts w:ascii="Calibri" w:hAnsi="Calibri"/>
                <w:sz w:val="19"/>
              </w:rPr>
              <w:t>Laporan PDF/CSV/XLSX jangka pendek</w:t>
            </w:r>
          </w:p>
        </w:tc>
        <w:tc>
          <w:tcPr>
            <w:tcW w:type="dxa" w:w="2360"/>
            <w:vAlign w:val="center"/>
            <w:tcMar>
              <w:top w:w="90" w:type="dxa"/>
              <w:start w:w="120" w:type="dxa"/>
              <w:bottom w:w="90" w:type="dxa"/>
              <w:end w:w="120" w:type="dxa"/>
            </w:tcMar>
          </w:tcPr>
          <w:p>
            <w:r>
              <w:rPr>
                <w:rFonts w:ascii="Calibri" w:hAnsi="Calibri"/>
                <w:sz w:val="19"/>
              </w:rPr>
              <w:t>≈1 GB</w:t>
            </w:r>
          </w:p>
        </w:tc>
      </w:tr>
      <w:tr>
        <w:tc>
          <w:tcPr>
            <w:tcW w:type="dxa" w:w="2500"/>
            <w:vAlign w:val="center"/>
            <w:tcMar>
              <w:top w:w="90" w:type="dxa"/>
              <w:start w:w="120" w:type="dxa"/>
              <w:bottom w:w="90" w:type="dxa"/>
              <w:end w:w="120" w:type="dxa"/>
            </w:tcMar>
          </w:tcPr>
          <w:p>
            <w:r>
              <w:rPr>
                <w:rFonts w:ascii="Calibri" w:hAnsi="Calibri"/>
                <w:sz w:val="19"/>
              </w:rPr>
              <w:t>Jumlah langsung dijangka</w:t>
            </w:r>
          </w:p>
        </w:tc>
        <w:tc>
          <w:tcPr>
            <w:tcW w:type="dxa" w:w="4500"/>
            <w:vAlign w:val="center"/>
            <w:tcMar>
              <w:top w:w="90" w:type="dxa"/>
              <w:start w:w="120" w:type="dxa"/>
              <w:bottom w:w="90" w:type="dxa"/>
              <w:end w:w="120" w:type="dxa"/>
            </w:tcMar>
          </w:tcPr>
          <w:p>
            <w:r>
              <w:rPr>
                <w:rFonts w:ascii="Calibri" w:hAnsi="Calibri"/>
                <w:sz w:val="19"/>
              </w:rPr>
              <w:t>Dengan ruang operasi dan pertumbuhan awal</w:t>
            </w:r>
          </w:p>
        </w:tc>
        <w:tc>
          <w:tcPr>
            <w:tcW w:type="dxa" w:w="2360"/>
            <w:vAlign w:val="center"/>
            <w:tcMar>
              <w:top w:w="90" w:type="dxa"/>
              <w:start w:w="120" w:type="dxa"/>
              <w:bottom w:w="90" w:type="dxa"/>
              <w:end w:w="120" w:type="dxa"/>
            </w:tcMar>
          </w:tcPr>
          <w:p>
            <w:r>
              <w:rPr>
                <w:rFonts w:ascii="Calibri" w:hAnsi="Calibri"/>
                <w:sz w:val="19"/>
              </w:rPr>
              <w:t>≈8–12 GB</w:t>
            </w:r>
          </w:p>
        </w:tc>
      </w:tr>
    </w:tbl>
    <w:p>
      <w:pPr>
        <w:pStyle w:val="Heading1"/>
      </w:pPr>
      <w:r>
        <w:t>Mengapa 100 GB Disyorkan</w:t>
      </w:r>
    </w:p>
    <w:p>
      <w:pPr>
        <w:pStyle w:val="ListBullet"/>
      </w:pPr>
      <w:r>
        <w:t>Ia menyediakan ruang lebihan yang mencukupi melebihi anggaran 6.5–7 GB bagi keadaan muat naik tinggi.</w:t>
      </w:r>
    </w:p>
    <w:p>
      <w:pPr>
        <w:pStyle w:val="ListBullet"/>
      </w:pPr>
      <w:r>
        <w:t>Ia mengelakkan migrasi kecemasan sekiranya saiz dokumen atau tempoh penyimpanan meningkat.</w:t>
      </w:r>
    </w:p>
    <w:p>
      <w:pPr>
        <w:pStyle w:val="ListBullet"/>
      </w:pPr>
      <w:r>
        <w:t>Ia menyediakan ruang untuk pakej penerapan, pemprosesan sementara dan peningkatan log.</w:t>
      </w:r>
    </w:p>
    <w:p>
      <w:pPr>
        <w:pStyle w:val="ListBullet"/>
      </w:pPr>
      <w:r>
        <w:t>Ia menyokong penyelenggaraan selamat tanpa menyimpan sandaran pada volum langsung yang sama.</w:t>
      </w:r>
    </w:p>
    <w:p>
      <w:pPr>
        <w:pStyle w:val="ListBullet"/>
      </w:pPr>
      <w:r>
        <w:t>Kapasiti ini masih sederhana bagi pelayan kerajaan dan jauh lebih selamat berbanding kuota semasa 1 GB.</w:t>
      </w:r>
    </w:p>
    <w:p>
      <w:pPr>
        <w:pStyle w:val="Heading1"/>
      </w:pPr>
      <w:r>
        <w:t>Kapasiti Sandaran</w:t>
      </w:r>
    </w:p>
    <w:p>
      <w:r>
        <w:t>Sandaran tidak boleh dikira dalam peruntukan langsung 100 GB. Simpan sandaran disulitkan pada storan berasingan yang diuruskan kerajaan dengan kawalan akses.</w:t>
      </w:r>
    </w:p>
    <w:tbl>
      <w:tblPr>
        <w:tblStyle w:val="TableGrid"/>
        <w:tblW w:type="dxa" w:w="9360"/>
        <w:jc w:val="center"/>
        <w:tblLayout w:type="fixed"/>
        <w:tblLook w:firstColumn="1" w:firstRow="1" w:lastColumn="0" w:lastRow="0" w:noHBand="0" w:noVBand="1" w:val="04A0"/>
        <w:tblInd w:w="120" w:type="dxa"/>
      </w:tblPr>
      <w:tblGrid>
        <w:gridCol w:w="2400"/>
        <w:gridCol w:w="4300"/>
        <w:gridCol w:w="2660"/>
      </w:tblGrid>
      <w:tr>
        <w:trPr>
          <w:tblHeader w:val="true"/>
        </w:trPr>
        <w:tc>
          <w:tcPr>
            <w:tcW w:type="dxa" w:w="2400"/>
            <w:shd w:fill="E8EEF5"/>
            <w:vAlign w:val="center"/>
            <w:tcMar>
              <w:top w:w="90" w:type="dxa"/>
              <w:start w:w="120" w:type="dxa"/>
              <w:bottom w:w="90" w:type="dxa"/>
              <w:end w:w="120" w:type="dxa"/>
            </w:tcMar>
          </w:tcPr>
          <w:p>
            <w:r>
              <w:rPr>
                <w:rFonts w:ascii="Calibri" w:hAnsi="Calibri"/>
                <w:b/>
                <w:color w:val="1F4D78"/>
                <w:sz w:val="19"/>
              </w:rPr>
              <w:t>Item sandaran</w:t>
            </w:r>
          </w:p>
        </w:tc>
        <w:tc>
          <w:tcPr>
            <w:tcW w:type="dxa" w:w="4300"/>
            <w:shd w:fill="E8EEF5"/>
            <w:vAlign w:val="center"/>
            <w:tcMar>
              <w:top w:w="90" w:type="dxa"/>
              <w:start w:w="120" w:type="dxa"/>
              <w:bottom w:w="90" w:type="dxa"/>
              <w:end w:w="120" w:type="dxa"/>
            </w:tcMar>
          </w:tcPr>
          <w:p>
            <w:r>
              <w:rPr>
                <w:rFonts w:ascii="Calibri" w:hAnsi="Calibri"/>
                <w:b/>
                <w:color w:val="1F4D78"/>
                <w:sz w:val="19"/>
              </w:rPr>
              <w:t>Dasar dicadangkan</w:t>
            </w:r>
          </w:p>
        </w:tc>
        <w:tc>
          <w:tcPr>
            <w:tcW w:type="dxa" w:w="2660"/>
            <w:shd w:fill="E8EEF5"/>
            <w:vAlign w:val="center"/>
            <w:tcMar>
              <w:top w:w="90" w:type="dxa"/>
              <w:start w:w="120" w:type="dxa"/>
              <w:bottom w:w="90" w:type="dxa"/>
              <w:end w:w="120" w:type="dxa"/>
            </w:tcMar>
          </w:tcPr>
          <w:p>
            <w:r>
              <w:rPr>
                <w:rFonts w:ascii="Calibri" w:hAnsi="Calibri"/>
                <w:b/>
                <w:color w:val="1F4D78"/>
                <w:sz w:val="19"/>
              </w:rPr>
              <w:t>Kesan kapasiti</w:t>
            </w:r>
          </w:p>
        </w:tc>
      </w:tr>
      <w:tr>
        <w:tc>
          <w:tcPr>
            <w:tcW w:type="dxa" w:w="2400"/>
            <w:vAlign w:val="center"/>
            <w:tcMar>
              <w:top w:w="90" w:type="dxa"/>
              <w:start w:w="120" w:type="dxa"/>
              <w:bottom w:w="90" w:type="dxa"/>
              <w:end w:w="120" w:type="dxa"/>
            </w:tcMar>
          </w:tcPr>
          <w:p>
            <w:r>
              <w:rPr>
                <w:rFonts w:ascii="Calibri" w:hAnsi="Calibri"/>
                <w:sz w:val="19"/>
              </w:rPr>
              <w:t>Pangkalan data</w:t>
            </w:r>
          </w:p>
        </w:tc>
        <w:tc>
          <w:tcPr>
            <w:tcW w:type="dxa" w:w="4300"/>
            <w:vAlign w:val="center"/>
            <w:tcMar>
              <w:top w:w="90" w:type="dxa"/>
              <w:start w:w="120" w:type="dxa"/>
              <w:bottom w:w="90" w:type="dxa"/>
              <w:end w:w="120" w:type="dxa"/>
            </w:tcMar>
          </w:tcPr>
          <w:p>
            <w:r>
              <w:rPr>
                <w:rFonts w:ascii="Calibri" w:hAnsi="Calibri"/>
                <w:sz w:val="19"/>
              </w:rPr>
              <w:t>Sandaran harian; simpan salinan harian/mingguan/bulanan yang diluluskan</w:t>
            </w:r>
          </w:p>
        </w:tc>
        <w:tc>
          <w:tcPr>
            <w:tcW w:type="dxa" w:w="2660"/>
            <w:vAlign w:val="center"/>
            <w:tcMar>
              <w:top w:w="90" w:type="dxa"/>
              <w:start w:w="120" w:type="dxa"/>
              <w:bottom w:w="90" w:type="dxa"/>
              <w:end w:w="120" w:type="dxa"/>
            </w:tcMar>
          </w:tcPr>
          <w:p>
            <w:r>
              <w:rPr>
                <w:rFonts w:ascii="Calibri" w:hAnsi="Calibri"/>
                <w:sz w:val="19"/>
              </w:rPr>
              <w:t>Rendah bagi 500 pengguna</w:t>
            </w:r>
          </w:p>
        </w:tc>
      </w:tr>
      <w:tr>
        <w:tc>
          <w:tcPr>
            <w:tcW w:type="dxa" w:w="2400"/>
            <w:vAlign w:val="center"/>
            <w:tcMar>
              <w:top w:w="90" w:type="dxa"/>
              <w:start w:w="120" w:type="dxa"/>
              <w:bottom w:w="90" w:type="dxa"/>
              <w:end w:w="120" w:type="dxa"/>
            </w:tcMar>
          </w:tcPr>
          <w:p>
            <w:r>
              <w:rPr>
                <w:rFonts w:ascii="Calibri" w:hAnsi="Calibri"/>
                <w:sz w:val="19"/>
              </w:rPr>
              <w:t>Muat naik peribadi</w:t>
            </w:r>
          </w:p>
        </w:tc>
        <w:tc>
          <w:tcPr>
            <w:tcW w:type="dxa" w:w="4300"/>
            <w:vAlign w:val="center"/>
            <w:tcMar>
              <w:top w:w="90" w:type="dxa"/>
              <w:start w:w="120" w:type="dxa"/>
              <w:bottom w:w="90" w:type="dxa"/>
              <w:end w:w="120" w:type="dxa"/>
            </w:tcMar>
          </w:tcPr>
          <w:p>
            <w:r>
              <w:rPr>
                <w:rFonts w:ascii="Calibri" w:hAnsi="Calibri"/>
                <w:sz w:val="19"/>
              </w:rPr>
              <w:t>Sandaran tambahan harian serta sandaran penuh berkala</w:t>
            </w:r>
          </w:p>
        </w:tc>
        <w:tc>
          <w:tcPr>
            <w:tcW w:type="dxa" w:w="2660"/>
            <w:vAlign w:val="center"/>
            <w:tcMar>
              <w:top w:w="90" w:type="dxa"/>
              <w:start w:w="120" w:type="dxa"/>
              <w:bottom w:w="90" w:type="dxa"/>
              <w:end w:w="120" w:type="dxa"/>
            </w:tcMar>
          </w:tcPr>
          <w:p>
            <w:r>
              <w:rPr>
                <w:rFonts w:ascii="Calibri" w:hAnsi="Calibri"/>
                <w:sz w:val="19"/>
              </w:rPr>
              <w:t>Pengguna utama ruang sandaran</w:t>
            </w:r>
          </w:p>
        </w:tc>
      </w:tr>
      <w:tr>
        <w:tc>
          <w:tcPr>
            <w:tcW w:type="dxa" w:w="2400"/>
            <w:vAlign w:val="center"/>
            <w:tcMar>
              <w:top w:w="90" w:type="dxa"/>
              <w:start w:w="120" w:type="dxa"/>
              <w:bottom w:w="90" w:type="dxa"/>
              <w:end w:w="120" w:type="dxa"/>
            </w:tcMar>
          </w:tcPr>
          <w:p>
            <w:r>
              <w:rPr>
                <w:rFonts w:ascii="Calibri" w:hAnsi="Calibri"/>
                <w:sz w:val="19"/>
              </w:rPr>
              <w:t>Keluaran aplikasi</w:t>
            </w:r>
          </w:p>
        </w:tc>
        <w:tc>
          <w:tcPr>
            <w:tcW w:type="dxa" w:w="4300"/>
            <w:vAlign w:val="center"/>
            <w:tcMar>
              <w:top w:w="90" w:type="dxa"/>
              <w:start w:w="120" w:type="dxa"/>
              <w:bottom w:w="90" w:type="dxa"/>
              <w:end w:w="120" w:type="dxa"/>
            </w:tcMar>
          </w:tcPr>
          <w:p>
            <w:r>
              <w:rPr>
                <w:rFonts w:ascii="Calibri" w:hAnsi="Calibri"/>
                <w:sz w:val="19"/>
              </w:rPr>
              <w:t>Simpan tag Git/pakej penerapan yang diluluskan</w:t>
            </w:r>
          </w:p>
        </w:tc>
        <w:tc>
          <w:tcPr>
            <w:tcW w:type="dxa" w:w="2660"/>
            <w:vAlign w:val="center"/>
            <w:tcMar>
              <w:top w:w="90" w:type="dxa"/>
              <w:start w:w="120" w:type="dxa"/>
              <w:bottom w:w="90" w:type="dxa"/>
              <w:end w:w="120" w:type="dxa"/>
            </w:tcMar>
          </w:tcPr>
          <w:p>
            <w:r>
              <w:rPr>
                <w:rFonts w:ascii="Calibri" w:hAnsi="Calibri"/>
                <w:sz w:val="19"/>
              </w:rPr>
              <w:t>Rendah</w:t>
            </w:r>
          </w:p>
        </w:tc>
      </w:tr>
      <w:tr>
        <w:tc>
          <w:tcPr>
            <w:tcW w:type="dxa" w:w="2400"/>
            <w:vAlign w:val="center"/>
            <w:tcMar>
              <w:top w:w="90" w:type="dxa"/>
              <w:start w:w="120" w:type="dxa"/>
              <w:bottom w:w="90" w:type="dxa"/>
              <w:end w:w="120" w:type="dxa"/>
            </w:tcMar>
          </w:tcPr>
          <w:p>
            <w:r>
              <w:rPr>
                <w:rFonts w:ascii="Calibri" w:hAnsi="Calibri"/>
                <w:sz w:val="19"/>
              </w:rPr>
              <w:t>Peruntukan sandaran minimum</w:t>
            </w:r>
          </w:p>
        </w:tc>
        <w:tc>
          <w:tcPr>
            <w:tcW w:type="dxa" w:w="4300"/>
            <w:vAlign w:val="center"/>
            <w:tcMar>
              <w:top w:w="90" w:type="dxa"/>
              <w:start w:w="120" w:type="dxa"/>
              <w:bottom w:w="90" w:type="dxa"/>
              <w:end w:w="120" w:type="dxa"/>
            </w:tcMar>
          </w:tcPr>
          <w:p>
            <w:r>
              <w:rPr>
                <w:rFonts w:ascii="Calibri" w:hAnsi="Calibri"/>
                <w:sz w:val="19"/>
              </w:rPr>
              <w:t>Beberapa salinan pemulihan semasa</w:t>
            </w:r>
          </w:p>
        </w:tc>
        <w:tc>
          <w:tcPr>
            <w:tcW w:type="dxa" w:w="2660"/>
            <w:vAlign w:val="center"/>
            <w:tcMar>
              <w:top w:w="90" w:type="dxa"/>
              <w:start w:w="120" w:type="dxa"/>
              <w:bottom w:w="90" w:type="dxa"/>
              <w:end w:w="120" w:type="dxa"/>
            </w:tcMar>
          </w:tcPr>
          <w:p>
            <w:r>
              <w:rPr>
                <w:rFonts w:ascii="Calibri" w:hAnsi="Calibri"/>
                <w:sz w:val="19"/>
              </w:rPr>
              <w:t>100 GB</w:t>
            </w:r>
          </w:p>
        </w:tc>
      </w:tr>
      <w:tr>
        <w:tc>
          <w:tcPr>
            <w:tcW w:type="dxa" w:w="2400"/>
            <w:vAlign w:val="center"/>
            <w:tcMar>
              <w:top w:w="90" w:type="dxa"/>
              <w:start w:w="120" w:type="dxa"/>
              <w:bottom w:w="90" w:type="dxa"/>
              <w:end w:w="120" w:type="dxa"/>
            </w:tcMar>
          </w:tcPr>
          <w:p>
            <w:r>
              <w:rPr>
                <w:rFonts w:ascii="Calibri" w:hAnsi="Calibri"/>
                <w:sz w:val="19"/>
              </w:rPr>
              <w:t>Peruntukan sandaran pilihan</w:t>
            </w:r>
          </w:p>
        </w:tc>
        <w:tc>
          <w:tcPr>
            <w:tcW w:type="dxa" w:w="4300"/>
            <w:vAlign w:val="center"/>
            <w:tcMar>
              <w:top w:w="90" w:type="dxa"/>
              <w:start w:w="120" w:type="dxa"/>
              <w:bottom w:w="90" w:type="dxa"/>
              <w:end w:w="120" w:type="dxa"/>
            </w:tcMar>
          </w:tcPr>
          <w:p>
            <w:r>
              <w:rPr>
                <w:rFonts w:ascii="Calibri" w:hAnsi="Calibri"/>
                <w:sz w:val="19"/>
              </w:rPr>
              <w:t>Penyimpanan lebih lama dan pertumbuhan lebih selamat</w:t>
            </w:r>
          </w:p>
        </w:tc>
        <w:tc>
          <w:tcPr>
            <w:tcW w:type="dxa" w:w="2660"/>
            <w:vAlign w:val="center"/>
            <w:tcMar>
              <w:top w:w="90" w:type="dxa"/>
              <w:start w:w="120" w:type="dxa"/>
              <w:bottom w:w="90" w:type="dxa"/>
              <w:end w:w="120" w:type="dxa"/>
            </w:tcMar>
          </w:tcPr>
          <w:p>
            <w:r>
              <w:rPr>
                <w:rFonts w:ascii="Calibri" w:hAnsi="Calibri"/>
                <w:sz w:val="19"/>
              </w:rPr>
              <w:t>150–300 GB</w:t>
            </w:r>
          </w:p>
        </w:tc>
      </w:tr>
    </w:tbl>
    <w:p>
      <w:r>
        <w:t>Tempoh penyimpanan sandaran mesti selaras dengan dasar privasi dan penyimpanan dokumen identiti yang diluluskan. Pemadaman dokumen identiti langsung tidak berkesan jika dokumen yang sama disimpan tanpa had dalam sandaran.</w:t>
      </w:r>
    </w:p>
    <w:p>
      <w:pPr>
        <w:pStyle w:val="Heading1"/>
      </w:pPr>
      <w:r>
        <w:t>Kawalan Storan yang Diperlukan</w:t>
      </w:r>
    </w:p>
    <w:p>
      <w:pPr>
        <w:pStyle w:val="ListBullet"/>
      </w:pPr>
      <w:r>
        <w:t>Jalankan php artisan schedule:run setiap minit melalui penjadual pengehosan kerajaan.</w:t>
      </w:r>
    </w:p>
    <w:p>
      <w:pPr>
        <w:pStyle w:val="ListBullet"/>
      </w:pPr>
      <w:r>
        <w:t>Pastikan identity:purge-expired berjalan setiap hari dan exports:purge-expired berjalan setiap jam.</w:t>
      </w:r>
    </w:p>
    <w:p>
      <w:pPr>
        <w:pStyle w:val="ListBullet"/>
      </w:pPr>
      <w:r>
        <w:t>Laksanakan putaran log Laravel dan pelayan web; jangan benarkan pertumbuhan log tanpa had.</w:t>
      </w:r>
    </w:p>
    <w:p>
      <w:pPr>
        <w:pStyle w:val="ListBullet"/>
      </w:pPr>
      <w:r>
        <w:t>Tetapkan amaran pada penggunaan 70% dan tindakan segera pada 85%.</w:t>
      </w:r>
    </w:p>
    <w:p>
      <w:pPr>
        <w:pStyle w:val="ListBullet"/>
      </w:pPr>
      <w:r>
        <w:t>Jangan sertakan node_modules, .git, data ujian dan persekitaran maya tempatan dalam pengeluaran.</w:t>
      </w:r>
    </w:p>
    <w:p>
      <w:pPr>
        <w:pStyle w:val="ListBullet"/>
      </w:pPr>
      <w:r>
        <w:t>Simpan dokumen identiti, résumé dan eksport dalam storan peribadi di luar akar web awam.</w:t>
      </w:r>
    </w:p>
    <w:p>
      <w:pPr>
        <w:pStyle w:val="ListBullet"/>
      </w:pPr>
      <w:r>
        <w:t>Sulitkan sandaran dan uji proses pemulihan mengikut jadual.</w:t>
      </w:r>
    </w:p>
    <w:p>
      <w:pPr>
        <w:pStyle w:val="ListBullet"/>
      </w:pPr>
      <w:r>
        <w:t>Ukur pertumbuhan bulanan sebenar selepas pelancaran rintis dan semak semula ramalan selepas 90 hari.</w:t>
      </w:r>
    </w:p>
    <w:p>
      <w:pPr>
        <w:pStyle w:val="Heading1"/>
      </w:pPr>
      <w:r>
        <w:t>Cadangan Permohonan Pengehosan Kerajaan</w:t>
      </w:r>
    </w:p>
    <w:p>
      <w:pPr>
        <w:spacing w:before="80" w:after="200"/>
        <w:ind w:left="173" w:right="173"/>
        <w:shd w:fill="F4F6F9"/>
        <w:pBdr>
          <w:top w:val="single" w:sz="6" w:space="6" w:color="D9E2F3"/>
          <w:left w:val="single" w:sz="6" w:space="6" w:color="D9E2F3"/>
          <w:bottom w:val="single" w:sz="6" w:space="6" w:color="D9E2F3"/>
          <w:right w:val="single" w:sz="6" w:space="6" w:color="D9E2F3"/>
        </w:pBdr>
      </w:pPr>
      <w:r>
        <w:rPr>
          <w:rFonts w:ascii="Calibri" w:hAnsi="Calibri"/>
          <w:b/>
          <w:color w:val="1F4D78"/>
          <w:sz w:val="24"/>
        </w:rPr>
        <w:t>Spesifikasi storan yang dicadangkan</w:t>
        <w:br/>
      </w:r>
      <w:r>
        <w:rPr>
          <w:rFonts w:ascii="Calibri" w:hAnsi="Calibri"/>
          <w:sz w:val="22"/>
        </w:rPr>
        <w:t>100 GB storan langsung disulitkan untuk aplikasi Laravel, pangkalan data dan muat naik peribadi; 150–300 GB storan sandaran disulitkan berasingan; kapasiti boleh dikembangkan; pemantauan penggunaan automatik; dan sokongan pemadaman berdasarkan tempoh penyimpanan.</w:t>
      </w:r>
    </w:p>
    <w:p>
      <w:r>
        <w:t>Keperluan masa jalan berkaitan untuk pasukan pengehosan:</w:t>
      </w:r>
    </w:p>
    <w:p>
      <w:pPr>
        <w:pStyle w:val="ListBullet"/>
      </w:pPr>
      <w:r>
        <w:t>PHP 8.3 atau lebih baharu dengan sambungan Laravel yang diperlukan.</w:t>
      </w:r>
    </w:p>
    <w:p>
      <w:pPr>
        <w:pStyle w:val="ListBullet"/>
      </w:pPr>
      <w:r>
        <w:t>MySQL 8 atau MariaDB yang serasi.</w:t>
      </w:r>
    </w:p>
    <w:p>
      <w:pPr>
        <w:pStyle w:val="ListBullet"/>
      </w:pPr>
      <w:r>
        <w:t>HTTPS/TLS, storan rahsia persekitaran yang selamat dan akar web yang menunjuk ke public/.</w:t>
      </w:r>
    </w:p>
    <w:p>
      <w:pPr>
        <w:pStyle w:val="ListBullet"/>
      </w:pPr>
      <w:r>
        <w:t>Python 3 dan OpenCV untuk aliran kerja pemprosesan imej identiti semasa.</w:t>
      </w:r>
    </w:p>
    <w:p>
      <w:pPr>
        <w:pStyle w:val="ListBullet"/>
      </w:pPr>
      <w:r>
        <w:t>Akses cron/penjadual, putaran log, automasi sandaran dan keupayaan pemulihan.</w:t>
      </w:r>
    </w:p>
    <w:p>
      <w:pPr>
        <w:pStyle w:val="ListBullet"/>
      </w:pPr>
      <w:r>
        <w:t>Komputasi permulaan yang disyorkan: 2 vCPU dan 4 GB RAM untuk penerapan kecil 500 pengguna, tertakluk kepada ujian beban.</w:t>
      </w:r>
    </w:p>
    <w:p>
      <w:pPr>
        <w:pStyle w:val="Heading1"/>
      </w:pPr>
      <w:r>
        <w:t>Ringkasan Pembentangan</w:t>
      </w:r>
    </w:p>
    <w:tbl>
      <w:tblPr>
        <w:tblStyle w:val="TableGrid"/>
        <w:tblW w:type="dxa" w:w="9360"/>
        <w:jc w:val="center"/>
        <w:tblLayout w:type="fixed"/>
        <w:tblLook w:firstColumn="1" w:firstRow="1" w:lastColumn="0" w:lastRow="0" w:noHBand="0" w:noVBand="1" w:val="04A0"/>
        <w:tblInd w:w="120" w:type="dxa"/>
      </w:tblPr>
      <w:tblGrid>
        <w:gridCol w:w="3600"/>
        <w:gridCol w:w="5760"/>
      </w:tblGrid>
      <w:tr>
        <w:trPr>
          <w:tblHeader w:val="true"/>
        </w:trPr>
        <w:tc>
          <w:tcPr>
            <w:tcW w:type="dxa" w:w="3600"/>
            <w:shd w:fill="E8EEF5"/>
            <w:vAlign w:val="center"/>
            <w:tcMar>
              <w:top w:w="90" w:type="dxa"/>
              <w:start w:w="120" w:type="dxa"/>
              <w:bottom w:w="90" w:type="dxa"/>
              <w:end w:w="120" w:type="dxa"/>
            </w:tcMar>
          </w:tcPr>
          <w:p>
            <w:r>
              <w:rPr>
                <w:rFonts w:ascii="Calibri" w:hAnsi="Calibri"/>
                <w:b/>
                <w:color w:val="1F4D78"/>
                <w:sz w:val="19"/>
              </w:rPr>
              <w:t>Soalan</w:t>
            </w:r>
          </w:p>
        </w:tc>
        <w:tc>
          <w:tcPr>
            <w:tcW w:type="dxa" w:w="5760"/>
            <w:shd w:fill="E8EEF5"/>
            <w:vAlign w:val="center"/>
            <w:tcMar>
              <w:top w:w="90" w:type="dxa"/>
              <w:start w:w="120" w:type="dxa"/>
              <w:bottom w:w="90" w:type="dxa"/>
              <w:end w:w="120" w:type="dxa"/>
            </w:tcMar>
          </w:tcPr>
          <w:p>
            <w:r>
              <w:rPr>
                <w:rFonts w:ascii="Calibri" w:hAnsi="Calibri"/>
                <w:b/>
                <w:color w:val="1F4D78"/>
                <w:sz w:val="19"/>
              </w:rPr>
              <w:t>Jawapan pembentangan</w:t>
            </w:r>
          </w:p>
        </w:tc>
      </w:tr>
      <w:tr>
        <w:tc>
          <w:tcPr>
            <w:tcW w:type="dxa" w:w="3600"/>
            <w:vAlign w:val="center"/>
            <w:tcMar>
              <w:top w:w="90" w:type="dxa"/>
              <w:start w:w="120" w:type="dxa"/>
              <w:bottom w:w="90" w:type="dxa"/>
              <w:end w:w="120" w:type="dxa"/>
            </w:tcMar>
          </w:tcPr>
          <w:p>
            <w:r>
              <w:rPr>
                <w:rFonts w:ascii="Calibri" w:hAnsi="Calibri"/>
                <w:sz w:val="19"/>
              </w:rPr>
              <w:t>Berapa banyak digunakan sekarang?</w:t>
            </w:r>
          </w:p>
        </w:tc>
        <w:tc>
          <w:tcPr>
            <w:tcW w:type="dxa" w:w="5760"/>
            <w:vAlign w:val="center"/>
            <w:tcMar>
              <w:top w:w="90" w:type="dxa"/>
              <w:start w:w="120" w:type="dxa"/>
              <w:bottom w:w="90" w:type="dxa"/>
              <w:end w:w="120" w:type="dxa"/>
            </w:tcMar>
          </w:tcPr>
          <w:p>
            <w:r>
              <w:rPr>
                <w:rFonts w:ascii="Calibri" w:hAnsi="Calibri"/>
                <w:sz w:val="19"/>
              </w:rPr>
              <w:t>215.8 MB pada Ryaze; ini ialah asas semasa sebelum 500 pengguna</w:t>
            </w:r>
          </w:p>
        </w:tc>
      </w:tr>
      <w:tr>
        <w:tc>
          <w:tcPr>
            <w:tcW w:type="dxa" w:w="3600"/>
            <w:vAlign w:val="center"/>
            <w:tcMar>
              <w:top w:w="90" w:type="dxa"/>
              <w:start w:w="120" w:type="dxa"/>
              <w:bottom w:w="90" w:type="dxa"/>
              <w:end w:w="120" w:type="dxa"/>
            </w:tcMar>
          </w:tcPr>
          <w:p>
            <w:r>
              <w:rPr>
                <w:rFonts w:ascii="Calibri" w:hAnsi="Calibri"/>
                <w:sz w:val="19"/>
              </w:rPr>
              <w:t>Berapa banyak kemungkinan digunakan oleh 500 pengguna?</w:t>
            </w:r>
          </w:p>
        </w:tc>
        <w:tc>
          <w:tcPr>
            <w:tcW w:type="dxa" w:w="5760"/>
            <w:vAlign w:val="center"/>
            <w:tcMar>
              <w:top w:w="90" w:type="dxa"/>
              <w:start w:w="120" w:type="dxa"/>
              <w:bottom w:w="90" w:type="dxa"/>
              <w:end w:w="120" w:type="dxa"/>
            </w:tcMar>
          </w:tcPr>
          <w:p>
            <w:r>
              <w:rPr>
                <w:rFonts w:ascii="Calibri" w:hAnsi="Calibri"/>
                <w:sz w:val="19"/>
              </w:rPr>
              <w:t>Kira-kira 8–12 GB dalam operasi biasa</w:t>
            </w:r>
          </w:p>
        </w:tc>
      </w:tr>
      <w:tr>
        <w:tc>
          <w:tcPr>
            <w:tcW w:type="dxa" w:w="3600"/>
            <w:vAlign w:val="center"/>
            <w:tcMar>
              <w:top w:w="90" w:type="dxa"/>
              <w:start w:w="120" w:type="dxa"/>
              <w:bottom w:w="90" w:type="dxa"/>
              <w:end w:w="120" w:type="dxa"/>
            </w:tcMar>
          </w:tcPr>
          <w:p>
            <w:r>
              <w:rPr>
                <w:rFonts w:ascii="Calibri" w:hAnsi="Calibri"/>
                <w:sz w:val="19"/>
              </w:rPr>
              <w:t>Apakah anggaran bagi penggunaan tinggi?</w:t>
            </w:r>
          </w:p>
        </w:tc>
        <w:tc>
          <w:tcPr>
            <w:tcW w:type="dxa" w:w="5760"/>
            <w:vAlign w:val="center"/>
            <w:tcMar>
              <w:top w:w="90" w:type="dxa"/>
              <w:start w:w="120" w:type="dxa"/>
              <w:bottom w:w="90" w:type="dxa"/>
              <w:end w:w="120" w:type="dxa"/>
            </w:tcMar>
          </w:tcPr>
          <w:p>
            <w:r>
              <w:rPr>
                <w:rFonts w:ascii="Calibri" w:hAnsi="Calibri"/>
                <w:sz w:val="19"/>
              </w:rPr>
              <w:t>Kira-kira 22–30 GB</w:t>
            </w:r>
          </w:p>
        </w:tc>
      </w:tr>
      <w:tr>
        <w:tc>
          <w:tcPr>
            <w:tcW w:type="dxa" w:w="3600"/>
            <w:vAlign w:val="center"/>
            <w:tcMar>
              <w:top w:w="90" w:type="dxa"/>
              <w:start w:w="120" w:type="dxa"/>
              <w:bottom w:w="90" w:type="dxa"/>
              <w:end w:w="120" w:type="dxa"/>
            </w:tcMar>
          </w:tcPr>
          <w:p>
            <w:r>
              <w:rPr>
                <w:rFonts w:ascii="Calibri" w:hAnsi="Calibri"/>
                <w:sz w:val="19"/>
              </w:rPr>
              <w:t>Apakah kes terburuk muat naik tinggi?</w:t>
            </w:r>
          </w:p>
        </w:tc>
        <w:tc>
          <w:tcPr>
            <w:tcW w:type="dxa" w:w="5760"/>
            <w:vAlign w:val="center"/>
            <w:tcMar>
              <w:top w:w="90" w:type="dxa"/>
              <w:start w:w="120" w:type="dxa"/>
              <w:bottom w:w="90" w:type="dxa"/>
              <w:end w:w="120" w:type="dxa"/>
            </w:tcMar>
          </w:tcPr>
          <w:p>
            <w:r>
              <w:rPr>
                <w:rFonts w:ascii="Calibri" w:hAnsi="Calibri"/>
                <w:sz w:val="19"/>
              </w:rPr>
              <w:t>Kira-kira 40–45 GB</w:t>
            </w:r>
          </w:p>
        </w:tc>
      </w:tr>
      <w:tr>
        <w:tc>
          <w:tcPr>
            <w:tcW w:type="dxa" w:w="3600"/>
            <w:vAlign w:val="center"/>
            <w:tcMar>
              <w:top w:w="90" w:type="dxa"/>
              <w:start w:w="120" w:type="dxa"/>
              <w:bottom w:w="90" w:type="dxa"/>
              <w:end w:w="120" w:type="dxa"/>
            </w:tcMar>
          </w:tcPr>
          <w:p>
            <w:r>
              <w:rPr>
                <w:rFonts w:ascii="Calibri" w:hAnsi="Calibri"/>
                <w:sz w:val="19"/>
              </w:rPr>
              <w:t>Berapa storan langsung yang perlu disediakan?</w:t>
            </w:r>
          </w:p>
        </w:tc>
        <w:tc>
          <w:tcPr>
            <w:tcW w:type="dxa" w:w="5760"/>
            <w:vAlign w:val="center"/>
            <w:tcMar>
              <w:top w:w="90" w:type="dxa"/>
              <w:start w:w="120" w:type="dxa"/>
              <w:bottom w:w="90" w:type="dxa"/>
              <w:end w:w="120" w:type="dxa"/>
            </w:tcMar>
          </w:tcPr>
          <w:p>
            <w:r>
              <w:rPr>
                <w:rFonts w:ascii="Calibri" w:hAnsi="Calibri"/>
                <w:sz w:val="19"/>
              </w:rPr>
              <w:t>100 GB disyorkan; minimum mutlak 50 GB</w:t>
            </w:r>
          </w:p>
        </w:tc>
      </w:tr>
      <w:tr>
        <w:tc>
          <w:tcPr>
            <w:tcW w:type="dxa" w:w="3600"/>
            <w:vAlign w:val="center"/>
            <w:tcMar>
              <w:top w:w="90" w:type="dxa"/>
              <w:start w:w="120" w:type="dxa"/>
              <w:bottom w:w="90" w:type="dxa"/>
              <w:end w:w="120" w:type="dxa"/>
            </w:tcMar>
          </w:tcPr>
          <w:p>
            <w:r>
              <w:rPr>
                <w:rFonts w:ascii="Calibri" w:hAnsi="Calibri"/>
                <w:sz w:val="19"/>
              </w:rPr>
              <w:t>Berapa storan sandaran diperlukan?</w:t>
            </w:r>
          </w:p>
        </w:tc>
        <w:tc>
          <w:tcPr>
            <w:tcW w:type="dxa" w:w="5760"/>
            <w:vAlign w:val="center"/>
            <w:tcMar>
              <w:top w:w="90" w:type="dxa"/>
              <w:start w:w="120" w:type="dxa"/>
              <w:bottom w:w="90" w:type="dxa"/>
              <w:end w:w="120" w:type="dxa"/>
            </w:tcMar>
          </w:tcPr>
          <w:p>
            <w:r>
              <w:rPr>
                <w:rFonts w:ascii="Calibri" w:hAnsi="Calibri"/>
                <w:sz w:val="19"/>
              </w:rPr>
              <w:t>150–300 GB pada lokasi disulitkan berasingan</w:t>
            </w:r>
          </w:p>
        </w:tc>
      </w:tr>
    </w:tbl>
    <w:p/>
    <w:p>
      <w:pPr>
        <w:spacing w:before="80" w:after="200"/>
        <w:ind w:left="173" w:right="173"/>
        <w:shd w:fill="F4F6F9"/>
        <w:pBdr>
          <w:top w:val="single" w:sz="6" w:space="6" w:color="D9E2F3"/>
          <w:left w:val="single" w:sz="6" w:space="6" w:color="D9E2F3"/>
          <w:bottom w:val="single" w:sz="6" w:space="6" w:color="D9E2F3"/>
          <w:right w:val="single" w:sz="6" w:space="6" w:color="D9E2F3"/>
        </w:pBdr>
      </w:pPr>
      <w:r>
        <w:rPr>
          <w:rFonts w:ascii="Calibri" w:hAnsi="Calibri"/>
          <w:b/>
          <w:color w:val="1F4D78"/>
          <w:sz w:val="24"/>
        </w:rPr>
        <w:t>Pernyataan pembentangan yang disyorkan</w:t>
        <w:br/>
      </w:r>
      <w:r>
        <w:rPr>
          <w:rFonts w:ascii="Calibri" w:hAnsi="Calibri"/>
          <w:sz w:val="22"/>
        </w:rPr>
        <w:t>Bagi kira-kira 500 pengguna di Kota Putera, MyOKUcare dijangka menggunakan sekitar 8 hingga 12 GB dalam operasi biasa. Senario muat naik tinggi boleh menghampiri 45 GB. Oleh itu, kami mengesyorkan 100 GB storan langsung yang boleh dikembangkan dan 30 hingga 50 GB storan sandaran disulitkan berasingan untuk persekitaran pengehosan kerajaan.</w:t>
      </w:r>
    </w:p>
    <w:p>
      <w:pPr>
        <w:pStyle w:val="Heading1"/>
      </w:pPr>
      <w:r>
        <w:t>Batasan dan Pengesahan</w:t>
      </w:r>
    </w:p>
    <w:p>
      <w:pPr>
        <w:pStyle w:val="ListBullet"/>
      </w:pPr>
      <w:r>
        <w:t>Penggunaan sebenar bergantung pada bilangan akaun OKU, saiz dokumen, penghantaran semula, eksport dan dasar penyimpanan.</w:t>
      </w:r>
    </w:p>
    <w:p>
      <w:pPr>
        <w:pStyle w:val="ListBullet"/>
      </w:pPr>
      <w:r>
        <w:t>Anggaran kes terburuk menggunakan andaian muat naik konservatif; imej termampat biasa sepatutnya lebih kecil.</w:t>
      </w:r>
    </w:p>
    <w:p>
      <w:pPr>
        <w:pStyle w:val="ListBullet"/>
      </w:pPr>
      <w:r>
        <w:t>Overhed pangkalan data/storan kerajaan dan teknologi sandaran mungkin mengubah peruntukan akhir.</w:t>
      </w:r>
    </w:p>
    <w:p>
      <w:pPr>
        <w:pStyle w:val="ListBullet"/>
      </w:pPr>
      <w:r>
        <w:t>Jalankan pengukuran rintis selama 30–90 hari dan simpan laporan pertumbuhan storan bulanan.</w:t>
      </w:r>
    </w:p>
    <w:p>
      <w:pPr>
        <w:pStyle w:val="ListBullet"/>
      </w:pPr>
      <w:r>
        <w:t>Lengkapkan ujian beban, keselamatan, sandaran-pemulihan dan pemulihan bencana sebelum penerimaan pengeluaran penuh.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Projek bermula Februari 2026 • Anggaran disediakan 27 Julai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8"/>
      </w:rPr>
      <w:t>MyOKUcare | Anggaran Storan Pengehosan Kerajaan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