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PT Sans" w:hAnsi="PT Sans"/>
          <w:b/>
          <w:color w:val="1A1A1A"/>
          <w:sz w:val="28"/>
        </w:rPr>
        <w:t>Приложение № 5 к Договору № __/____</w:t>
        <w:br/>
      </w:r>
      <w:r>
        <w:rPr>
          <w:rFonts w:ascii="PT Sans" w:hAnsi="PT Sans"/>
          <w:b/>
          <w:color w:val="1A1A1A"/>
          <w:sz w:val="28"/>
        </w:rPr>
        <w:t>возмездного оказания услуг от «___» __________ 20__ г.</w:t>
      </w:r>
    </w:p>
    <w:p>
      <w:pPr>
        <w:spacing w:after="360"/>
        <w:jc w:val="center"/>
      </w:pPr>
      <w:r>
        <w:rPr>
          <w:rFonts w:ascii="PT Serif" w:hAnsi="PT Serif"/>
          <w:i/>
          <w:color w:val="555555"/>
          <w:sz w:val="20"/>
        </w:rPr>
        <w:t>Соглашение о конфиденциальности (NDA)</w:t>
      </w:r>
    </w:p>
    <w:p>
      <w:pPr>
        <w:keepNext/>
        <w:spacing w:before="360" w:after="120"/>
      </w:pPr>
      <w:r>
        <w:rPr>
          <w:rFonts w:ascii="PT Sans" w:hAnsi="PT Sans"/>
          <w:b/>
          <w:color w:val="1A1A1A"/>
          <w:sz w:val="24"/>
        </w:rPr>
        <w:t>1. Предмет Соглашения</w:t>
      </w:r>
    </w:p>
    <w:p>
      <w:pPr>
        <w:spacing w:after="80"/>
        <w:ind w:left="0"/>
        <w:jc w:val="both"/>
      </w:pPr>
      <w:r>
        <w:rPr>
          <w:rFonts w:ascii="PT Serif" w:hAnsi="PT Serif"/>
          <w:b w:val="0"/>
          <w:i w:val="0"/>
          <w:color w:val="1A1A1A"/>
          <w:sz w:val="22"/>
        </w:rPr>
        <w:t>Настоящее Соглашение регулирует порядок обращения Сторон с конфиденциальной информацией, ставшей известной им в ходе заключения и исполнения Договора.</w:t>
      </w:r>
    </w:p>
    <w:p>
      <w:pPr>
        <w:spacing w:after="80"/>
        <w:ind w:left="0"/>
        <w:jc w:val="both"/>
      </w:pPr>
      <w:r>
        <w:rPr>
          <w:rFonts w:ascii="PT Serif" w:hAnsi="PT Serif"/>
          <w:b w:val="0"/>
          <w:i w:val="0"/>
          <w:color w:val="1A1A1A"/>
          <w:sz w:val="22"/>
        </w:rPr>
        <w:t>Стороны взаимно признают друг друга «</w:t>
      </w:r>
      <w:r>
        <w:rPr>
          <w:rFonts w:ascii="PT Serif" w:hAnsi="PT Serif"/>
          <w:b/>
          <w:i w:val="0"/>
          <w:color w:val="1A1A1A"/>
          <w:sz w:val="22"/>
        </w:rPr>
        <w:t>Раскрывающей Стороной</w:t>
      </w:r>
      <w:r>
        <w:rPr>
          <w:rFonts w:ascii="PT Serif" w:hAnsi="PT Serif"/>
          <w:b w:val="0"/>
          <w:i w:val="0"/>
          <w:color w:val="1A1A1A"/>
          <w:sz w:val="22"/>
        </w:rPr>
        <w:t>» (в отношении сведений, которые она передаёт) и «</w:t>
      </w:r>
      <w:r>
        <w:rPr>
          <w:rFonts w:ascii="PT Serif" w:hAnsi="PT Serif"/>
          <w:b/>
          <w:i w:val="0"/>
          <w:color w:val="1A1A1A"/>
          <w:sz w:val="22"/>
        </w:rPr>
        <w:t>Получающей Стороной</w:t>
      </w:r>
      <w:r>
        <w:rPr>
          <w:rFonts w:ascii="PT Serif" w:hAnsi="PT Serif"/>
          <w:b w:val="0"/>
          <w:i w:val="0"/>
          <w:color w:val="1A1A1A"/>
          <w:sz w:val="22"/>
        </w:rPr>
        <w:t xml:space="preserve">» (в отношении сведений, которые получает). Соглашение является </w:t>
      </w:r>
      <w:r>
        <w:rPr>
          <w:rFonts w:ascii="PT Serif" w:hAnsi="PT Serif"/>
          <w:b/>
          <w:i w:val="0"/>
          <w:color w:val="1A1A1A"/>
          <w:sz w:val="22"/>
        </w:rPr>
        <w:t>двусторонним</w:t>
      </w:r>
      <w:r>
        <w:rPr>
          <w:rFonts w:ascii="PT Serif" w:hAnsi="PT Serif"/>
          <w:b w:val="0"/>
          <w:i w:val="0"/>
          <w:color w:val="1A1A1A"/>
          <w:sz w:val="22"/>
        </w:rPr>
        <w:t>.</w:t>
      </w:r>
    </w:p>
    <w:p>
      <w:pPr>
        <w:keepNext/>
        <w:spacing w:before="360" w:after="120"/>
      </w:pPr>
      <w:r>
        <w:rPr>
          <w:rFonts w:ascii="PT Sans" w:hAnsi="PT Sans"/>
          <w:b/>
          <w:color w:val="1A1A1A"/>
          <w:sz w:val="24"/>
        </w:rPr>
        <w:t>2. Конфиденциальная информация</w:t>
      </w:r>
    </w:p>
    <w:p>
      <w:pPr>
        <w:spacing w:after="80"/>
        <w:ind w:left="0"/>
        <w:jc w:val="both"/>
      </w:pPr>
      <w:r>
        <w:rPr>
          <w:rFonts w:ascii="PT Serif" w:hAnsi="PT Serif"/>
          <w:b w:val="0"/>
          <w:i w:val="0"/>
          <w:color w:val="1A1A1A"/>
          <w:sz w:val="22"/>
        </w:rPr>
        <w:t>Под конфиденциальной информацией в настоящем Соглашении понимаются любые сведения, имеющие действительную или потенциальную коммерческую ценность в силу неизвестности их третьим лицам, переданные одной Стороной другой Стороне в письменной, устной, электронной или иной форме в связи с Договором, в том числе:</w:t>
      </w:r>
    </w:p>
    <w:p>
      <w:pPr>
        <w:keepNext/>
        <w:spacing w:before="200" w:after="80"/>
      </w:pPr>
      <w:r>
        <w:rPr>
          <w:rFonts w:ascii="PT Sans" w:hAnsi="PT Sans"/>
          <w:b/>
          <w:color w:val="1A1A1A"/>
          <w:sz w:val="22"/>
        </w:rPr>
        <w:t>2.1. Со стороны Заказчика — Исполнителю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>конфигурация инфраструктуры, схемы сети, IP-адреса, имена хостов, состав ПО;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>учётные данные, ключи доступа, сертификаты, пароли;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>данные о клиентах, контрагентах, сотрудниках Заказчика;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>бизнес-показатели, договоры, финансовая отчётность Заказчика;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>сведения, помеченные грифом «конфиденциально», «коммерческая тайна», «персональные данные»;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>сведения, обработка которых регулируется 152-ФЗ и Приложением № 4.</w:t>
      </w:r>
    </w:p>
    <w:p>
      <w:pPr>
        <w:keepNext/>
        <w:spacing w:before="200" w:after="80"/>
      </w:pPr>
      <w:r>
        <w:rPr>
          <w:rFonts w:ascii="PT Sans" w:hAnsi="PT Sans"/>
          <w:b/>
          <w:color w:val="1A1A1A"/>
          <w:sz w:val="22"/>
        </w:rPr>
        <w:t>2.2. Со стороны Исполнителя — Заказчику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>методики и регламенты оказания Услуг, внутренние инструкции, runbooks;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>разработанные Исполнителем кастомные Ansible-роли, Puppet-манифесты, скрипты автоматизации, правила мониторинга и SIEM;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>архитектура мониторинга, SIEM, систем резервного копирования Исполнителя;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>коммерческие условия (за исключением условий, указанных в Договоре и его Приложениях);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>контакты и реквизиты партнёров, соисполнителей, поставщиков услуг;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>переписка, отчёты, аналитические материалы Исполнителя.</w:t>
      </w:r>
    </w:p>
    <w:p>
      <w:pPr>
        <w:keepNext/>
        <w:spacing w:before="360" w:after="120"/>
      </w:pPr>
      <w:r>
        <w:rPr>
          <w:rFonts w:ascii="PT Sans" w:hAnsi="PT Sans"/>
          <w:b/>
          <w:color w:val="1A1A1A"/>
          <w:sz w:val="24"/>
        </w:rPr>
        <w:t>3. Что не является конфиденциальной информацией</w:t>
      </w:r>
    </w:p>
    <w:p>
      <w:pPr>
        <w:spacing w:after="80"/>
        <w:ind w:left="0"/>
        <w:jc w:val="both"/>
      </w:pPr>
      <w:r>
        <w:rPr>
          <w:rFonts w:ascii="PT Serif" w:hAnsi="PT Serif"/>
          <w:b w:val="0"/>
          <w:i w:val="0"/>
          <w:color w:val="1A1A1A"/>
          <w:sz w:val="22"/>
        </w:rPr>
        <w:t>Конфиденциальной не является информация, которая: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>общедоступна на момент получения, не по вине Получающей Стороны;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>правомерно получена Получающей Стороной от третьего лица, не связанного обязательством о неразглашении;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>независимо разработана Получающей Стороной без использования конфиденциальной информации Раскрывающей Стороны (подтверждается письменными доказательствами);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>раскрыта в силу обязательного требования закона или вступившего в законную силу судебного акта; в этом случае Получающая Сторона обязана уведомить Раскрывающую Сторону в течение 1 рабочего дня (если такое уведомление само не нарушает закон).</w:t>
      </w:r>
    </w:p>
    <w:p>
      <w:pPr>
        <w:keepNext/>
        <w:spacing w:before="360" w:after="120"/>
      </w:pPr>
      <w:r>
        <w:rPr>
          <w:rFonts w:ascii="PT Sans" w:hAnsi="PT Sans"/>
          <w:b/>
          <w:color w:val="1A1A1A"/>
          <w:sz w:val="24"/>
        </w:rPr>
        <w:t>4. Обязательства Получающей Стороны</w:t>
      </w:r>
    </w:p>
    <w:p>
      <w:pPr>
        <w:spacing w:after="80"/>
        <w:ind w:left="567" w:hanging="567"/>
        <w:jc w:val="both"/>
      </w:pPr>
      <w:r>
        <w:rPr>
          <w:rFonts w:ascii="PT Serif" w:hAnsi="PT Serif"/>
          <w:b/>
          <w:i w:val="0"/>
          <w:color w:val="1A1A1A"/>
          <w:sz w:val="22"/>
        </w:rPr>
        <w:t xml:space="preserve">4.1. </w:t>
      </w:r>
      <w:r>
        <w:rPr>
          <w:rFonts w:ascii="PT Serif" w:hAnsi="PT Serif"/>
          <w:b w:val="0"/>
          <w:i w:val="0"/>
          <w:color w:val="1A1A1A"/>
          <w:sz w:val="22"/>
        </w:rPr>
        <w:t>Использовать конфиденциальную информацию исключительно для целей исполнения Договора.</w:t>
      </w:r>
    </w:p>
    <w:p>
      <w:pPr>
        <w:spacing w:after="80"/>
        <w:ind w:left="567" w:hanging="567"/>
        <w:jc w:val="both"/>
      </w:pPr>
      <w:r>
        <w:rPr>
          <w:rFonts w:ascii="PT Serif" w:hAnsi="PT Serif"/>
          <w:b/>
          <w:i w:val="0"/>
          <w:color w:val="1A1A1A"/>
          <w:sz w:val="22"/>
        </w:rPr>
        <w:t xml:space="preserve">4.2. </w:t>
      </w:r>
      <w:r>
        <w:rPr>
          <w:rFonts w:ascii="PT Serif" w:hAnsi="PT Serif"/>
          <w:b w:val="0"/>
          <w:i w:val="0"/>
          <w:color w:val="1A1A1A"/>
          <w:sz w:val="22"/>
        </w:rPr>
        <w:t>Не разглашать конфиденциальную информацию третьим лицам без письменного согласия Раскрывающей Стороны, за исключением соисполнителей и сотрудников Получающей Стороны, которым информация необходима для исполнения Договора. Передача соисполнителям возможна только при наличии у соисполнителя обязательства о неразглашении не ниже настоящего.</w:t>
      </w:r>
    </w:p>
    <w:p>
      <w:pPr>
        <w:spacing w:after="80"/>
        <w:ind w:left="567" w:hanging="567"/>
        <w:jc w:val="both"/>
      </w:pPr>
      <w:r>
        <w:rPr>
          <w:rFonts w:ascii="PT Serif" w:hAnsi="PT Serif"/>
          <w:b/>
          <w:i w:val="0"/>
          <w:color w:val="1A1A1A"/>
          <w:sz w:val="22"/>
        </w:rPr>
        <w:t xml:space="preserve">4.3. </w:t>
      </w:r>
      <w:r>
        <w:rPr>
          <w:rFonts w:ascii="PT Serif" w:hAnsi="PT Serif"/>
          <w:b w:val="0"/>
          <w:i w:val="0"/>
          <w:color w:val="1A1A1A"/>
          <w:sz w:val="22"/>
        </w:rPr>
        <w:t>Принимать разумные технические и организационные меры для обеспечения сохранности конфиденциальной информации, не уступающие мерам, применяемым Получающей Стороной к собственной конфиденциальной информации.</w:t>
      </w:r>
    </w:p>
    <w:p>
      <w:pPr>
        <w:spacing w:after="80"/>
        <w:ind w:left="567" w:hanging="567"/>
        <w:jc w:val="both"/>
      </w:pPr>
      <w:r>
        <w:rPr>
          <w:rFonts w:ascii="PT Serif" w:hAnsi="PT Serif"/>
          <w:b/>
          <w:i w:val="0"/>
          <w:color w:val="1A1A1A"/>
          <w:sz w:val="22"/>
        </w:rPr>
        <w:t xml:space="preserve">4.4. </w:t>
      </w:r>
      <w:r>
        <w:rPr>
          <w:rFonts w:ascii="PT Serif" w:hAnsi="PT Serif"/>
          <w:b w:val="0"/>
          <w:i w:val="0"/>
          <w:color w:val="1A1A1A"/>
          <w:sz w:val="22"/>
        </w:rPr>
        <w:t xml:space="preserve">Уведомить Раскрывающую Сторону о факте утечки или подозрении на утечку конфиденциальной информации в течение </w:t>
      </w:r>
      <w:r>
        <w:rPr>
          <w:rFonts w:ascii="PT Serif" w:hAnsi="PT Serif"/>
          <w:b/>
          <w:i w:val="0"/>
          <w:color w:val="1A1A1A"/>
          <w:sz w:val="22"/>
        </w:rPr>
        <w:t>24 (двадцати четырёх) часов</w:t>
      </w:r>
      <w:r>
        <w:rPr>
          <w:rFonts w:ascii="PT Serif" w:hAnsi="PT Serif"/>
          <w:b w:val="0"/>
          <w:i w:val="0"/>
          <w:color w:val="1A1A1A"/>
          <w:sz w:val="22"/>
        </w:rPr>
        <w:t>.</w:t>
      </w:r>
    </w:p>
    <w:p>
      <w:pPr>
        <w:spacing w:after="80"/>
        <w:ind w:left="567" w:hanging="567"/>
        <w:jc w:val="both"/>
      </w:pPr>
      <w:r>
        <w:rPr>
          <w:rFonts w:ascii="PT Serif" w:hAnsi="PT Serif"/>
          <w:b/>
          <w:i w:val="0"/>
          <w:color w:val="1A1A1A"/>
          <w:sz w:val="22"/>
        </w:rPr>
        <w:t xml:space="preserve">4.5. </w:t>
      </w:r>
      <w:r>
        <w:rPr>
          <w:rFonts w:ascii="PT Serif" w:hAnsi="PT Serif"/>
          <w:b w:val="0"/>
          <w:i w:val="0"/>
          <w:color w:val="1A1A1A"/>
          <w:sz w:val="22"/>
        </w:rPr>
        <w:t xml:space="preserve">По окончании срока действия Договора либо по требованию Раскрывающей Стороны — в течение </w:t>
      </w:r>
      <w:r>
        <w:rPr>
          <w:rFonts w:ascii="PT Serif" w:hAnsi="PT Serif"/>
          <w:b/>
          <w:i w:val="0"/>
          <w:color w:val="1A1A1A"/>
          <w:sz w:val="22"/>
        </w:rPr>
        <w:t>30 (тридцати) календарных дней</w:t>
      </w:r>
      <w:r>
        <w:rPr>
          <w:rFonts w:ascii="PT Serif" w:hAnsi="PT Serif"/>
          <w:b w:val="0"/>
          <w:i w:val="0"/>
          <w:color w:val="1A1A1A"/>
          <w:sz w:val="22"/>
        </w:rPr>
        <w:t xml:space="preserve"> уничтожить или вернуть полученную конфиденциальную информацию, за исключением сведений, которые Получающая Сторона обязана хранить в силу законодательства (например, финансовая отчётность — 5 лет в силу 402-ФЗ).</w:t>
      </w:r>
    </w:p>
    <w:p>
      <w:pPr>
        <w:keepNext/>
        <w:spacing w:before="360" w:after="120"/>
      </w:pPr>
      <w:r>
        <w:rPr>
          <w:rFonts w:ascii="PT Sans" w:hAnsi="PT Sans"/>
          <w:b/>
          <w:color w:val="1A1A1A"/>
          <w:sz w:val="24"/>
        </w:rPr>
        <w:t>5. Особые обязательства Исполнителя</w:t>
      </w:r>
    </w:p>
    <w:p>
      <w:pPr>
        <w:spacing w:after="80"/>
        <w:ind w:left="567" w:hanging="567"/>
        <w:jc w:val="both"/>
      </w:pPr>
      <w:r>
        <w:rPr>
          <w:rFonts w:ascii="PT Serif" w:hAnsi="PT Serif"/>
          <w:b/>
          <w:i w:val="0"/>
          <w:color w:val="1A1A1A"/>
          <w:sz w:val="22"/>
        </w:rPr>
        <w:t xml:space="preserve">5.1. </w:t>
      </w:r>
      <w:r>
        <w:rPr>
          <w:rFonts w:ascii="PT Serif" w:hAnsi="PT Serif"/>
          <w:b w:val="0"/>
          <w:i w:val="0"/>
          <w:color w:val="1A1A1A"/>
          <w:sz w:val="22"/>
        </w:rPr>
        <w:t xml:space="preserve">Исполнитель </w:t>
      </w:r>
      <w:r>
        <w:rPr>
          <w:rFonts w:ascii="PT Serif" w:hAnsi="PT Serif"/>
          <w:b/>
          <w:i w:val="0"/>
          <w:color w:val="1A1A1A"/>
          <w:sz w:val="22"/>
        </w:rPr>
        <w:t>не использует обезличенные сведения</w:t>
      </w:r>
      <w:r>
        <w:rPr>
          <w:rFonts w:ascii="PT Serif" w:hAnsi="PT Serif"/>
          <w:b w:val="0"/>
          <w:i w:val="0"/>
          <w:color w:val="1A1A1A"/>
          <w:sz w:val="22"/>
        </w:rPr>
        <w:t xml:space="preserve"> о клиентах Заказчика, иных субъектах ПДн Заказчика и о коммерчески чувствительных данных Заказчика в маркетинговых материалах, кейсах, портфолио без письменного согласия Заказчика.</w:t>
      </w:r>
    </w:p>
    <w:p>
      <w:pPr>
        <w:spacing w:after="80"/>
        <w:ind w:left="567" w:hanging="567"/>
        <w:jc w:val="both"/>
      </w:pPr>
      <w:r>
        <w:rPr>
          <w:rFonts w:ascii="PT Serif" w:hAnsi="PT Serif"/>
          <w:b/>
          <w:i w:val="0"/>
          <w:color w:val="1A1A1A"/>
          <w:sz w:val="22"/>
        </w:rPr>
        <w:t xml:space="preserve">5.2. </w:t>
      </w:r>
      <w:r>
        <w:rPr>
          <w:rFonts w:ascii="PT Serif" w:hAnsi="PT Serif"/>
          <w:b w:val="0"/>
          <w:i w:val="0"/>
          <w:color w:val="1A1A1A"/>
          <w:sz w:val="22"/>
        </w:rPr>
        <w:t xml:space="preserve">Исполнитель </w:t>
      </w:r>
      <w:r>
        <w:rPr>
          <w:rFonts w:ascii="PT Serif" w:hAnsi="PT Serif"/>
          <w:b/>
          <w:i w:val="0"/>
          <w:color w:val="1A1A1A"/>
          <w:sz w:val="22"/>
        </w:rPr>
        <w:t>вправе</w:t>
      </w:r>
      <w:r>
        <w:rPr>
          <w:rFonts w:ascii="PT Serif" w:hAnsi="PT Serif"/>
          <w:b w:val="0"/>
          <w:i w:val="0"/>
          <w:color w:val="1A1A1A"/>
          <w:sz w:val="22"/>
        </w:rPr>
        <w:t xml:space="preserve"> использовать </w:t>
      </w:r>
      <w:r>
        <w:rPr>
          <w:rFonts w:ascii="PT Serif" w:hAnsi="PT Serif"/>
          <w:b/>
          <w:i w:val="0"/>
          <w:color w:val="1A1A1A"/>
          <w:sz w:val="22"/>
        </w:rPr>
        <w:t>обезличенную информацию о факте оказания Услуг</w:t>
      </w:r>
      <w:r>
        <w:rPr>
          <w:rFonts w:ascii="PT Serif" w:hAnsi="PT Serif"/>
          <w:b w:val="0"/>
          <w:i w:val="0"/>
          <w:color w:val="1A1A1A"/>
          <w:sz w:val="22"/>
        </w:rPr>
        <w:t xml:space="preserve"> (без указания наименования Заказчика, контактных лиц, специфики бизнеса, идентифицирующих признаков) в собственных маркетинговых материалах и портфолио. Использование идентифицирующих сведений — только с письменного согласия Заказчика.</w:t>
      </w:r>
    </w:p>
    <w:p>
      <w:pPr>
        <w:keepNext/>
        <w:spacing w:before="360" w:after="120"/>
      </w:pPr>
      <w:r>
        <w:rPr>
          <w:rFonts w:ascii="PT Sans" w:hAnsi="PT Sans"/>
          <w:b/>
          <w:color w:val="1A1A1A"/>
          <w:sz w:val="24"/>
        </w:rPr>
        <w:t>6. Особые обязательства Заказчика</w:t>
      </w:r>
    </w:p>
    <w:p>
      <w:pPr>
        <w:spacing w:after="80"/>
        <w:ind w:left="567" w:hanging="567"/>
        <w:jc w:val="both"/>
      </w:pPr>
      <w:r>
        <w:rPr>
          <w:rFonts w:ascii="PT Serif" w:hAnsi="PT Serif"/>
          <w:b/>
          <w:i w:val="0"/>
          <w:color w:val="1A1A1A"/>
          <w:sz w:val="22"/>
        </w:rPr>
        <w:t xml:space="preserve">6.1. </w:t>
      </w:r>
      <w:r>
        <w:rPr>
          <w:rFonts w:ascii="PT Serif" w:hAnsi="PT Serif"/>
          <w:b w:val="0"/>
          <w:i w:val="0"/>
          <w:color w:val="1A1A1A"/>
          <w:sz w:val="22"/>
        </w:rPr>
        <w:t xml:space="preserve">Заказчик </w:t>
      </w:r>
      <w:r>
        <w:rPr>
          <w:rFonts w:ascii="PT Serif" w:hAnsi="PT Serif"/>
          <w:b/>
          <w:i w:val="0"/>
          <w:color w:val="1A1A1A"/>
          <w:sz w:val="22"/>
        </w:rPr>
        <w:t>не передаёт третьим лицам</w:t>
      </w:r>
      <w:r>
        <w:rPr>
          <w:rFonts w:ascii="PT Serif" w:hAnsi="PT Serif"/>
          <w:b w:val="0"/>
          <w:i w:val="0"/>
          <w:color w:val="1A1A1A"/>
          <w:sz w:val="22"/>
        </w:rPr>
        <w:t xml:space="preserve"> методики, скрипты, плейбуки, правила Wazuh, конфигурации мониторинга, разработанные Исполнителем, без письменного согласия Исполнителя.</w:t>
      </w:r>
    </w:p>
    <w:p>
      <w:pPr>
        <w:spacing w:after="80"/>
        <w:ind w:left="567" w:hanging="567"/>
        <w:jc w:val="both"/>
      </w:pPr>
      <w:r>
        <w:rPr>
          <w:rFonts w:ascii="PT Serif" w:hAnsi="PT Serif"/>
          <w:b/>
          <w:i w:val="0"/>
          <w:color w:val="1A1A1A"/>
          <w:sz w:val="22"/>
        </w:rPr>
        <w:t xml:space="preserve">6.2. </w:t>
      </w:r>
      <w:r>
        <w:rPr>
          <w:rFonts w:ascii="PT Serif" w:hAnsi="PT Serif"/>
          <w:b w:val="0"/>
          <w:i w:val="0"/>
          <w:color w:val="1A1A1A"/>
          <w:sz w:val="22"/>
        </w:rPr>
        <w:t xml:space="preserve">Заказчик </w:t>
      </w:r>
      <w:r>
        <w:rPr>
          <w:rFonts w:ascii="PT Serif" w:hAnsi="PT Serif"/>
          <w:b/>
          <w:i w:val="0"/>
          <w:color w:val="1A1A1A"/>
          <w:sz w:val="22"/>
        </w:rPr>
        <w:t>не использует</w:t>
      </w:r>
      <w:r>
        <w:rPr>
          <w:rFonts w:ascii="PT Serif" w:hAnsi="PT Serif"/>
          <w:b w:val="0"/>
          <w:i w:val="0"/>
          <w:color w:val="1A1A1A"/>
          <w:sz w:val="22"/>
        </w:rPr>
        <w:t xml:space="preserve"> материалы, разработанные Исполнителем, для оказания услуг третьим лицам.</w:t>
      </w:r>
    </w:p>
    <w:p>
      <w:pPr>
        <w:spacing w:after="80"/>
        <w:ind w:left="567" w:hanging="567"/>
        <w:jc w:val="both"/>
      </w:pPr>
      <w:r>
        <w:rPr>
          <w:rFonts w:ascii="PT Serif" w:hAnsi="PT Serif"/>
          <w:b/>
          <w:i w:val="0"/>
          <w:color w:val="1A1A1A"/>
          <w:sz w:val="22"/>
        </w:rPr>
        <w:t xml:space="preserve">6.3. </w:t>
      </w:r>
      <w:r>
        <w:rPr>
          <w:rFonts w:ascii="PT Serif" w:hAnsi="PT Serif"/>
          <w:b w:val="0"/>
          <w:i w:val="0"/>
          <w:color w:val="1A1A1A"/>
          <w:sz w:val="22"/>
        </w:rPr>
        <w:t xml:space="preserve">Заказчик </w:t>
      </w:r>
      <w:r>
        <w:rPr>
          <w:rFonts w:ascii="PT Serif" w:hAnsi="PT Serif"/>
          <w:b/>
          <w:i w:val="0"/>
          <w:color w:val="1A1A1A"/>
          <w:sz w:val="22"/>
        </w:rPr>
        <w:t>не публикует</w:t>
      </w:r>
      <w:r>
        <w:rPr>
          <w:rFonts w:ascii="PT Serif" w:hAnsi="PT Serif"/>
          <w:b w:val="0"/>
          <w:i w:val="0"/>
          <w:color w:val="1A1A1A"/>
          <w:sz w:val="22"/>
        </w:rPr>
        <w:t xml:space="preserve"> сведения о коммерческих условиях Договора в открытых источниках, в том числе в социальных сетях, на тендерных площадках, в открытых рейтингах.</w:t>
      </w:r>
    </w:p>
    <w:p>
      <w:pPr>
        <w:keepNext/>
        <w:spacing w:before="360" w:after="120"/>
      </w:pPr>
      <w:r>
        <w:rPr>
          <w:rFonts w:ascii="PT Sans" w:hAnsi="PT Sans"/>
          <w:b/>
          <w:color w:val="1A1A1A"/>
          <w:sz w:val="24"/>
        </w:rPr>
        <w:t>7. Срок действия обязательств</w:t>
      </w:r>
    </w:p>
    <w:p>
      <w:pPr>
        <w:spacing w:after="80"/>
        <w:ind w:left="0"/>
        <w:jc w:val="both"/>
      </w:pPr>
      <w:r>
        <w:rPr>
          <w:rFonts w:ascii="PT Serif" w:hAnsi="PT Serif"/>
          <w:b w:val="0"/>
          <w:i w:val="0"/>
          <w:color w:val="1A1A1A"/>
          <w:sz w:val="22"/>
        </w:rPr>
        <w:t>Обязательства Получающей Стороны по сохранению конфиденциальности действуют: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>в течение всего срока действия Договора;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 xml:space="preserve">в течение </w:t>
      </w:r>
      <w:r>
        <w:rPr>
          <w:rFonts w:ascii="PT Serif" w:hAnsi="PT Serif"/>
          <w:b/>
          <w:i w:val="0"/>
          <w:color w:val="1A1A1A"/>
          <w:sz w:val="22"/>
        </w:rPr>
        <w:t>3 (трёх) лет</w:t>
      </w:r>
      <w:r>
        <w:rPr>
          <w:rFonts w:ascii="PT Serif" w:hAnsi="PT Serif"/>
          <w:b w:val="0"/>
          <w:i w:val="0"/>
          <w:color w:val="1A1A1A"/>
          <w:sz w:val="22"/>
        </w:rPr>
        <w:t xml:space="preserve"> после прекращения Договора по любому основанию;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>в отношении сведений, составляющих коммерческую тайну (в смысле 98-ФЗ от 29.07.2004), — бессрочно, до момента отнесения этих сведений к общедоступной информации.</w:t>
      </w:r>
    </w:p>
    <w:p>
      <w:pPr>
        <w:keepNext/>
        <w:spacing w:before="360" w:after="120"/>
      </w:pPr>
      <w:r>
        <w:rPr>
          <w:rFonts w:ascii="PT Sans" w:hAnsi="PT Sans"/>
          <w:b/>
          <w:color w:val="1A1A1A"/>
          <w:sz w:val="24"/>
        </w:rPr>
        <w:t>8. Ответственность</w:t>
      </w:r>
    </w:p>
    <w:p>
      <w:pPr>
        <w:spacing w:after="80"/>
        <w:ind w:left="567" w:hanging="567"/>
        <w:jc w:val="both"/>
      </w:pPr>
      <w:r>
        <w:rPr>
          <w:rFonts w:ascii="PT Serif" w:hAnsi="PT Serif"/>
          <w:b/>
          <w:i w:val="0"/>
          <w:color w:val="1A1A1A"/>
          <w:sz w:val="22"/>
        </w:rPr>
        <w:t xml:space="preserve">8.1. </w:t>
      </w:r>
      <w:r>
        <w:rPr>
          <w:rFonts w:ascii="PT Serif" w:hAnsi="PT Serif"/>
          <w:b w:val="0"/>
          <w:i w:val="0"/>
          <w:color w:val="1A1A1A"/>
          <w:sz w:val="22"/>
        </w:rPr>
        <w:t xml:space="preserve">За нарушение обязательств по настоящему Соглашению виновная Сторона уплачивает другой Стороне </w:t>
      </w:r>
      <w:r>
        <w:rPr>
          <w:rFonts w:ascii="PT Serif" w:hAnsi="PT Serif"/>
          <w:b/>
          <w:i w:val="0"/>
          <w:color w:val="1A1A1A"/>
          <w:sz w:val="22"/>
        </w:rPr>
        <w:t>штраф в размере шестикратного ежемесячного вознаграждения</w:t>
      </w:r>
      <w:r>
        <w:rPr>
          <w:rFonts w:ascii="PT Serif" w:hAnsi="PT Serif"/>
          <w:b w:val="0"/>
          <w:i w:val="0"/>
          <w:color w:val="1A1A1A"/>
          <w:sz w:val="22"/>
        </w:rPr>
        <w:t xml:space="preserve"> Исполнителя по Договору (с учётом действующего на момент нарушения Тарифа), за каждый случай нарушения. Помимо штрафа, потерпевшая Сторона вправе потребовать возмещения документально подтверждённых убытков.</w:t>
      </w:r>
    </w:p>
    <w:p>
      <w:pPr>
        <w:spacing w:after="80"/>
        <w:ind w:left="567" w:hanging="567"/>
        <w:jc w:val="both"/>
      </w:pPr>
      <w:r>
        <w:rPr>
          <w:rFonts w:ascii="PT Serif" w:hAnsi="PT Serif"/>
          <w:b/>
          <w:i w:val="0"/>
          <w:color w:val="1A1A1A"/>
          <w:sz w:val="22"/>
        </w:rPr>
        <w:t xml:space="preserve">8.2. </w:t>
      </w:r>
      <w:r>
        <w:rPr>
          <w:rFonts w:ascii="PT Serif" w:hAnsi="PT Serif"/>
          <w:b w:val="0"/>
          <w:i w:val="0"/>
          <w:color w:val="1A1A1A"/>
          <w:sz w:val="22"/>
        </w:rPr>
        <w:t xml:space="preserve">Штраф за нарушение обязательств по конфиденциальности </w:t>
      </w:r>
      <w:r>
        <w:rPr>
          <w:rFonts w:ascii="PT Serif" w:hAnsi="PT Serif"/>
          <w:b/>
          <w:i w:val="0"/>
          <w:color w:val="1A1A1A"/>
          <w:sz w:val="22"/>
        </w:rPr>
        <w:t>не подпадает под общий лимит совокупной ответственности Сторон</w:t>
      </w:r>
      <w:r>
        <w:rPr>
          <w:rFonts w:ascii="PT Serif" w:hAnsi="PT Serif"/>
          <w:b w:val="0"/>
          <w:i w:val="0"/>
          <w:color w:val="1A1A1A"/>
          <w:sz w:val="22"/>
        </w:rPr>
        <w:t>, установленный п. 8.1 основного Договора.</w:t>
      </w:r>
    </w:p>
    <w:p>
      <w:pPr>
        <w:spacing w:after="80"/>
        <w:ind w:left="567" w:hanging="567"/>
        <w:jc w:val="both"/>
      </w:pPr>
      <w:r>
        <w:rPr>
          <w:rFonts w:ascii="PT Serif" w:hAnsi="PT Serif"/>
          <w:b/>
          <w:i w:val="0"/>
          <w:color w:val="1A1A1A"/>
          <w:sz w:val="22"/>
        </w:rPr>
        <w:t xml:space="preserve">8.3. </w:t>
      </w:r>
      <w:r>
        <w:rPr>
          <w:rFonts w:ascii="PT Serif" w:hAnsi="PT Serif"/>
          <w:b w:val="0"/>
          <w:i w:val="0"/>
          <w:color w:val="1A1A1A"/>
          <w:sz w:val="22"/>
        </w:rPr>
        <w:t xml:space="preserve">Случай нарушения должен быть документально подтверждён потерпевшей Стороной (скриншоты публикаций, переписка, акт фиксации). При наличии подтверждения штраф уплачивается в течение </w:t>
      </w:r>
      <w:r>
        <w:rPr>
          <w:rFonts w:ascii="PT Serif" w:hAnsi="PT Serif"/>
          <w:b/>
          <w:i w:val="0"/>
          <w:color w:val="1A1A1A"/>
          <w:sz w:val="22"/>
        </w:rPr>
        <w:t>10 (десяти) рабочих дней</w:t>
      </w:r>
      <w:r>
        <w:rPr>
          <w:rFonts w:ascii="PT Serif" w:hAnsi="PT Serif"/>
          <w:b w:val="0"/>
          <w:i w:val="0"/>
          <w:color w:val="1A1A1A"/>
          <w:sz w:val="22"/>
        </w:rPr>
        <w:t xml:space="preserve"> с момента направления требования.</w:t>
      </w:r>
    </w:p>
    <w:p>
      <w:pPr>
        <w:keepNext/>
        <w:spacing w:before="360" w:after="120"/>
      </w:pPr>
      <w:r>
        <w:rPr>
          <w:rFonts w:ascii="PT Sans" w:hAnsi="PT Sans"/>
          <w:b/>
          <w:color w:val="1A1A1A"/>
          <w:sz w:val="24"/>
        </w:rPr>
        <w:t>9. Применимое право</w:t>
      </w:r>
    </w:p>
    <w:p>
      <w:pPr>
        <w:spacing w:after="80"/>
        <w:ind w:left="0"/>
        <w:jc w:val="both"/>
      </w:pPr>
      <w:r>
        <w:rPr>
          <w:rFonts w:ascii="PT Serif" w:hAnsi="PT Serif"/>
          <w:b w:val="0"/>
          <w:i w:val="0"/>
          <w:color w:val="1A1A1A"/>
          <w:sz w:val="22"/>
        </w:rPr>
        <w:t>К настоящему Соглашению применяется законодательство Российской Федерации, в том числе положения ст. 1465 ГК РФ (секрет производства), Федерального закона от 29.07.2004 № 98-ФЗ «О коммерческой тайне», Федерального закона от 27.07.2006 № 152-ФЗ «О персональных данных».</w:t>
      </w:r>
    </w:p>
    <w:p>
      <w:pPr>
        <w:keepNext/>
        <w:spacing w:before="360" w:after="120"/>
      </w:pPr>
      <w:r>
        <w:rPr>
          <w:rFonts w:ascii="PT Sans" w:hAnsi="PT Sans"/>
          <w:b/>
          <w:color w:val="1A1A1A"/>
          <w:sz w:val="24"/>
        </w:rPr>
        <w:t>10. Подписи Сторон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/>
            <w:r>
              <w:rPr>
                <w:rFonts w:ascii="PT Sans" w:hAnsi="PT Sans"/>
                <w:b/>
                <w:color w:val="1A1A1A"/>
                <w:sz w:val="22"/>
              </w:rPr>
              <w:t>Исполнитель</w:t>
            </w:r>
          </w:p>
          <w:p>
            <w:pPr>
              <w:spacing w:after="40"/>
            </w:pP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  <w:t>ФИО</w:t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, плательщик НПД</w:t>
            </w:r>
          </w:p>
          <w:p>
            <w:pPr>
              <w:spacing w:after="40"/>
            </w:pP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 xml:space="preserve">ИНН: </w:t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  <w:p>
            <w:pPr>
              <w:spacing w:before="320" w:after="40"/>
            </w:pP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_____________________________</w:t>
            </w:r>
          </w:p>
          <w:p>
            <w:r>
              <w:rPr>
                <w:rFonts w:ascii="PT Serif" w:hAnsi="PT Serif"/>
                <w:b w:val="0"/>
                <w:i/>
                <w:color w:val="555555"/>
                <w:sz w:val="18"/>
              </w:rPr>
              <w:t>подпись / дата / печать (при наличии)</w:t>
            </w:r>
          </w:p>
        </w:tc>
        <w:tc>
          <w:tcPr>
            <w:tcW w:type="dxa" w:w="4844"/>
          </w:tcPr>
          <w:p>
            <w:r/>
            <w:r>
              <w:rPr>
                <w:rFonts w:ascii="PT Sans" w:hAnsi="PT Sans"/>
                <w:b/>
                <w:color w:val="1A1A1A"/>
                <w:sz w:val="22"/>
              </w:rPr>
              <w:t>Заказчик</w:t>
            </w:r>
          </w:p>
          <w:p>
            <w:pPr>
              <w:spacing w:after="40"/>
            </w:pP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  <w:t>Полное наименование</w:t>
            </w:r>
          </w:p>
          <w:p>
            <w:pPr>
              <w:spacing w:after="40"/>
            </w:pP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 xml:space="preserve">ИНН: </w:t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  <w:p>
            <w:pPr>
              <w:spacing w:before="320" w:after="40"/>
            </w:pP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_____________________________</w:t>
            </w:r>
          </w:p>
          <w:p>
            <w:r>
              <w:rPr>
                <w:rFonts w:ascii="PT Serif" w:hAnsi="PT Serif"/>
                <w:b w:val="0"/>
                <w:i/>
                <w:color w:val="555555"/>
                <w:sz w:val="18"/>
              </w:rPr>
              <w:t>подпись / дата / печать (при наличии)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T Serif" w:hAnsi="PT Serif" w:cs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