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6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Форма акта оказанных услуг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АКТ № __/____ от «___» ____________ 20__ г.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об оказанных услугах по Договору № __/____ от «___» ___________ 20__ г.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Отчётный период: с «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_»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 20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 г. по «</w:t>
      </w:r>
      <w:r>
        <w:rPr>
          <w:rFonts w:ascii="PT Serif" w:hAnsi="PT Serif"/>
          <w:b w:val="0"/>
          <w:i w:val="0"/>
          <w:color w:val="1A1A1A"/>
          <w:sz w:val="22"/>
        </w:rPr>
        <w:t xml:space="preserve">_»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_ 20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г.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Исполнитель: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ФИО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плательщик НПД (422-ФЗ), ИНН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Заказчик: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полное наименование организации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ИНН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Оказанные услуги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38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Тариф / основание</w:t>
            </w:r>
          </w:p>
        </w:tc>
        <w:tc>
          <w:tcPr>
            <w:tcW w:type="dxa" w:w="1417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Объём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Сумма (₽)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Ежемесячное сопровождение IT-инфраструктуры по Тарифу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Bronze / Silver / Gold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Договор №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__, Приложение № 1</w:t>
            </w:r>
          </w:p>
        </w:tc>
        <w:tc>
          <w:tcPr>
            <w:tcW w:type="dxa" w:w="141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месяц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11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Дополнительные услуги (по согласованию)</w:t>
            </w:r>
          </w:p>
        </w:tc>
        <w:tc>
          <w:tcPr>
            <w:tcW w:type="dxa" w:w="238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счёт-смета №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 xml:space="preserve"> от </w:t>
            </w:r>
          </w:p>
        </w:tc>
        <w:tc>
          <w:tcPr>
            <w:tcW w:type="dxa" w:w="141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факту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Лицензионные расходы (если применимо)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счёт правообладателя</w:t>
            </w:r>
          </w:p>
        </w:tc>
        <w:tc>
          <w:tcPr>
            <w:tcW w:type="dxa" w:w="141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факту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</w:p>
        </w:tc>
        <w:tc>
          <w:tcPr>
            <w:tcW w:type="dxa" w:w="3118"/>
            <w:vAlign w:val="top"/>
            <w:shd w:val="clear" w:color="auto" w:fill="F5F2EC"/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shd w:val="clear" w:color="auto" w:fill="F5F2EC"/>
          </w:tcPr>
          <w:p>
            <w:pPr>
              <w:spacing w:after="40"/>
            </w:pPr>
            <w:r/>
          </w:p>
        </w:tc>
        <w:tc>
          <w:tcPr>
            <w:tcW w:type="dxa" w:w="141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Итого: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__________________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Краткая статистика отчётного периода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Зафиксировано инцидентов P1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Зафиксировано инцидентов P2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Зафиксировано инцидентов P3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Среднее время реакции P1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Нарушений SLA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Резервных копий выполнено / успешно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 xml:space="preserve"> /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Использовано часов ручного участия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 из лимита Тарифа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Дополнительных услуг оказано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Заверения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Услуги оказаны в полном объёме, в соответствии с условиями Договора и Приложений.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Стороны взаимных претензий не имеют (либо указать конкретные претензии).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является плательщиком налога на профессиональный доход (422-ФЗ); чек НПД будет (был) сформирован в приложении «Мой налог».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Заказчик подтверждает, что Чек НПД получен и сохранён в первичной документации.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Чек НПД №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 от «</w:t>
      </w:r>
      <w:r>
        <w:rPr>
          <w:rFonts w:ascii="PT Serif" w:hAnsi="PT Serif"/>
          <w:b w:val="0"/>
          <w:i w:val="0"/>
          <w:color w:val="1A1A1A"/>
          <w:sz w:val="22"/>
        </w:rPr>
        <w:t xml:space="preserve">_»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_ 20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г.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Замечания и комментарии Сторон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 w:val="0"/>
          <w:i/>
          <w:color w:val="1A1A1A"/>
          <w:sz w:val="22"/>
        </w:rPr>
        <w:t xml:space="preserve">В случае если Заказчик в течение </w:t>
      </w:r>
      <w:r>
        <w:rPr>
          <w:rFonts w:ascii="PT Serif" w:hAnsi="PT Serif"/>
          <w:b/>
          <w:i/>
          <w:color w:val="1A1A1A"/>
          <w:sz w:val="22"/>
        </w:rPr>
        <w:t>5 (пяти) рабочих дней</w:t>
      </w:r>
      <w:r>
        <w:rPr>
          <w:rFonts w:ascii="PT Serif" w:hAnsi="PT Serif"/>
          <w:b w:val="0"/>
          <w:i/>
          <w:color w:val="1A1A1A"/>
          <w:sz w:val="22"/>
        </w:rPr>
        <w:t xml:space="preserve"> с даты получения настоящего Акта не направит мотивированный отказ, Акт считается подписанным со стороны Заказчика, а Услуги — оказанными в полном объёме и принятыми без замечаний (п. 3.4 Договора).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