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PT Sans" w:hAnsi="PT Sans"/>
          <w:b/>
          <w:color w:val="1A1A1A"/>
          <w:sz w:val="28"/>
        </w:rPr>
        <w:t>Приложение № 2 к Договору № __/____</w:t>
        <w:br/>
      </w:r>
      <w:r>
        <w:rPr>
          <w:rFonts w:ascii="PT Sans" w:hAnsi="PT Sans"/>
          <w:b/>
          <w:color w:val="1A1A1A"/>
          <w:sz w:val="28"/>
        </w:rPr>
        <w:t>возмездного оказания услуг от «___» __________ 20__ г.</w:t>
      </w:r>
    </w:p>
    <w:p>
      <w:pPr>
        <w:spacing w:after="360"/>
        <w:jc w:val="center"/>
      </w:pPr>
      <w:r>
        <w:rPr>
          <w:rFonts w:ascii="PT Serif" w:hAnsi="PT Serif"/>
          <w:i/>
          <w:color w:val="555555"/>
          <w:sz w:val="20"/>
        </w:rPr>
        <w:t>Соглашение об уровне обслуживания (SLA)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1. Назначение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Настоящее Приложение определяет параметры уровня обслуживания (далее — «SLA») по Договору, включая критерии приоритета инцидентов, время реакции и разрешения, обстоятельства, не учитываемые при оценке исполнения SLA, и порядок компенсации за нарушение SLA.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2. Классификация инцидентов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2.1. Приоритет P1 — критический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К приоритету P1 относится одно из следующих событий: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полная или частичная недоступность ключевого сервиса Заказчика (определённого в Приложении № 3 как «критический»);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недоступность сервера, отмеченного как «критический» в Приложении № 3, в течение более 10 минут;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отказ системы резервного копирования критических данных, продолжающийся более 24 часов;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обнаружение событий безопасности уровня critical (для Тарифа Gold) — массовый brute-force, успешная компрометация учётной записи, обнаружение шифровальщика, неавторизованный массовый доступ к данным.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2.2. Приоритет P2 — высокий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К приоритету P2 относится одно из следующих событий: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деградация производительности ключевого сервиса (повышенная задержка, повышенный error-rate, но сервис в целом доступен);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недоступность некритического сервера / сервиса из Периметра;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ошибки в очередном резервном копировании без выхода за допустимое окно (RPO);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обнаружение событий безопасности уровня high (для Gold) — повторяющиеся попытки эксплуатации, аномальные действия привилегированных учётных записей.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2.3. Приоритет P3 — средний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К приоритету P3 относятся события, не относящиеся к P1 и P2: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консультации по эксплуатации;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запросы на доступ, изменения параметров мониторинга;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плановые работы, не требующие немедленного выполнения;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обнаружение событий безопасности уровня medium / low.</w:t>
      </w:r>
    </w:p>
    <w:p>
      <w:pPr>
        <w:keepNext/>
        <w:spacing w:before="200" w:after="80"/>
      </w:pPr>
      <w:r>
        <w:rPr>
          <w:rFonts w:ascii="PT Sans" w:hAnsi="PT Sans"/>
          <w:b/>
          <w:color w:val="1A1A1A"/>
          <w:sz w:val="22"/>
        </w:rPr>
        <w:t>2.4. Назначение приоритета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2.4.1.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Приоритет инцидента определяется </w:t>
      </w:r>
      <w:r>
        <w:rPr>
          <w:rFonts w:ascii="PT Serif" w:hAnsi="PT Serif"/>
          <w:b/>
          <w:i w:val="0"/>
          <w:color w:val="1A1A1A"/>
          <w:sz w:val="22"/>
        </w:rPr>
        <w:t>Исполнителем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на основе классификации, приведённой выше. Заказчик вправе оспорить присвоенный приоритет в течение 24 часов с момента уведомления, направив обоснование по согласованному каналу связи.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2.4.2. </w:t>
      </w:r>
      <w:r>
        <w:rPr>
          <w:rFonts w:ascii="PT Serif" w:hAnsi="PT Serif"/>
          <w:b w:val="0"/>
          <w:i w:val="0"/>
          <w:color w:val="1A1A1A"/>
          <w:sz w:val="22"/>
        </w:rPr>
        <w:t>Признаки «критический» или «некритический» по серверам и сервисам Заказчика фиксируются в Приложении № 3 «Периметр обслуживания». Сервер / сервис, не отмеченный как критический, по умолчанию считается некритическим, и инцидент в его отношении не может быть классифицирован как P1.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3. Время реакции и разрешения по Тарифам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928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Bronze</w:t>
            </w:r>
          </w:p>
        </w:tc>
        <w:tc>
          <w:tcPr>
            <w:tcW w:type="dxa" w:w="187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Silver</w:t>
            </w:r>
          </w:p>
        </w:tc>
        <w:tc>
          <w:tcPr>
            <w:tcW w:type="dxa" w:w="187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Gold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Реакция на P1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4 часов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2 часов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/>
                <w:i w:val="0"/>
                <w:color w:val="1A1A1A"/>
                <w:sz w:val="22"/>
              </w:rPr>
              <w:t>до 1 часа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Реакция на P2</w:t>
            </w:r>
          </w:p>
        </w:tc>
        <w:tc>
          <w:tcPr>
            <w:tcW w:type="dxa" w:w="192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12 часов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6 часов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3 часов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Реакция на P3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24 часов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12 часов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6 часов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Уведомление Заказчика о P1</w:t>
            </w:r>
          </w:p>
        </w:tc>
        <w:tc>
          <w:tcPr>
            <w:tcW w:type="dxa" w:w="192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факту реакции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течение 30 мин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в течение 15 мин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Обновления статуса P1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 запросу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каждые 30 мин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Целевое время разрешения P1 (без гарантии)</w:t>
            </w:r>
          </w:p>
        </w:tc>
        <w:tc>
          <w:tcPr>
            <w:tcW w:type="dxa" w:w="192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4 часов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4 часов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Пост-мортем после P1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рабочих дня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Реакция P1 вне рабочего окна</w:t>
            </w:r>
          </w:p>
        </w:tc>
        <w:tc>
          <w:tcPr>
            <w:tcW w:type="dxa" w:w="192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24/7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24/7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24/7/365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Рабочее окно P2 / P3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будни 19–23 МСК, выходные 10–20 МСК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то же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то же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Время реакции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= время от момента детектирования инцидента системой мониторинга Исполнителя или получения уведомления Заказчика до момента, когда специалист Исполнителя начал работу с инцидентом (открыл задачу, начал диагностику).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Время разрешения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(только Silver, Gold) — целевой показатель полного восстановления работоспособности или нейтрализации угрозы. </w:t>
      </w:r>
      <w:r>
        <w:rPr>
          <w:rFonts w:ascii="PT Serif" w:hAnsi="PT Serif"/>
          <w:b/>
          <w:i w:val="0"/>
          <w:color w:val="1A1A1A"/>
          <w:sz w:val="22"/>
        </w:rPr>
        <w:t>Не является обязательством Исполнителя</w:t>
      </w:r>
      <w:r>
        <w:rPr>
          <w:rFonts w:ascii="PT Serif" w:hAnsi="PT Serif"/>
          <w:b w:val="0"/>
          <w:i w:val="0"/>
          <w:color w:val="1A1A1A"/>
          <w:sz w:val="22"/>
        </w:rPr>
        <w:t>: Стороны прямо признают, что разрешение многих инцидентов зависит от внешних факторов и от своевременности предоставления Заказчиком информации и доступов.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4. Обстоятельства, не учитываемые при оценке SLA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Следующее время и обстоятельства полностью исключаются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из расчёта времени реакции и разрешения и не учитываются при оценке соблюдения SLA: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плановые технические работы, о которых Заказчик был уведомлён в порядке п. 5.1.4 Договора;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время ожидания ответа от Заказчика, его сотрудников, контрагентов или подрядчиков (включая ожидание подтверждения изменений, предоставления доступов, дополнительной информации);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время простоя по вине третьих лиц: провайдеров связи, поставщиков облачных услуг, поставщиков лицензионного ПО, удостоверяющих центров;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форс-мажорные обстоятельства (раздел 11 Договора);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период действия санкций или регуляторных ограничений, препятствующих использованию необходимого ПО или сервисов;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период приостановления Услуг в соответствии с п. 4.5, 7.5 Договора;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период, когда инцидент возник вследствие действий Заказчика или третьих лиц, привлечённых Заказчиком, в нарушение его обязательств (п. 7.3 Договора);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период, когда Заказчик не устранил критическую уязвимость в указанный Исполнителем срок (п. 6.1.8 Договора);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период целенаправленной DDoS-атаки мощностью, превышающей штатные возможности используемых сервисов;</w:t>
      </w:r>
    </w:p>
    <w:p>
      <w:pPr>
        <w:pStyle w:val="ListBullet"/>
        <w:spacing w:after="40"/>
        <w:ind w:left="567"/>
      </w:pPr>
      <w:r>
        <w:rPr>
          <w:rFonts w:ascii="PT Serif" w:hAnsi="PT Serif"/>
          <w:b w:val="0"/>
          <w:i w:val="0"/>
          <w:color w:val="1A1A1A"/>
          <w:sz w:val="22"/>
        </w:rPr>
        <w:t>период, когда инцидент вызван использованием Заказчиком программного обеспечения без действующих лицензий.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5. Фиксация фактов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5.1. </w:t>
      </w:r>
      <w:r>
        <w:rPr>
          <w:rFonts w:ascii="PT Serif" w:hAnsi="PT Serif"/>
          <w:b w:val="0"/>
          <w:i w:val="0"/>
          <w:color w:val="1A1A1A"/>
          <w:sz w:val="22"/>
        </w:rPr>
        <w:t>Момент детектирования инцидента фиксируется автоматически системами мониторинга Исполнителя (Prometheus, Alertmanager, Wazuh — в зависимости от Тарифа) и подтверждается соответствующей записью в журналах. Указанные журналы являются надлежащим доказательством при разрешении споров.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В случае спора о факте, времени или приоритете инцидента </w:t>
      </w:r>
      <w:r>
        <w:rPr>
          <w:rFonts w:ascii="PT Serif" w:hAnsi="PT Serif"/>
          <w:b/>
          <w:i w:val="0"/>
          <w:color w:val="1A1A1A"/>
          <w:sz w:val="22"/>
        </w:rPr>
        <w:t>первичным доказательством считаются журналы систем мониторинга Исполнителя</w:t>
      </w:r>
      <w:r>
        <w:rPr>
          <w:rFonts w:ascii="PT Serif" w:hAnsi="PT Serif"/>
          <w:b w:val="0"/>
          <w:i w:val="0"/>
          <w:color w:val="1A1A1A"/>
          <w:sz w:val="22"/>
        </w:rPr>
        <w:t>. Заказчик вправе ознакомиться с соответствующими записями в порядке, согласованном Сторонами.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5.3. </w:t>
      </w:r>
      <w:r>
        <w:rPr>
          <w:rFonts w:ascii="PT Serif" w:hAnsi="PT Serif"/>
          <w:b w:val="0"/>
          <w:i w:val="0"/>
          <w:color w:val="1A1A1A"/>
          <w:sz w:val="22"/>
        </w:rPr>
        <w:t>Если инцидент не был автоматически детектирован системой мониторинга и Заказчик обращается к Исполнителю напрямую, моментом начала исчисления SLA является момент получения Исполнителем уведомления по согласованному каналу связи.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6. Компенсация за нарушение SLA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6.1. </w:t>
      </w:r>
      <w:r>
        <w:rPr>
          <w:rFonts w:ascii="PT Serif" w:hAnsi="PT Serif"/>
          <w:b w:val="0"/>
          <w:i w:val="0"/>
          <w:color w:val="1A1A1A"/>
          <w:sz w:val="22"/>
        </w:rPr>
        <w:t>В случае нарушения Исполнителем установленного времени реакции на P1-инцидент Исполнитель уменьшает вознаграждение Заказчика за соответствующий месяц обслуживания по формуле: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Тариф</w:t>
            </w:r>
          </w:p>
        </w:tc>
        <w:tc>
          <w:tcPr>
            <w:tcW w:type="dxa" w:w="3969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Размер уменьшения за каждый час просрочки</w:t>
            </w:r>
          </w:p>
        </w:tc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Максимальное уменьшение за месяц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Bronze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5 %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20 %</w:t>
            </w:r>
          </w:p>
        </w:tc>
      </w:tr>
      <w:tr>
        <w:tc>
          <w:tcPr>
            <w:tcW w:type="dxa" w:w="170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Silver</w:t>
            </w:r>
          </w:p>
        </w:tc>
        <w:tc>
          <w:tcPr>
            <w:tcW w:type="dxa" w:w="3969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4 %</w:t>
            </w:r>
          </w:p>
        </w:tc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18 %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Gold</w:t>
            </w:r>
          </w:p>
        </w:tc>
        <w:tc>
          <w:tcPr>
            <w:tcW w:type="dxa" w:w="3969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3 %</w:t>
            </w:r>
          </w:p>
        </w:tc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15 %</w:t>
            </w:r>
          </w:p>
        </w:tc>
      </w:tr>
    </w:tbl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6.2.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Уменьшение вознаграждения, предусмотренное настоящим разделом, является </w:t>
      </w:r>
      <w:r>
        <w:rPr>
          <w:rFonts w:ascii="PT Serif" w:hAnsi="PT Serif"/>
          <w:b/>
          <w:i w:val="0"/>
          <w:color w:val="1A1A1A"/>
          <w:sz w:val="22"/>
        </w:rPr>
        <w:t>исключительной (единственной) мерой ответственности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Исполнителя за нарушение SLA, кроме случаев умышленных действий (п. 8.6 Договора). Иные требования Заказчика к Исполнителю, связанные с нарушением SLA (убытки, неустойки, расторжение Договора по этому основанию), не подлежат удовлетворению, за исключением случая, когда нарушение является существенным и систематическим (не менее </w:t>
      </w:r>
      <w:r>
        <w:rPr>
          <w:rFonts w:ascii="PT Serif" w:hAnsi="PT Serif"/>
          <w:b/>
          <w:i w:val="0"/>
          <w:color w:val="1A1A1A"/>
          <w:sz w:val="22"/>
        </w:rPr>
        <w:t>трёх раз подряд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в течение </w:t>
      </w:r>
      <w:r>
        <w:rPr>
          <w:rFonts w:ascii="PT Serif" w:hAnsi="PT Serif"/>
          <w:b/>
          <w:i w:val="0"/>
          <w:color w:val="1A1A1A"/>
          <w:sz w:val="22"/>
        </w:rPr>
        <w:t>6 (шести) месяцев</w:t>
      </w:r>
      <w:r>
        <w:rPr>
          <w:rFonts w:ascii="PT Serif" w:hAnsi="PT Serif"/>
          <w:b w:val="0"/>
          <w:i w:val="0"/>
          <w:color w:val="1A1A1A"/>
          <w:sz w:val="22"/>
        </w:rPr>
        <w:t>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6.3. </w:t>
      </w:r>
      <w:r>
        <w:rPr>
          <w:rFonts w:ascii="PT Serif" w:hAnsi="PT Serif"/>
          <w:b w:val="0"/>
          <w:i w:val="0"/>
          <w:color w:val="1A1A1A"/>
          <w:sz w:val="22"/>
        </w:rPr>
        <w:t>Размер уменьшения за все нарушения SLA за месяц не может в совокупности превышать максимального значения, указанного в таблице. Указанное ограничение применяется дополнительно к общему лимиту совокупной ответственности Исполнителя (п. 8.1 Договора).</w:t>
      </w:r>
    </w:p>
    <w:p>
      <w:pPr>
        <w:spacing w:after="80"/>
        <w:ind w:left="567" w:hanging="567"/>
        <w:jc w:val="both"/>
      </w:pPr>
      <w:r>
        <w:rPr>
          <w:rFonts w:ascii="PT Serif" w:hAnsi="PT Serif"/>
          <w:b/>
          <w:i w:val="0"/>
          <w:color w:val="1A1A1A"/>
          <w:sz w:val="22"/>
        </w:rPr>
        <w:t xml:space="preserve">6.4. </w:t>
      </w:r>
      <w:r>
        <w:rPr>
          <w:rFonts w:ascii="PT Serif" w:hAnsi="PT Serif"/>
          <w:b w:val="0"/>
          <w:i w:val="0"/>
          <w:color w:val="1A1A1A"/>
          <w:sz w:val="22"/>
        </w:rPr>
        <w:t xml:space="preserve">Заказчик обязан заявить о нарушении SLA в течение </w:t>
      </w:r>
      <w:r>
        <w:rPr>
          <w:rFonts w:ascii="PT Serif" w:hAnsi="PT Serif"/>
          <w:b/>
          <w:i w:val="0"/>
          <w:color w:val="1A1A1A"/>
          <w:sz w:val="22"/>
        </w:rPr>
        <w:t>14 (четырнадцати) календарных дней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с момента, когда узнал или должен был узнать о нарушении. По истечении срока требование не подлежит удовлетворению (п. 8.5 Договора).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7. Доступность сервисов и резервное копирование</w:t>
      </w:r>
    </w:p>
    <w:p>
      <w:pPr>
        <w:spacing w:after="80"/>
        <w:ind w:left="0"/>
        <w:jc w:val="both"/>
      </w:pPr>
      <w:r>
        <w:rPr>
          <w:rFonts w:ascii="PT Serif" w:hAnsi="PT Serif"/>
          <w:b/>
          <w:i w:val="0"/>
          <w:color w:val="1A1A1A"/>
          <w:sz w:val="22"/>
        </w:rPr>
        <w:t>Исполнитель не гарантирует</w:t>
      </w:r>
      <w:r>
        <w:rPr>
          <w:rFonts w:ascii="PT Serif" w:hAnsi="PT Serif"/>
          <w:b w:val="0"/>
          <w:i w:val="0"/>
          <w:color w:val="1A1A1A"/>
          <w:sz w:val="22"/>
        </w:rPr>
        <w:t xml:space="preserve"> уровня доступности (Uptime) сервисов Заказчика в процентах от календарного времени. Доступность сервисов зависит от множества факторов, находящихся вне контроля Исполнителя.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По резервному копированию устанавливаются следующие целевые параметры: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928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Bronze</w:t>
            </w:r>
          </w:p>
        </w:tc>
        <w:tc>
          <w:tcPr>
            <w:tcW w:type="dxa" w:w="187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Silver</w:t>
            </w:r>
          </w:p>
        </w:tc>
        <w:tc>
          <w:tcPr>
            <w:tcW w:type="dxa" w:w="1871"/>
            <w:shd w:val="clear" w:color="auto" w:fill="2D2D2D"/>
            <w:vAlign w:val="center"/>
          </w:tcPr>
          <w:p>
            <w:pPr>
              <w:spacing w:after="0"/>
            </w:pPr>
            <w:r/>
            <w:r>
              <w:rPr>
                <w:rFonts w:ascii="PT Sans" w:hAnsi="PT Sans"/>
                <w:b/>
                <w:color w:val="FFFFFF"/>
                <w:sz w:val="20"/>
              </w:rPr>
              <w:t>Gold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Целевая точка восстановления (RPO)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24 часа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24 часа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24 часа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Целевое время восстановления (RTO) при стандартном restore</w:t>
            </w:r>
          </w:p>
        </w:tc>
        <w:tc>
          <w:tcPr>
            <w:tcW w:type="dxa" w:w="192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8 часов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6 часов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до 4 часов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Глубина хранения (ежедневные)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30 дней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30 дней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30 дней</w:t>
            </w:r>
          </w:p>
        </w:tc>
      </w:tr>
      <w:tr>
        <w:tc>
          <w:tcPr>
            <w:tcW w:type="dxa" w:w="3402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Глубина хранения (еженедельные)</w:t>
            </w:r>
          </w:p>
        </w:tc>
        <w:tc>
          <w:tcPr>
            <w:tcW w:type="dxa" w:w="1928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8 недель</w:t>
            </w:r>
          </w:p>
        </w:tc>
        <w:tc>
          <w:tcPr>
            <w:tcW w:type="dxa" w:w="1871"/>
            <w:vAlign w:val="top"/>
            <w:shd w:val="clear" w:color="auto" w:fill="F5F2EC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8 недель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Глубина хранения (ежемесячные)</w:t>
            </w:r>
          </w:p>
        </w:tc>
        <w:tc>
          <w:tcPr>
            <w:tcW w:type="dxa" w:w="1928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—</w:t>
            </w:r>
          </w:p>
        </w:tc>
        <w:tc>
          <w:tcPr>
            <w:tcW w:type="dxa" w:w="1871"/>
            <w:vAlign w:val="top"/>
          </w:tcPr>
          <w:p>
            <w:pPr>
              <w:spacing w:after="40"/>
            </w:pPr>
            <w:r/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12 месяцев</w:t>
            </w:r>
          </w:p>
        </w:tc>
      </w:tr>
    </w:tbl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 xml:space="preserve">RPO и RTO являются </w:t>
      </w:r>
      <w:r>
        <w:rPr>
          <w:rFonts w:ascii="PT Serif" w:hAnsi="PT Serif"/>
          <w:b/>
          <w:i w:val="0"/>
          <w:color w:val="1A1A1A"/>
          <w:sz w:val="22"/>
        </w:rPr>
        <w:t>целевыми параметрами</w:t>
      </w:r>
      <w:r>
        <w:rPr>
          <w:rFonts w:ascii="PT Serif" w:hAnsi="PT Serif"/>
          <w:b w:val="0"/>
          <w:i w:val="0"/>
          <w:color w:val="1A1A1A"/>
          <w:sz w:val="22"/>
        </w:rPr>
        <w:t xml:space="preserve"> и не образуют отдельного обязательства Исполнителя сверх параметров реакции/разрешения, установленных в разделе 3.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8. Изменение SLA</w:t>
      </w:r>
    </w:p>
    <w:p>
      <w:pPr>
        <w:spacing w:after="80"/>
        <w:ind w:left="0"/>
        <w:jc w:val="both"/>
      </w:pPr>
      <w:r>
        <w:rPr>
          <w:rFonts w:ascii="PT Serif" w:hAnsi="PT Serif"/>
          <w:b w:val="0"/>
          <w:i w:val="0"/>
          <w:color w:val="1A1A1A"/>
          <w:sz w:val="22"/>
        </w:rPr>
        <w:t>Изменение параметров SLA производится путём заключения Дополнительного соглашения к Договору. Исполнитель вправе предложить улучшение SLA только при наличии письменной технической возможности и при условии соответствующего изменения стоимости Услуг.</w:t>
      </w:r>
    </w:p>
    <w:p>
      <w:pPr>
        <w:keepNext/>
        <w:spacing w:before="360" w:after="120"/>
      </w:pPr>
      <w:r>
        <w:rPr>
          <w:rFonts w:ascii="PT Sans" w:hAnsi="PT Sans"/>
          <w:b/>
          <w:color w:val="1A1A1A"/>
          <w:sz w:val="24"/>
        </w:rPr>
        <w:t>9. Подписи Сторон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Исполнитель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ФИО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, плательщик НПД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  <w:tc>
          <w:tcPr>
            <w:tcW w:type="dxa" w:w="4844"/>
          </w:tcPr>
          <w:p>
            <w:r/>
            <w:r>
              <w:rPr>
                <w:rFonts w:ascii="PT Sans" w:hAnsi="PT Sans"/>
                <w:b/>
                <w:color w:val="1A1A1A"/>
                <w:sz w:val="22"/>
              </w:rPr>
              <w:t>Заказчик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  <w:t>Полное наименование</w:t>
            </w:r>
          </w:p>
          <w:p>
            <w:pPr>
              <w:spacing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 xml:space="preserve">ИНН: </w:t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  <w:highlight w:val="yellow"/>
              </w:rPr>
            </w: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</w:t>
            </w:r>
          </w:p>
          <w:p>
            <w:pPr>
              <w:spacing w:before="320" w:after="40"/>
            </w:pPr>
            <w:r>
              <w:rPr>
                <w:rFonts w:ascii="PT Serif" w:hAnsi="PT Serif"/>
                <w:b w:val="0"/>
                <w:i w:val="0"/>
                <w:color w:val="1A1A1A"/>
                <w:sz w:val="22"/>
              </w:rPr>
              <w:t>_____________________________</w:t>
            </w:r>
          </w:p>
          <w:p>
            <w:r>
              <w:rPr>
                <w:rFonts w:ascii="PT Serif" w:hAnsi="PT Serif"/>
                <w:b w:val="0"/>
                <w:i/>
                <w:color w:val="555555"/>
                <w:sz w:val="18"/>
              </w:rPr>
              <w:t>подпись / дата / печать (при наличии)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T Serif" w:hAnsi="PT Serif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