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3 к Договору № __/____</w:t>
        <w:br/>
      </w:r>
      <w:r>
        <w:rPr>
          <w:rFonts w:ascii="PT Sans" w:hAnsi="PT Sans"/>
          <w:b/>
          <w:color w:val="1A1A1A"/>
          <w:sz w:val="28"/>
        </w:rPr>
        <w:t>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Периметр обслуживания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Настоящее Приложение определяет закрытый перечень объектов IT-инфраструктуры Заказчика, в отношении которых Исполнитель оказывает Услуги. Любые изменения Периметра оформляются Дополнительным соглашением Сторон. Услуги в отношении объектов, не указанных в настоящем Приложении, не оказываются и оплате не подлежат.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Серверы и виртуальные машины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45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Имя / FQDN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1587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ОС / версия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Критичность</w:t>
            </w:r>
          </w:p>
        </w:tc>
        <w:tc>
          <w:tcPr>
            <w:tcW w:type="dxa" w:w="1587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Сеть / адрес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7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8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587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Сервер считается «критическим»</w:t>
      </w:r>
      <w:r>
        <w:rPr>
          <w:rFonts w:ascii="PT Serif" w:hAnsi="PT Serif"/>
          <w:b w:val="0"/>
          <w:i w:val="0"/>
          <w:color w:val="1A1A1A"/>
          <w:sz w:val="22"/>
        </w:rPr>
        <w:t>, если его недоступность приводит к остановке ключевых бизнес-процессов Заказчика (продажи, бухгалтерия, основная клиентская услуга). Маркировка влияет на классификацию инцидента (Приложение № 2, раздел 2).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Сервисы и приложения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55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Сервис / приложение</w:t>
            </w:r>
          </w:p>
        </w:tc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Размещение (сервер №)</w:t>
            </w:r>
          </w:p>
        </w:tc>
        <w:tc>
          <w:tcPr>
            <w:tcW w:type="dxa" w:w="226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Критичность</w:t>
            </w:r>
          </w:p>
        </w:tc>
        <w:tc>
          <w:tcPr>
            <w:tcW w:type="dxa" w:w="181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Резервное копирование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5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6</w:t>
            </w:r>
          </w:p>
        </w:tc>
        <w:tc>
          <w:tcPr>
            <w:tcW w:type="dxa" w:w="255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критический / некритический</w:t>
            </w:r>
          </w:p>
        </w:tc>
        <w:tc>
          <w:tcPr>
            <w:tcW w:type="dxa" w:w="181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Active Directory, DNS, GPO (Тарифы Silver и Gold)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Раздел заполняется, если в Периметр включены контроллеры домена, DNS-серверы и/или GPO-инфраструктура. По Тарифу </w:t>
      </w:r>
      <w:r>
        <w:rPr>
          <w:rFonts w:ascii="PT Serif" w:hAnsi="PT Serif"/>
          <w:b/>
          <w:i w:val="0"/>
          <w:color w:val="1A1A1A"/>
          <w:sz w:val="22"/>
        </w:rPr>
        <w:t>Bronze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администрирование AD/DNS/GPO </w:t>
      </w:r>
      <w:r>
        <w:rPr>
          <w:rFonts w:ascii="PT Serif" w:hAnsi="PT Serif"/>
          <w:b/>
          <w:i w:val="0"/>
          <w:color w:val="1A1A1A"/>
          <w:sz w:val="22"/>
        </w:rPr>
        <w:t>не входит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стандартный объём Услуг (раздел заполнять не обязательно).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25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AD используется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Имя домена (FQDN)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NetBIOS-имя домена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Контроллеры домена (FQDN; роль PDC/RODC)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Функциональный уровень леса / домена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Количество пользовательских учётных записей (ориентир)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Количество групповых политик (GPO, ориентир)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DNS-серверы (FQDN / IP)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Зоны DNS, поддерживаемые Исполнителем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Интеграция с другими сервисами (Exchange, 1С, файловые шары, RDS)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Используется доверительные отношения / Azure AD / Entra ID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Да / Нет, описание: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Объём стандартных Услуг по AD/DNS/GPO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Тарифах Silver/Gold (в пределах лимита ручного участия по Тарифу): мониторинг состояния контроллеров домена и репликации; мониторинг DNS-сервисов; поддержка существующих GPO; типовые операции — заведение/блокировка учётных записей, ввод/вывод рабочих станций из домена, перенос между OU, базовая диагностика репликации и DNS-разрешения.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Не входит в Тариф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(оплачивается как Дополнительная услуга по Приложению № 1): проектирование новой AD-инфраструктуры; миграция домена; реструктуризация OU; создание сложных GPO (более 3 новых GPO/месяц); интеграции сторонних систем с AD (SSO, LDAP-федерации); миграция в Entra ID / гибридную идентичность.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Рабочие станции (Тарифы Silver и Gold)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Раздел заполняется при необходимости централизованного управления рабочими станциями средствами </w:t>
      </w:r>
      <w:r>
        <w:rPr>
          <w:rFonts w:ascii="PT Serif" w:hAnsi="PT Serif"/>
          <w:b/>
          <w:i w:val="0"/>
          <w:color w:val="1A1A1A"/>
          <w:sz w:val="22"/>
        </w:rPr>
        <w:t>GPO</w:t>
      </w:r>
      <w:r>
        <w:rPr>
          <w:rFonts w:ascii="PT Serif" w:hAnsi="PT Serif"/>
          <w:b w:val="0"/>
          <w:i w:val="0"/>
          <w:color w:val="1A1A1A"/>
          <w:sz w:val="22"/>
        </w:rPr>
        <w:t xml:space="preserve">, </w:t>
      </w:r>
      <w:r>
        <w:rPr>
          <w:rFonts w:ascii="PT Serif" w:hAnsi="PT Serif"/>
          <w:b/>
          <w:i w:val="0"/>
          <w:color w:val="1A1A1A"/>
          <w:sz w:val="22"/>
        </w:rPr>
        <w:t>Ansible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и/или </w:t>
      </w:r>
      <w:r>
        <w:rPr>
          <w:rFonts w:ascii="PT Serif" w:hAnsi="PT Serif"/>
          <w:b/>
          <w:i w:val="0"/>
          <w:color w:val="1A1A1A"/>
          <w:sz w:val="22"/>
        </w:rPr>
        <w:t>Puppet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(Тарифы Silver и Gold), а также при развёртывании на рабочих станциях агентов Kaspersky Endpoint Security (Тариф Gold).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25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Общее количество рабочих станций (ориентир)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т. ч. Windows (версии)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т. ч. Linux (дистрибутивы)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т. ч. macOS (версии)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т. ч. ALT/Astra/RED OS (импортозамещение)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Включены в AD-домен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Да / Нет — указать долю: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Управление через GPO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требуется / не требуется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Управление через Ansible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требуется / не требуется (Silver / Gold)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Управление через Puppet (desired state)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требуется / не требуется (Silver / Gold)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Объём типовых операций / месяц (ориентир)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раскатка ПО, политики, обновления: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Управляющий сервер Puppet / Ansible размещён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 Заказчика / у Исполнителя / не используется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Защита endpoints (Kaspersky KES/KSC) — только Gold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требуется / не требуется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Управляющий сервер KSC размещён</w:t>
            </w:r>
          </w:p>
        </w:tc>
        <w:tc>
          <w:tcPr>
            <w:tcW w:type="dxa" w:w="425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 Заказчика / у Исполнителя / не используется</w:t>
            </w:r>
          </w:p>
        </w:tc>
      </w:tr>
      <w:tr>
        <w:tc>
          <w:tcPr>
            <w:tcW w:type="dxa" w:w="481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Лицензии Kaspersky / иной endpoint-защиты</w:t>
            </w:r>
          </w:p>
        </w:tc>
        <w:tc>
          <w:tcPr>
            <w:tcW w:type="dxa" w:w="425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 Заказчика / приобретаются по отдельному счёту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Стандартный объём ручного участия по Тарифу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распространяется суммарно на всю инфраструктуру Периметра (серверы + AD/DNS/GPO + рабочие станции). При систематическом превышении лимита Стороны согласуют переход на больший Тариф либо оплату сверхлимитных работ по часовой ставке (Приложение № 1).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Не входит в Тариф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(оплачивается как Дополнительная услуга по Приложению № 1): разработка кастомных Ansible-плейбуков и Puppet-манифестов сверх 1 в месяц; массовая первичная установка ОС / переустановка с миграцией данных (по факту, по часовой ставке); восстановление рабочих станций после криптовирусных атак; выезды на территорию Заказчика.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Резервное копирование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5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Объём данных, подлежащих резервному копированию (ГБ)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Источники данных (БД / файлы / системные образы)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Окно резервного копирования (МСК)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Тип хранилища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распределённое облачное хранилище в РФ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RPO (целевая точка восстановления)</w:t>
            </w:r>
          </w:p>
        </w:tc>
        <w:tc>
          <w:tcPr>
            <w:tcW w:type="dxa" w:w="4535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согласно Приложению № 2</w:t>
            </w:r>
          </w:p>
        </w:tc>
      </w:tr>
      <w:tr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Шифрование</w:t>
            </w:r>
          </w:p>
        </w:tc>
        <w:tc>
          <w:tcPr>
            <w:tcW w:type="dxa" w:w="4535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AES-256 на стороне Заказчика до отправки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Сетевая инфраструктура и каналы доступа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Канал доступа для специалистов Исполнителя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WireGuard VPN / Bastion (имя):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Контрольные точки (jump-хосты, балансировщики)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Используется DMZ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Да / Нет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Используется межсетевой экран (производитель)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Услуги связи (провайдер 1 / 2)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 xml:space="preserve"> /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Контактные лица Заказчика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ФИО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Email</w:t>
            </w:r>
          </w:p>
        </w:tc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Телефон / мессенджер</w:t>
            </w:r>
          </w:p>
        </w:tc>
        <w:tc>
          <w:tcPr>
            <w:tcW w:type="dxa" w:w="1984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Полномочия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Основное контактное лицо (24/7)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технические вопросы, заявки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Резервное контактное лицо (24/7)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Уполномоченное лицо на согласование изменений и расходов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согласование Доп. услуг</w:t>
            </w:r>
          </w:p>
        </w:tc>
      </w:tr>
      <w:tr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Контактное лицо по вопросам оплаты и документов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финансы, акты, ЭДО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Контактное лицо по информационной безопасности (Gold)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1984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ИБ, ПДн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8. Согласованные каналы связи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Адрес / идентификатор</w:t>
            </w:r>
          </w:p>
        </w:tc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Email Исполнителя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переписка, отчёты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Email Заказчика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переписка, отчёты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Мессенджер (защищённый)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оперативные уведомления, P1</w:t>
            </w:r>
          </w:p>
        </w:tc>
      </w:tr>
      <w:tr>
        <w:tc>
          <w:tcPr>
            <w:tcW w:type="dxa" w:w="226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Тикет-система (Gold)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учёт обращений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Оператор ЭДО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Акты, Доп. соглашения, КЭП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9. Окна технического обслуживания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Стандартное окно технических работ Исполнителя: ночь будних дней (03:00–06:00 МСК). Для нестандартных окон — согласование за 48 часов через согласованный канал связи.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Стандартное окно технических работ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будни 03:00–06:00 МСК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Запрещённые окна (если есть)</w:t>
            </w:r>
          </w:p>
        </w:tc>
        <w:tc>
          <w:tcPr>
            <w:tcW w:type="dxa" w:w="56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Особые требования к согласованию работ</w:t>
            </w:r>
          </w:p>
        </w:tc>
        <w:tc>
          <w:tcPr>
            <w:tcW w:type="dxa" w:w="56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</w:tc>
      </w:tr>
    </w:tbl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10. Особые условия и оговорки по Периметру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Здесь могут быть зафиксированы отклонения от стандартных условий Тарифа, специфические требования, изъятия из Периметра, прочие договорённости: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  <w:highlight w:val="yellow"/>
        </w:rPr>
      </w:r>
      <w:r>
        <w:rPr>
          <w:rFonts w:ascii="PT Serif" w:hAnsi="PT Serif"/>
          <w:b w:val="0"/>
          <w:i w:val="0"/>
          <w:color w:val="1A1A1A"/>
          <w:sz w:val="22"/>
        </w:rPr>
        <w:t>__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11.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