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PT Sans" w:hAnsi="PT Sans"/>
          <w:b/>
          <w:color w:val="1A1A1A"/>
          <w:sz w:val="28"/>
        </w:rPr>
        <w:t>Приложение № 4 к Договору № __/____</w:t>
        <w:br/>
      </w:r>
      <w:r>
        <w:rPr>
          <w:rFonts w:ascii="PT Sans" w:hAnsi="PT Sans"/>
          <w:b/>
          <w:color w:val="1A1A1A"/>
          <w:sz w:val="28"/>
        </w:rPr>
        <w:t>возмездного оказания услуг от «___» __________ 20__ г.</w:t>
      </w:r>
    </w:p>
    <w:p>
      <w:pPr>
        <w:spacing w:after="360"/>
        <w:jc w:val="center"/>
      </w:pPr>
      <w:r>
        <w:rPr>
          <w:rFonts w:ascii="PT Serif" w:hAnsi="PT Serif"/>
          <w:i/>
          <w:color w:val="555555"/>
          <w:sz w:val="20"/>
        </w:rPr>
        <w:t>Поручение на обработку персональных данных (152-ФЗ)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1. Термины и стороны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В целях настоящего Поручения используются термины, определённые Федеральным законом от 27.07.2006 № 152-ФЗ «О персональных данных» (далее — «152-ФЗ»).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Заказчик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по основному Договору именуется «</w:t>
      </w:r>
      <w:r>
        <w:rPr>
          <w:rFonts w:ascii="PT Serif" w:hAnsi="PT Serif"/>
          <w:b/>
          <w:i w:val="0"/>
          <w:color w:val="1A1A1A"/>
          <w:sz w:val="22"/>
        </w:rPr>
        <w:t>Оператор</w:t>
      </w:r>
      <w:r>
        <w:rPr>
          <w:rFonts w:ascii="PT Serif" w:hAnsi="PT Serif"/>
          <w:b w:val="0"/>
          <w:i w:val="0"/>
          <w:color w:val="1A1A1A"/>
          <w:sz w:val="22"/>
        </w:rPr>
        <w:t>».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Исполнитель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по основному Договору именуется «</w:t>
      </w:r>
      <w:r>
        <w:rPr>
          <w:rFonts w:ascii="PT Serif" w:hAnsi="PT Serif"/>
          <w:b/>
          <w:i w:val="0"/>
          <w:color w:val="1A1A1A"/>
          <w:sz w:val="22"/>
        </w:rPr>
        <w:t>Обработчик</w:t>
      </w:r>
      <w:r>
        <w:rPr>
          <w:rFonts w:ascii="PT Serif" w:hAnsi="PT Serif"/>
          <w:b w:val="0"/>
          <w:i w:val="0"/>
          <w:color w:val="1A1A1A"/>
          <w:sz w:val="22"/>
        </w:rPr>
        <w:t>» и действует исключительно по поручению Оператора, не определяя самостоятельно цели обработки и состав обрабатываемых персональных данных (ч. 3 ст. 6 152-ФЗ).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2. Цели обработки персональных данных Обработчиком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Обработчик обрабатывает персональные данные </w:t>
      </w:r>
      <w:r>
        <w:rPr>
          <w:rFonts w:ascii="PT Serif" w:hAnsi="PT Serif"/>
          <w:b/>
          <w:i w:val="0"/>
          <w:color w:val="1A1A1A"/>
          <w:sz w:val="22"/>
        </w:rPr>
        <w:t>исключительно в следующих целях</w:t>
      </w:r>
      <w:r>
        <w:rPr>
          <w:rFonts w:ascii="PT Serif" w:hAnsi="PT Serif"/>
          <w:b w:val="0"/>
          <w:i w:val="0"/>
          <w:color w:val="1A1A1A"/>
          <w:sz w:val="22"/>
        </w:rPr>
        <w:t>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техническое сопровождение и администрирование инфраструктуры Оператора в рамках основного Договора;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мониторинг работоспособности информационных систем Оператора;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обеспечение информационной безопасности и реагирование на инциденты (для Тарифов Silver, Gold);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выполнение резервного копирования данных и восстановление из резервных копий;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иные цели, прямо указанные Оператором в письменной форме в рамках Договора.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Обработчик не вправе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обрабатывать персональные данные в иных целях, в том числе в собственных интересах, для целей маркетинга или передачи третьим лицам.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3. Перечень обрабатываемых персональных данных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В ходе оказания Услуг Обработчик может получать </w:t>
      </w:r>
      <w:r>
        <w:rPr>
          <w:rFonts w:ascii="PT Serif" w:hAnsi="PT Serif"/>
          <w:b/>
          <w:i w:val="0"/>
          <w:color w:val="1A1A1A"/>
          <w:sz w:val="22"/>
        </w:rPr>
        <w:t>технический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доступ к следующим категориям персональных данных, обрабатываемых в инфраструктуре Оператора: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Категория субъектов</w:t>
            </w:r>
          </w:p>
        </w:tc>
        <w:tc>
          <w:tcPr>
            <w:tcW w:type="dxa" w:w="39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Состав ПДн</w:t>
            </w:r>
          </w:p>
        </w:tc>
        <w:tc>
          <w:tcPr>
            <w:tcW w:type="dxa" w:w="255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Цель доступа Обработчика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Сотрудники Оператора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ФИО, корпоративный email, должность, идентификаторы в AD/учётных системах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администрирование AD/DNS/GPO, доступы, файловое хранение</w:t>
            </w:r>
          </w:p>
        </w:tc>
      </w:tr>
      <w:tr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Клиенты Оператора (если применимо)</w:t>
            </w:r>
          </w:p>
        </w:tc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ФИО, контактные данные, иные данные, обрабатываемые в БД Оператора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техническое сопровождение БД, резервное копирование, мониторинг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Контрагенты Оператора (если применимо)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Наименование, реквизиты, контактные лица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техническое сопровождение учётных систем</w:t>
            </w:r>
          </w:p>
        </w:tc>
      </w:tr>
      <w:tr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Иные субъекты, чьи данные обрабатываются Оператором</w:t>
            </w:r>
          </w:p>
        </w:tc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согласно ЛНА Оператора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техническое сопровождение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Обработчик не получает специальных категорий персональных данных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(ст. 10 152-ФЗ — сведения о расовой, национальной принадлежности, политических взглядах, религиозных и философских убеждениях, состоянии здоровья, интимной жизни), за исключением случаев, когда такие данные находятся в общем массиве данных Оператора и доступ к ним невозможно разграничить техническими средствами. В таких случаях Обработчик не использует и не выгружает указанные данные, и применяет к ним повышенные меры защиты согласно ст. 19 152-ФЗ.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4. Действия, совершаемые с персональными данными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Обработчик вправе совершать в отношении персональных данных Оператора следующие действия: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хранение в инфраструктуре Оператора и в защищённом облачном хранилище для резервных копий (территория РФ);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копирование при выполнении резервного копирования;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извлечение при выполнении восстановления из резервных копий;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просмотр в случаях, необходимых для технического сопровождения и диагностики;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уничтожение по поручению Оператора или по окончании срока обработки.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Обработчик не совершает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следующие действия: распространение ПДн, передачу третьим лицам (за исключением субподрядчиков по п. 7), использование в маркетинговых целях, обогащение из открытых источников, профилирование.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5. Сроки обработки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Обработка персональных данных Обработчиком осуществляется в течение срока действия основного Договора. По прекращении Договора Обработчик в течение </w:t>
      </w:r>
      <w:r>
        <w:rPr>
          <w:rFonts w:ascii="PT Serif" w:hAnsi="PT Serif"/>
          <w:b/>
          <w:i w:val="0"/>
          <w:color w:val="1A1A1A"/>
          <w:sz w:val="22"/>
        </w:rPr>
        <w:t>30 (тридцати)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удаляет все персональные данные Оператора из своих систем (включая системы мониторинга, тикет-системы, резервные копии копий) либо возвращает их Оператору по его выбору, с составлением соответствующего акта.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6. Меры по обеспечению безопасности ПДн (ст. 19 152-ФЗ)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Обработчик применяет следующие технические и организационные меры защиты персональных данных: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шифрование трафика TLS 1.2+ (или эквивалент) для всех каналов передачи данных;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защищённый канал доступа специалистов Обработчика (WireGuard / IPsec, шифрование ChaCha20-Poly1305 или AES-256);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шифрование резервных копий AES-256 на стороне Оператора до их отправки в облачное хранилище;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хранение учётных данных в защищённой системе управления паролями (Vault / KeePassXC с защитой);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разграничение доступа по принципу минимально необходимых полномочий (least privilege);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журналирование действий специалистов Обработчика на инфраструктуре Оператора;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двухфакторная аутентификация (MFA) для доступа специалистов Обработчика к управляющим интерфейсам;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регулярное обновление используемого Обработчиком программного обеспечения;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обучение специалистов Обработчика правилам обращения с персональными данными;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соглашение о конфиденциальности (NDA) — Приложение № 5 к основному Договору.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Соответствие уровню защищённости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(УЗ) определяется Оператором с учётом ст. 19 152-ФЗ и Постановления Правительства РФ от 01.11.2012 № 1119. Обработчик применяет перечисленные выше меры независимо от уровня защищённости и при необходимости согласовывает с Оператором дополнительные меры в письменной форме.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7. Привлечение субподрядчиков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Обработчик вправе привлекать субподрядчиков (соисполнителей) для оказания отдельных видов Услуг, </w:t>
      </w:r>
      <w:r>
        <w:rPr>
          <w:rFonts w:ascii="PT Serif" w:hAnsi="PT Serif"/>
          <w:b/>
          <w:i w:val="0"/>
          <w:color w:val="1A1A1A"/>
          <w:sz w:val="22"/>
        </w:rPr>
        <w:t>однако передача персональных данных Оператора субподрядчикам без письменного согласия Оператора не допускается</w:t>
      </w:r>
      <w:r>
        <w:rPr>
          <w:rFonts w:ascii="PT Serif" w:hAnsi="PT Serif"/>
          <w:b w:val="0"/>
          <w:i w:val="0"/>
          <w:color w:val="1A1A1A"/>
          <w:sz w:val="22"/>
        </w:rPr>
        <w:t>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7.2. </w:t>
      </w:r>
      <w:r>
        <w:rPr>
          <w:rFonts w:ascii="PT Serif" w:hAnsi="PT Serif"/>
          <w:b w:val="0"/>
          <w:i w:val="0"/>
          <w:color w:val="1A1A1A"/>
          <w:sz w:val="22"/>
        </w:rPr>
        <w:t>При наличии письменного согласия Оператора на привлечение субподрядчиков, обрабатывающих ПДн, Обработчик заключает с такими субподрядчиками соответствующее поручение на обработку ПДн и несёт перед Оператором ответственность за их действия.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8. Уведомление об инцидентах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Обработчик уведомляет Оператора о любом инциденте, связанном с персональными данными (несанкционированный доступ, утечка, повреждение, утрата) в течение </w:t>
      </w:r>
      <w:r>
        <w:rPr>
          <w:rFonts w:ascii="PT Serif" w:hAnsi="PT Serif"/>
          <w:b/>
          <w:i w:val="0"/>
          <w:color w:val="1A1A1A"/>
          <w:sz w:val="22"/>
        </w:rPr>
        <w:t>24 (двадцати четырёх) часов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момента обнаружения по согласованному каналу связи.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8.2. </w:t>
      </w:r>
      <w:r>
        <w:rPr>
          <w:rFonts w:ascii="PT Serif" w:hAnsi="PT Serif"/>
          <w:b w:val="0"/>
          <w:i w:val="0"/>
          <w:color w:val="1A1A1A"/>
          <w:sz w:val="22"/>
        </w:rPr>
        <w:t>Обработчик предоставляет Оператору информацию, необходимую для исполнения Оператором обязанности по уведомлению Роскомнадзора и субъектов ПДн (ч. 3.1 ст. 21 152-ФЗ).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8.3. </w:t>
      </w:r>
      <w:r>
        <w:rPr>
          <w:rFonts w:ascii="PT Serif" w:hAnsi="PT Serif"/>
          <w:b/>
          <w:i w:val="0"/>
          <w:color w:val="1A1A1A"/>
          <w:sz w:val="22"/>
        </w:rPr>
        <w:t>Уведомление Роскомнадзора и субъектов ПДн является обязанностью Оператора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(оператора персональных данных) и осуществляется в порядке, установленном законодательством. Обработчик не уведомляет регуляторов и субъектов от своего имени.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9. Заверения и обязательства Оператора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9.1. </w:t>
      </w:r>
      <w:r>
        <w:rPr>
          <w:rFonts w:ascii="PT Serif" w:hAnsi="PT Serif"/>
          <w:b w:val="0"/>
          <w:i w:val="0"/>
          <w:color w:val="1A1A1A"/>
          <w:sz w:val="22"/>
        </w:rPr>
        <w:t>Оператор подтверждает и гарантирует, что: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является надлежащим оператором персональных данных в смысле 152-ФЗ;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уведомил Роскомнадзор о начале обработки персональных данных в случаях, предусмотренных ст. 22 152-ФЗ;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получил необходимые согласия субъектов персональных данных, в том числе согласие на поручение обработки иному лицу (ч. 3 ст. 6 152-ФЗ);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имеет утверждённый локальный нормативный акт (политику) об обработке персональных данных, опубликованный в соответствии с ч. 2 ст. 18.1 152-ФЗ (требование, действующее с 01.09.2025);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ознакомил субъектов ПДн с информацией об операторе и условиях обработки;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обеспечил выполнение требований ст. 18.1, 19 152-ФЗ в рамках своей зоны ответственности;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определил оператора обработки данных и зафиксировал его в ЛНА.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9.2. </w:t>
      </w:r>
      <w:r>
        <w:rPr>
          <w:rFonts w:ascii="PT Serif" w:hAnsi="PT Serif"/>
          <w:b w:val="0"/>
          <w:i w:val="0"/>
          <w:color w:val="1A1A1A"/>
          <w:sz w:val="22"/>
        </w:rPr>
        <w:t>Все претензии субъектов персональных данных и Роскомнадзора рассматриваются Оператором самостоятельно. Обработчик при необходимости предоставляет Оператору запрошенные технические сведения в разумный срок.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9.3.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В случае предъявления к Обработчику требований субъектов ПДн или Роскомнадзора, которые надлежит исполнять Оператору, Оператор обязан принять такие требования к своему производству и </w:t>
      </w:r>
      <w:r>
        <w:rPr>
          <w:rFonts w:ascii="PT Serif" w:hAnsi="PT Serif"/>
          <w:b/>
          <w:i w:val="0"/>
          <w:color w:val="1A1A1A"/>
          <w:sz w:val="22"/>
        </w:rPr>
        <w:t>возместить Обработчику все расходы</w:t>
      </w:r>
      <w:r>
        <w:rPr>
          <w:rFonts w:ascii="PT Serif" w:hAnsi="PT Serif"/>
          <w:b w:val="0"/>
          <w:i w:val="0"/>
          <w:color w:val="1A1A1A"/>
          <w:sz w:val="22"/>
        </w:rPr>
        <w:t>, понесённые в связи с переадресацией требований, ответами на запросы, участием в проверках.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10. Распределение ответственности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10.1. </w:t>
      </w:r>
      <w:r>
        <w:rPr>
          <w:rFonts w:ascii="PT Serif" w:hAnsi="PT Serif"/>
          <w:b/>
          <w:i w:val="0"/>
          <w:color w:val="1A1A1A"/>
          <w:sz w:val="22"/>
        </w:rPr>
        <w:t>Ответственность перед субъектами персональных данных и регулятором (Роскомнадзор) несёт Оператор</w:t>
      </w:r>
      <w:r>
        <w:rPr>
          <w:rFonts w:ascii="PT Serif" w:hAnsi="PT Serif"/>
          <w:b w:val="0"/>
          <w:i w:val="0"/>
          <w:color w:val="1A1A1A"/>
          <w:sz w:val="22"/>
        </w:rPr>
        <w:t>, в том числе ответственность по ст. 13.11 КоАП РФ (с учётом редакции Федерального закона от 30.11.2024 № 420-ФЗ, повысившего размер административных штрафов, включая оборотные штрафы в случае массовых утечек).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10.2.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Обработчик несёт ответственность перед Оператором за нарушения настоящего Поручения </w:t>
      </w:r>
      <w:r>
        <w:rPr>
          <w:rFonts w:ascii="PT Serif" w:hAnsi="PT Serif"/>
          <w:b/>
          <w:i w:val="0"/>
          <w:color w:val="1A1A1A"/>
          <w:sz w:val="22"/>
        </w:rPr>
        <w:t>в пределах лимита, установленного п. 8.1 основного Договора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(трёхкратная ежемесячная плата), за исключением случаев умышленных действий Обработчика, подтверждённых судебным актом.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10.3.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Если по требованию субъекта ПДн, Роскомнадзора или иного третьего лица к Обработчику будут предъявлены требования имущественного или административного характера, </w:t>
      </w:r>
      <w:r>
        <w:rPr>
          <w:rFonts w:ascii="PT Serif" w:hAnsi="PT Serif"/>
          <w:b/>
          <w:i w:val="0"/>
          <w:color w:val="1A1A1A"/>
          <w:sz w:val="22"/>
        </w:rPr>
        <w:t>Оператор обязан возместить Обработчику все понесённые расходы</w:t>
      </w:r>
      <w:r>
        <w:rPr>
          <w:rFonts w:ascii="PT Serif" w:hAnsi="PT Serif"/>
          <w:b w:val="0"/>
          <w:i w:val="0"/>
          <w:color w:val="1A1A1A"/>
          <w:sz w:val="22"/>
        </w:rPr>
        <w:t>, за исключением случаев, когда такие требования вызваны умышленными виновными действиями Обработчика.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11. Локализация и трансграничная передача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11.1.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Обработчик подтверждает, что обработка персональных данных граждан Российской Федерации осуществляется с использованием баз данных и серверов, </w:t>
      </w:r>
      <w:r>
        <w:rPr>
          <w:rFonts w:ascii="PT Serif" w:hAnsi="PT Serif"/>
          <w:b/>
          <w:i w:val="0"/>
          <w:color w:val="1A1A1A"/>
          <w:sz w:val="22"/>
        </w:rPr>
        <w:t>размещённых на территории Российской Федерации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(ч. 5 ст. 18 152-ФЗ).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11.2. </w:t>
      </w:r>
      <w:r>
        <w:rPr>
          <w:rFonts w:ascii="PT Serif" w:hAnsi="PT Serif"/>
          <w:b w:val="0"/>
          <w:i w:val="0"/>
          <w:color w:val="1A1A1A"/>
          <w:sz w:val="22"/>
        </w:rPr>
        <w:t>Трансграничная передача персональных данных Обработчиком не осуществляется. В случае необходимости такой передачи Обработчик уведомляет Оператора заранее, и она осуществляется только с письменного согласия Оператора, при наличии у него правовых оснований (ст. 12 152-ФЗ; уведомление Роскомнадзора по ст. 12 152-ФЗ).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12. Срок действия и прекращение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12.1. </w:t>
      </w:r>
      <w:r>
        <w:rPr>
          <w:rFonts w:ascii="PT Serif" w:hAnsi="PT Serif"/>
          <w:b w:val="0"/>
          <w:i w:val="0"/>
          <w:color w:val="1A1A1A"/>
          <w:sz w:val="22"/>
        </w:rPr>
        <w:t>Настоящее Поручение действует в течение срока действия основного Договора. Прекращение Договора влечёт автоматическое прекращение настоящего Поручения, за исключением обязательств, прямо переживающих прекращение (обязанности по конфиденциальности, обязанности по уничтожению ПДн).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12.2. </w:t>
      </w:r>
      <w:r>
        <w:rPr>
          <w:rFonts w:ascii="PT Serif" w:hAnsi="PT Serif"/>
          <w:b w:val="0"/>
          <w:i w:val="0"/>
          <w:color w:val="1A1A1A"/>
          <w:sz w:val="22"/>
        </w:rPr>
        <w:t>По окончании срока обработки Обработчик в порядке п. 5 уничтожает либо возвращает Оператору персональные данные с составлением акта.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13.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Обработчик (Исполнитель)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ФИО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, плательщик НПД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Оператор (Заказчик)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Полное наименование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erif" w:hAnsi="PT Serif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