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Приложение № 7 к Договору № __/____</w:t>
        <w:br/>
      </w:r>
      <w:r>
        <w:rPr>
          <w:rFonts w:ascii="PT Sans" w:hAnsi="PT Sans"/>
          <w:b/>
          <w:color w:val="1A1A1A"/>
          <w:sz w:val="28"/>
        </w:rPr>
        <w:t>возмездного оказания услуг от «___» __________ 20__ г.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Регламент передачи материалов при расторжении Договора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Назначение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Настоящее Приложение устанавливает порядок и состав материалов, передаваемых Исполнителем Заказчику при прекращении Договора по любому основанию, а также порядок взаимодействия Сторон в переходный период.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Условия передачи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Материалы передаются Заказчику </w:t>
      </w:r>
      <w:r>
        <w:rPr>
          <w:rFonts w:ascii="PT Serif" w:hAnsi="PT Serif"/>
          <w:b/>
          <w:i w:val="0"/>
          <w:color w:val="1A1A1A"/>
          <w:sz w:val="22"/>
        </w:rPr>
        <w:t>только при выполнении одновременно всех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следующих условий: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Заказчик полностью погасил задолженность перед Исполнителем (включая последний оплачиваемый месяц обслуживания, неустойки, штрафные санкции, расходы по доп. услугам);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Сторонами подписан акт сверки взаимных расчётов с нулевым сальдо в пользу Заказчика либо подтверждено отсутствие задолженности;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Заказчик письменно подтвердил готовность принять материалы и предоставил защищённый канал получения (S3-бакет, шифрованный архив с парольной защитой, передача на физический носитель).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2.2. </w:t>
      </w:r>
      <w:r>
        <w:rPr>
          <w:rFonts w:ascii="PT Serif" w:hAnsi="PT Serif"/>
          <w:b/>
          <w:i w:val="0"/>
          <w:color w:val="1A1A1A"/>
          <w:sz w:val="22"/>
        </w:rPr>
        <w:t>Право удержания материалов.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случае наличия задолженности Исполнитель вправе удерживать материалы до её полного погашения в соответствии с п. 1 ст. 359 ГК РФ. Удержание не является основанием для требования возмещения убытков со стороны Заказчика.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Передача материалов осуществляется в течение </w:t>
      </w:r>
      <w:r>
        <w:rPr>
          <w:rFonts w:ascii="PT Serif" w:hAnsi="PT Serif"/>
          <w:b/>
          <w:i w:val="0"/>
          <w:color w:val="1A1A1A"/>
          <w:sz w:val="22"/>
        </w:rPr>
        <w:t>15 (пятнадцати)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даты выполнения условий п. 2.1.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Состав передаваемых материалов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3.1. Безусловно передаются Заказчику: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конфигурационные файлы серверов и сервисов Заказчика из системы контроля версий (Git-репозиторий или экспорт в архиве);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ключи доступа, пароли и иные учётные данные, относящиеся к инфраструктуре Заказчика (через защищённый канал);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отчёты за период обслуживания (еженедельные / ежемесячные — в зависимости от Тарифа);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журналы доступа специалистов Исполнителя к инфраструктуре Заказчика за последние 12 месяцев (экспорт из Loki / Wazuh, при наличии);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инструкции по подключению к системам мониторинга, бэкапов, SIEM (если они размещены на стороне Исполнителя — инструкции по экспорту/восстановлению на стороне Заказчика);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акт о принятых мерах защиты ПДн (для Тарифов Silver / Gold) — однократно, в редакции на дату расторжения;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схема сети и схема резервного копирования в виде, актуальном на дату расторжения.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3.2. Передаётся при наличии прямой связи с инфраструктурой Заказчика: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Ansible-роли и Puppet-манифесты, разработанные исключительно для инфраструктуры Заказчика;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Grafana-дашборды, развёрнутые в рамках обслуживания (JSON-экспорт);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кастомные правила Wazuh (для Gold), относящиеся к инфраструктуре Заказчика;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пост-мортем-отчёты по инцидентам в инфраструктуре Заказчика.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3.3. НЕ передаётся Заказчику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Не подлежит передаче следующее (является результатом интеллектуальной деятельности Исполнителя и сохраняется за ним):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общие методики, регламенты, runbooks, не разработанные специально для инфраструктуры Заказчика;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Ansible-роли / Puppet-манифесты общего назначения, используемые Исполнителем у множества клиентов;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правила мониторинга и SIEM общего характера (Prometheus rules, Alertmanager rules, Wazuh rules), не привязанные к конкретной инфраструктуре Заказчика;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внутренние документы Исполнителя (политики, инструкции, обучающие материалы для сотрудников Исполнителя);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коммерческие данные Исполнителя (прайсы, контакты партнёров, договоры с поставщиками);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программные средства Исполнителя, используемые для оказания Услуг (системы мониторинга, тикетинг, инструменты разработки), за исключением экспорта данных, относящихся к инфраструктуре Заказчика.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Порядок передачи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Передача материалов оформляется </w:t>
      </w:r>
      <w:r>
        <w:rPr>
          <w:rFonts w:ascii="PT Serif" w:hAnsi="PT Serif"/>
          <w:b/>
          <w:i w:val="0"/>
          <w:color w:val="1A1A1A"/>
          <w:sz w:val="22"/>
        </w:rPr>
        <w:t>Актом приёма-передачи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перечнем переданных файлов / контейнеров, контрольными суммами и датами. Акт подписывается обеими Сторонами.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Учётные данные и пароли передаются </w:t>
      </w:r>
      <w:r>
        <w:rPr>
          <w:rFonts w:ascii="PT Serif" w:hAnsi="PT Serif"/>
          <w:b/>
          <w:i w:val="0"/>
          <w:color w:val="1A1A1A"/>
          <w:sz w:val="22"/>
        </w:rPr>
        <w:t>только через защищённый канал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(1Password share, Bitwarden Send, шифрованный архив с паролем по отдельному каналу). Передача в незащищённом виде (электронная почта, мессенджер без шифрования) </w:t>
      </w:r>
      <w:r>
        <w:rPr>
          <w:rFonts w:ascii="PT Serif" w:hAnsi="PT Serif"/>
          <w:b/>
          <w:i w:val="0"/>
          <w:color w:val="1A1A1A"/>
          <w:sz w:val="22"/>
        </w:rPr>
        <w:t>не допускается</w:t>
      </w:r>
      <w:r>
        <w:rPr>
          <w:rFonts w:ascii="PT Serif" w:hAnsi="PT Serif"/>
          <w:b w:val="0"/>
          <w:i w:val="0"/>
          <w:color w:val="1A1A1A"/>
          <w:sz w:val="22"/>
        </w:rPr>
        <w:t>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После передачи и подписания Акта приёма-передачи Исполнитель в течение </w:t>
      </w:r>
      <w:r>
        <w:rPr>
          <w:rFonts w:ascii="PT Serif" w:hAnsi="PT Serif"/>
          <w:b/>
          <w:i w:val="0"/>
          <w:color w:val="1A1A1A"/>
          <w:sz w:val="22"/>
        </w:rPr>
        <w:t>30 (тридцати)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>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удаляет все учётные данные и пароли Заказчика из своих систем управления секретами;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удаляет данные мониторинга Заказчика (Prometheus, Loki, Wazuh), за исключением сведений, требующих обязательного хранения по законодательству;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уничтожает резервные копии Заказчика в облачном хранилище в порядке, согласованном Сторонами в Акте приёма-передачи (по умолчанию — немедленное уничтожение после успешной выгрузки Заказчику).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4.4. </w:t>
      </w:r>
      <w:r>
        <w:rPr>
          <w:rFonts w:ascii="PT Serif" w:hAnsi="PT Serif"/>
          <w:b/>
          <w:i w:val="0"/>
          <w:color w:val="1A1A1A"/>
          <w:sz w:val="22"/>
        </w:rPr>
        <w:t>Сведения, обязательные к хранению по законодательству РФ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(например, финансовая отчётность — 5 лет в силу 402-ФЗ; данные о расчётах через приложение «Мой налог»), сохраняются Исполнителем в течение нормативных сроков с обеспечением их конфиденциальности.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Переходный период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 период между уведомлением о расторжении и фактической передачей материалов Исполнитель </w:t>
      </w:r>
      <w:r>
        <w:rPr>
          <w:rFonts w:ascii="PT Serif" w:hAnsi="PT Serif"/>
          <w:b/>
          <w:i w:val="0"/>
          <w:color w:val="1A1A1A"/>
          <w:sz w:val="22"/>
        </w:rPr>
        <w:t>продолжает оказывать Услуги в стандартном объёме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при условии своевременной оплаты Заказчиком.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 </w:t>
      </w:r>
      <w:r>
        <w:rPr>
          <w:rFonts w:ascii="PT Serif" w:hAnsi="PT Serif"/>
          <w:b/>
          <w:i w:val="0"/>
          <w:color w:val="1A1A1A"/>
          <w:sz w:val="22"/>
        </w:rPr>
        <w:t>Дополнительные услуги по поддержке миграции к новому подрядчику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не входят в Тариф и оказываются по прайсу Приложения № 1 либо по отдельному согласованию. В частности: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проведение сопровождающих сессий с новым подрядчиком Заказчика — 3 000 ₽ за час;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развёрнутая техническая консультация для новой команды — по почасовой ставке Тарифа;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сопровождение миграции мониторинга / бэкапов / SIEM на инфраструктуру нового подрядчика — по смете.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6. Ответственность за неисполнение Регламента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 </w:t>
      </w:r>
      <w:r>
        <w:rPr>
          <w:rFonts w:ascii="PT Serif" w:hAnsi="PT Serif"/>
          <w:b w:val="0"/>
          <w:i w:val="0"/>
          <w:color w:val="1A1A1A"/>
          <w:sz w:val="22"/>
        </w:rPr>
        <w:t>При неисполнении Заказчиком п. 2.1 (наличии непогашенной задолженности) Исполнитель не несёт ответственности за непередачу материалов до даты погашения долга. Указанное обстоятельство не является основанием для требований Заказчика о возмещении убытков, упущенной выгоды и неустоек.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При неисполнении Заказчиком п. 4.3 (готовность принять и канал получения) Исполнитель вправе уничтожить материалы по истечении </w:t>
      </w:r>
      <w:r>
        <w:rPr>
          <w:rFonts w:ascii="PT Serif" w:hAnsi="PT Serif"/>
          <w:b/>
          <w:i w:val="0"/>
          <w:color w:val="1A1A1A"/>
          <w:sz w:val="22"/>
        </w:rPr>
        <w:t>90 (девяноста)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даты уведомления Заказчика о готовности к передаче, направив повторное предупреждение за 10 дней.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7.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, плательщик НПД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Заказчик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