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PT Sans" w:hAnsi="PT Sans"/>
          <w:b/>
          <w:color w:val="1A1A1A"/>
          <w:sz w:val="28"/>
        </w:rPr>
        <w:t>Приложение № 3 к Договору № __/____</w:t>
        <w:br/>
      </w:r>
      <w:r>
        <w:rPr>
          <w:rFonts w:ascii="PT Sans" w:hAnsi="PT Sans"/>
          <w:b/>
          <w:color w:val="1A1A1A"/>
          <w:sz w:val="28"/>
        </w:rPr>
        <w:t>возмездного оказания услуг от «___» __________ 20__ г.</w:t>
      </w:r>
    </w:p>
    <w:p>
      <w:pPr>
        <w:spacing w:after="360"/>
        <w:jc w:val="center"/>
      </w:pPr>
      <w:r>
        <w:rPr>
          <w:rFonts w:ascii="PT Serif" w:hAnsi="PT Serif"/>
          <w:i/>
          <w:color w:val="555555"/>
          <w:sz w:val="20"/>
        </w:rPr>
        <w:t>Периметр обслуживания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Настоящее Приложение определяет закрытый перечень объектов IT-инфраструктуры Заказчика, в отношении которых Исполнитель оказывает Услуги. Любые изменения Периметра оформляются Дополнительным соглашением Сторон. Услуги в отношении объектов, не указанных в настоящем Приложении, не оказываются и оплате не подлежат.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1. Серверы и виртуальные машины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454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814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Имя / FQDN</w:t>
            </w:r>
          </w:p>
        </w:tc>
        <w:tc>
          <w:tcPr>
            <w:tcW w:type="dxa" w:w="1814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1587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ОС / версия</w:t>
            </w:r>
          </w:p>
        </w:tc>
        <w:tc>
          <w:tcPr>
            <w:tcW w:type="dxa" w:w="1814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Критичность</w:t>
            </w:r>
          </w:p>
        </w:tc>
        <w:tc>
          <w:tcPr>
            <w:tcW w:type="dxa" w:w="1587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Сеть / адрес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587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587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587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587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587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587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4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587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587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587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587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6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587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587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7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587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587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8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587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587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</w:tbl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Сервер считается «критическим»</w:t>
      </w:r>
      <w:r>
        <w:rPr>
          <w:rFonts w:ascii="PT Serif" w:hAnsi="PT Serif"/>
          <w:b w:val="0"/>
          <w:i w:val="0"/>
          <w:color w:val="1A1A1A"/>
          <w:sz w:val="22"/>
        </w:rPr>
        <w:t>, если его недоступность приводит к остановке ключевых бизнес-процессов Заказчика (продажи, бухгалтерия, основная клиентская услуга). Маркировка влияет на классификацию инцидента (Приложение № 2, раздел 2).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2. Сервисы и приложения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454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55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Сервис / приложение</w:t>
            </w:r>
          </w:p>
        </w:tc>
        <w:tc>
          <w:tcPr>
            <w:tcW w:type="dxa" w:w="1984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Размещение (сервер №)</w:t>
            </w:r>
          </w:p>
        </w:tc>
        <w:tc>
          <w:tcPr>
            <w:tcW w:type="dxa" w:w="2268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Критичность</w:t>
            </w:r>
          </w:p>
        </w:tc>
        <w:tc>
          <w:tcPr>
            <w:tcW w:type="dxa" w:w="1814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Резервное копирование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Да / Нет</w:t>
            </w:r>
          </w:p>
        </w:tc>
      </w:tr>
      <w:tr>
        <w:tc>
          <w:tcPr>
            <w:tcW w:type="dxa" w:w="45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255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2268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Да / Нет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Да / Нет</w:t>
            </w:r>
          </w:p>
        </w:tc>
      </w:tr>
      <w:tr>
        <w:tc>
          <w:tcPr>
            <w:tcW w:type="dxa" w:w="45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4</w:t>
            </w:r>
          </w:p>
        </w:tc>
        <w:tc>
          <w:tcPr>
            <w:tcW w:type="dxa" w:w="255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2268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Да / Нет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Да / Нет</w:t>
            </w:r>
          </w:p>
        </w:tc>
      </w:tr>
      <w:tr>
        <w:tc>
          <w:tcPr>
            <w:tcW w:type="dxa" w:w="45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6</w:t>
            </w:r>
          </w:p>
        </w:tc>
        <w:tc>
          <w:tcPr>
            <w:tcW w:type="dxa" w:w="255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2268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Да / Нет</w:t>
            </w:r>
          </w:p>
        </w:tc>
      </w:tr>
    </w:tbl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3. Рабочие станции (если применимо для Тарифа Gold)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Указывается общее количество рабочих станций, на которые планируется развернуть агенты Kaspersky Endpoint Security (KSC). Стоимость дополнительных endpoints — по прайсу Приложения № 1.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535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Общее количество рабочих станций (ориентир)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Тип ОС (Windows / Linux / смешанная)</w:t>
            </w:r>
          </w:p>
        </w:tc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Активный домен (имя AD)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Управляющий сервер KSC размещён</w:t>
            </w:r>
          </w:p>
        </w:tc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 Заказчика / у Исполнителя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Лицензии Kaspersky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 Заказчика / приобретаются по отдельному счёту</w:t>
            </w:r>
          </w:p>
        </w:tc>
      </w:tr>
    </w:tbl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4. Резервное копирование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535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Объём данных, подлежащих резервному копированию (ГБ)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Источники данных (БД / файлы / системные образы)</w:t>
            </w:r>
          </w:p>
        </w:tc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Окно резервного копирования (МСК)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Тип хранилища</w:t>
            </w:r>
          </w:p>
        </w:tc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распределённое облачное хранилище в РФ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RPO (целевая точка восстановления)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согласно Приложению № 2</w:t>
            </w:r>
          </w:p>
        </w:tc>
      </w:tr>
      <w:tr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Шифрование</w:t>
            </w:r>
          </w:p>
        </w:tc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AES-256 на стороне Заказчика до отправки</w:t>
            </w:r>
          </w:p>
        </w:tc>
      </w:tr>
    </w:tbl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5. Сетевая инфраструктура и каналы доступа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669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Канал доступа для специалистов Исполнителя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WireGuard VPN / Bastion (имя):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Контрольные точки (jump-хосты, балансировщики)</w:t>
            </w:r>
          </w:p>
        </w:tc>
        <w:tc>
          <w:tcPr>
            <w:tcW w:type="dxa" w:w="56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Используется DMZ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Да / Нет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Используется межсетевой экран (производитель)</w:t>
            </w:r>
          </w:p>
        </w:tc>
        <w:tc>
          <w:tcPr>
            <w:tcW w:type="dxa" w:w="56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Услуги связи (провайдер 1 / 2)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  <w:t xml:space="preserve"> /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</w:p>
        </w:tc>
      </w:tr>
    </w:tbl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6. Контактные лица Заказчика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ФИО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Email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Телефон / мессенджер</w:t>
            </w:r>
          </w:p>
        </w:tc>
        <w:tc>
          <w:tcPr>
            <w:tcW w:type="dxa" w:w="1984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Полномочия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Основное контактное лицо (24/7)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технические вопросы, заявки</w:t>
            </w:r>
          </w:p>
        </w:tc>
      </w:tr>
      <w:tr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Резервное контактное лицо (24/7)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—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Уполномоченное лицо на согласование изменений и расходов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согласование Доп. услуг</w:t>
            </w:r>
          </w:p>
        </w:tc>
      </w:tr>
      <w:tr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Контактное лицо по вопросам оплаты и документов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финансы, акты, ЭДО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Контактное лицо по информационной безопасности (Gold)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ИБ, ПДн</w:t>
            </w:r>
          </w:p>
        </w:tc>
      </w:tr>
    </w:tbl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7. Согласованные каналы связи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3402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Адрес / идентификатор</w:t>
            </w:r>
          </w:p>
        </w:tc>
        <w:tc>
          <w:tcPr>
            <w:tcW w:type="dxa" w:w="3402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Email Исполнителя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переписка, отчёты</w:t>
            </w:r>
          </w:p>
        </w:tc>
      </w:tr>
      <w:tr>
        <w:tc>
          <w:tcPr>
            <w:tcW w:type="dxa" w:w="2268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Email Заказчика</w:t>
            </w:r>
          </w:p>
        </w:tc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переписка, отчёты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Мессенджер (защищённый)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оперативные уведомления, P1</w:t>
            </w:r>
          </w:p>
        </w:tc>
      </w:tr>
      <w:tr>
        <w:tc>
          <w:tcPr>
            <w:tcW w:type="dxa" w:w="2268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Тикет-система (Gold)</w:t>
            </w:r>
          </w:p>
        </w:tc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учёт обращений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Оператор ЭДО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Акты, Доп. соглашения, КЭП</w:t>
            </w:r>
          </w:p>
        </w:tc>
      </w:tr>
    </w:tbl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8. Окна технического обслуживания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Стандартное окно технических работ Исполнителя: ночь будних дней (03:00–06:00 МСК). Для нестандартных окон — согласование за 48 часов через согласованный канал связи.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669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Стандартное окно технических работ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будни 03:00–06:00 МСК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Запрещённые окна (если есть)</w:t>
            </w:r>
          </w:p>
        </w:tc>
        <w:tc>
          <w:tcPr>
            <w:tcW w:type="dxa" w:w="56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Особые требования к согласованию работ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</w:tbl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9. Особые условия и оговорки по Периметру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Здесь могут быть зафиксированы отклонения от стандартных условий Тарифа, специфические требования, изъятия из Периметра, прочие договорённости: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>__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>__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>__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>__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>__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>__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10. Подписи Сторон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PT Sans" w:hAnsi="PT Sans"/>
                <w:b/>
                <w:color w:val="1A1A1A"/>
                <w:sz w:val="22"/>
              </w:rPr>
              <w:t>Исполнитель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  <w:t>ФИО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, плательщик НПД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ИНН: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before="320"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_____________________________</w:t>
            </w:r>
          </w:p>
          <w:p>
            <w:r>
              <w:rPr>
                <w:rFonts w:ascii="PT Serif" w:hAnsi="PT Serif"/>
                <w:b w:val="0"/>
                <w:i/>
                <w:color w:val="555555"/>
                <w:sz w:val="18"/>
              </w:rPr>
              <w:t>подпись / дата / печать (при наличии)</w:t>
            </w:r>
          </w:p>
        </w:tc>
        <w:tc>
          <w:tcPr>
            <w:tcW w:type="dxa" w:w="4844"/>
          </w:tcPr>
          <w:p>
            <w:r/>
            <w:r>
              <w:rPr>
                <w:rFonts w:ascii="PT Sans" w:hAnsi="PT Sans"/>
                <w:b/>
                <w:color w:val="1A1A1A"/>
                <w:sz w:val="22"/>
              </w:rPr>
              <w:t>Заказчик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  <w:t>Полное наименование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ИНН: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before="320"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_____________________________</w:t>
            </w:r>
          </w:p>
          <w:p>
            <w:r>
              <w:rPr>
                <w:rFonts w:ascii="PT Serif" w:hAnsi="PT Serif"/>
                <w:b w:val="0"/>
                <w:i/>
                <w:color w:val="555555"/>
                <w:sz w:val="18"/>
              </w:rPr>
              <w:t>подпись / дата / печать (при наличии)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T Serif" w:hAnsi="PT Serif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