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ДОГОВОР ОКАЗАНИЯ УПРАВЛЯЕМЫХ IT-УСЛУГ № [НОМЕР]</w:t>
      </w:r>
    </w:p>
    <w:p>
      <w:r>
        <w:rPr>
          <w:b w:val="0"/>
        </w:rPr>
        <w:t>г. [ГОРОД] · [ДАТА]</w:t>
      </w:r>
    </w:p>
    <w:p>
      <w:r>
        <w:rPr>
          <w:b w:val="0"/>
        </w:rPr>
        <w:t>[ИСПОЛНИТЕЛЬ, СТАТУС, ИНН, РЕКВИЗИТЫ], именуемый «Исполнитель», и [ЗАКАЗЧИК, ОГРН/ОГРНИП, ИНН, ПОДПИСАНТ], именуемый «Заказчик», совместно — «Стороны», заключили настоящий Договор.</w:t>
      </w:r>
    </w:p>
    <w:p>
      <w:pPr>
        <w:ind w:left="397"/>
      </w:pPr>
      <w:r>
        <w:rPr>
          <w:b w:val="0"/>
        </w:rPr>
        <w:t>Шаблон для B2B-сделки. До подписания заполнить поля, удалить неприменимые варианты и провести юридическую проверку в РФ.</w:t>
      </w:r>
    </w:p>
    <w:p>
      <w:pPr>
        <w:pStyle w:val="Heading1"/>
      </w:pPr>
      <w:r>
        <w:t>1. Термины</w:t>
      </w:r>
    </w:p>
    <w:p>
      <w:pPr>
        <w:pStyle w:val="ListBullet"/>
      </w:pPr>
      <w:r>
        <w:rPr>
          <w:b w:val="0"/>
        </w:rPr>
      </w:r>
      <w:r>
        <w:rPr>
          <w:b/>
        </w:rPr>
        <w:t>Услуги</w:t>
      </w:r>
      <w:r>
        <w:rPr>
          <w:b w:val="0"/>
        </w:rPr>
        <w:t xml:space="preserve"> — мониторинг, резервное копирование и сопровождение объектов, указанных в Периметре.</w:t>
      </w:r>
    </w:p>
    <w:p>
      <w:pPr>
        <w:pStyle w:val="ListBullet"/>
      </w:pPr>
      <w:r>
        <w:rPr>
          <w:b w:val="0"/>
        </w:rPr>
      </w:r>
      <w:r>
        <w:rPr>
          <w:b/>
        </w:rPr>
        <w:t>Периметр</w:t>
      </w:r>
      <w:r>
        <w:rPr>
          <w:b w:val="0"/>
        </w:rPr>
        <w:t xml:space="preserve"> — закрытый перечень систем, узлов, сервисов, данных и согласованных операций в Приложении 2.</w:t>
      </w:r>
    </w:p>
    <w:p>
      <w:pPr>
        <w:pStyle w:val="ListBullet"/>
      </w:pPr>
      <w:r>
        <w:rPr>
          <w:b w:val="0"/>
        </w:rPr>
      </w:r>
      <w:r>
        <w:rPr>
          <w:b/>
        </w:rPr>
        <w:t>Заявка</w:t>
      </w:r>
      <w:r>
        <w:rPr>
          <w:b w:val="0"/>
        </w:rPr>
        <w:t xml:space="preserve"> — обращение, зарегистрированное в Kaiten либо ином согласованном канале.</w:t>
      </w:r>
    </w:p>
    <w:p>
      <w:pPr>
        <w:pStyle w:val="ListBullet"/>
      </w:pPr>
      <w:r>
        <w:rPr>
          <w:b w:val="0"/>
        </w:rPr>
      </w:r>
      <w:r>
        <w:rPr>
          <w:b/>
        </w:rPr>
        <w:t>Инцидент</w:t>
      </w:r>
      <w:r>
        <w:rPr>
          <w:b w:val="0"/>
        </w:rPr>
        <w:t xml:space="preserve"> — незапланированное нарушение или существенная деградация сервиса из Периметра.</w:t>
      </w:r>
    </w:p>
    <w:p>
      <w:pPr>
        <w:pStyle w:val="ListBullet"/>
      </w:pPr>
      <w:r>
        <w:rPr>
          <w:b w:val="0"/>
        </w:rPr>
      </w:r>
      <w:r>
        <w:rPr>
          <w:b/>
        </w:rPr>
        <w:t>Рабочее окно</w:t>
      </w:r>
      <w:r>
        <w:rPr>
          <w:b w:val="0"/>
        </w:rPr>
        <w:t xml:space="preserve"> — время, в которое исчисляется инженерная реакция.</w:t>
      </w:r>
    </w:p>
    <w:p>
      <w:pPr>
        <w:pStyle w:val="ListBullet"/>
      </w:pPr>
      <w:r>
        <w:rPr>
          <w:b w:val="0"/>
        </w:rPr>
      </w:r>
      <w:r>
        <w:rPr>
          <w:b/>
        </w:rPr>
        <w:t>Реакция</w:t>
      </w:r>
      <w:r>
        <w:rPr>
          <w:b w:val="0"/>
        </w:rPr>
        <w:t xml:space="preserve"> — подтверждение инцидента и начало диагностики; не означает восстановление.</w:t>
      </w:r>
    </w:p>
    <w:p>
      <w:pPr>
        <w:pStyle w:val="ListBullet"/>
      </w:pPr>
      <w:r>
        <w:rPr>
          <w:b w:val="0"/>
        </w:rPr>
      </w:r>
      <w:r>
        <w:rPr>
          <w:b/>
        </w:rPr>
        <w:t>RPO/RTO</w:t>
      </w:r>
      <w:r>
        <w:rPr>
          <w:b w:val="0"/>
        </w:rPr>
        <w:t xml:space="preserve"> — целевые параметры конкретной системы, подтверждаемые только restore-тестом.</w:t>
      </w:r>
    </w:p>
    <w:p>
      <w:pPr>
        <w:pStyle w:val="ListBullet"/>
      </w:pPr>
      <w:r>
        <w:rPr>
          <w:b w:val="0"/>
        </w:rPr>
      </w:r>
      <w:r>
        <w:rPr>
          <w:b/>
        </w:rPr>
        <w:t>Дополнительные работы</w:t>
      </w:r>
      <w:r>
        <w:rPr>
          <w:b w:val="0"/>
        </w:rPr>
        <w:t xml:space="preserve"> — всё, что не включено в Order Form и Периметр.</w:t>
      </w:r>
    </w:p>
    <w:p>
      <w:pPr>
        <w:pStyle w:val="ListBullet"/>
      </w:pPr>
      <w:r>
        <w:rPr>
          <w:b w:val="0"/>
        </w:rPr>
      </w:r>
      <w:r>
        <w:rPr>
          <w:b/>
        </w:rPr>
        <w:t>Gold</w:t>
      </w:r>
      <w:r>
        <w:rPr>
          <w:b w:val="0"/>
        </w:rPr>
        <w:t xml:space="preserve"> — тариф для критичных контуров: SIEM Wazuh + Kaspersky Security, CVE-скан, DR-drill и пост-мортем.</w:t>
      </w:r>
    </w:p>
    <w:p>
      <w:pPr>
        <w:pStyle w:val="Heading1"/>
      </w:pPr>
      <w:r>
        <w:t>2. Предмет и границы</w:t>
      </w:r>
    </w:p>
    <w:p>
      <w:r>
        <w:rPr>
          <w:b w:val="0"/>
        </w:rPr>
        <w:t>2.1. Исполнитель оказывает Услуги дистанционно в пределах подписанного Периметра и Order Form, а Заказчик принимает и оплачивает их.</w:t>
      </w:r>
    </w:p>
    <w:p>
      <w:r>
        <w:rPr>
          <w:b w:val="0"/>
        </w:rPr>
        <w:t>2.2. Услуги не являются безлимитной поддержкой, аутстаффингом, страхованием киберрисков, юридическим аудитом, SOC или гарантией непрерывной работы.</w:t>
      </w:r>
    </w:p>
    <w:p>
      <w:r>
        <w:rPr>
          <w:b w:val="0"/>
        </w:rPr>
        <w:t>2.3. Автоматический monitoring может работать 24/7. Для Bronze и Silver инженерная реакция предоставляется в Рабочее окно. Расширенное либо круглосуточное окно для Gold фиксируется в Order Form (состав, каналы, окно реакции и цена).</w:t>
      </w:r>
    </w:p>
    <w:p>
      <w:r>
        <w:rPr>
          <w:b w:val="0"/>
        </w:rPr>
        <w:t>2.4. КИИ, государственная тайна, платёжные системы и иные регулируемые контуры исключены без отдельного приложения и проверки компетенций.</w:t>
      </w:r>
    </w:p>
    <w:p>
      <w:pPr>
        <w:pStyle w:val="Heading1"/>
      </w:pPr>
      <w:r>
        <w:t>3. Порядок оказания услуг</w:t>
      </w:r>
    </w:p>
    <w:p>
      <w:r>
        <w:rPr>
          <w:b w:val="0"/>
        </w:rPr>
        <w:t>3.1. До начала работ Стороны подписывают Order Form, Периметр и, при доступе к ПДн, Поручение на обработку ПДн.</w:t>
      </w:r>
    </w:p>
    <w:p>
      <w:r>
        <w:rPr>
          <w:b w:val="0"/>
        </w:rPr>
        <w:t>3.2. Изменение Периметра оформляется письменно. Устное упоминание системы, наличие сетевой доступности или alert не включает объект автоматически.</w:t>
      </w:r>
    </w:p>
    <w:p>
      <w:r>
        <w:rPr>
          <w:b w:val="0"/>
        </w:rPr>
        <w:t>3.3. Изменения production выполняются по change record с владельцем, окном, проверкой и rollback.</w:t>
      </w:r>
    </w:p>
    <w:p>
      <w:r>
        <w:rPr>
          <w:b w:val="0"/>
        </w:rPr>
        <w:t>3.4. Аварийное изменение допускается при P1 после подтверждения уполномоченного лица. Без подтверждения выполняются только заранее разрешённые действия.</w:t>
      </w:r>
    </w:p>
    <w:p>
      <w:r>
        <w:rPr>
          <w:b w:val="0"/>
        </w:rPr>
        <w:t>3.5. Соисполнители допускаются под ответственностью Исполнителя. Доступ к секретам и ПДн — только при необходимости, после договора/NDA, обучения и согласования.</w:t>
      </w:r>
    </w:p>
    <w:p>
      <w:pPr>
        <w:pStyle w:val="Heading1"/>
      </w:pPr>
      <w:r>
        <w:t>4. Обязанности Исполнителя</w:t>
      </w:r>
    </w:p>
    <w:p>
      <w:pPr>
        <w:pStyle w:val="ListBullet"/>
      </w:pPr>
      <w:r>
        <w:rPr>
          <w:b w:val="0"/>
        </w:rPr>
        <w:t>соблюдать Order Form, SLA и Периметр;</w:t>
      </w:r>
    </w:p>
    <w:p>
      <w:pPr>
        <w:pStyle w:val="ListBullet"/>
      </w:pPr>
      <w:r>
        <w:rPr>
          <w:b w:val="0"/>
        </w:rPr>
        <w:t>применять персональные учётные записи, MFA и минимальные права;</w:t>
      </w:r>
    </w:p>
    <w:p>
      <w:pPr>
        <w:pStyle w:val="ListBullet"/>
      </w:pPr>
      <w:r>
        <w:rPr>
          <w:b w:val="0"/>
        </w:rPr>
        <w:t>хранить секреты в согласованном хранилище, не в чатах и Git;</w:t>
      </w:r>
    </w:p>
    <w:p>
      <w:pPr>
        <w:pStyle w:val="ListBullet"/>
      </w:pPr>
      <w:r>
        <w:rPr>
          <w:b w:val="0"/>
        </w:rPr>
        <w:t>вести журнал заявок, инцидентов и существенных изменений;</w:t>
      </w:r>
    </w:p>
    <w:p>
      <w:pPr>
        <w:pStyle w:val="ListBullet"/>
      </w:pPr>
      <w:r>
        <w:rPr>
          <w:b w:val="0"/>
        </w:rPr>
        <w:t>уведомлять о критичных рисках без необоснованной задержки;</w:t>
      </w:r>
    </w:p>
    <w:p>
      <w:pPr>
        <w:pStyle w:val="ListBullet"/>
      </w:pPr>
      <w:r>
        <w:rPr>
          <w:b w:val="0"/>
        </w:rPr>
        <w:t>предоставлять отчётность;</w:t>
      </w:r>
    </w:p>
    <w:p>
      <w:pPr>
        <w:pStyle w:val="ListBullet"/>
      </w:pPr>
      <w:r>
        <w:rPr>
          <w:b w:val="0"/>
        </w:rPr>
        <w:t>обеспечить для Gold тот состав и окно реакции, которые перечислены в Order Form;</w:t>
      </w:r>
    </w:p>
    <w:p>
      <w:pPr>
        <w:pStyle w:val="ListBullet"/>
      </w:pPr>
      <w:r>
        <w:rPr>
          <w:b w:val="0"/>
        </w:rPr>
        <w:t>вернуть или удалить доступы и данные при offboarding;</w:t>
      </w:r>
    </w:p>
    <w:p>
      <w:pPr>
        <w:pStyle w:val="ListBullet"/>
      </w:pPr>
      <w:r>
        <w:rPr>
          <w:b w:val="0"/>
        </w:rPr>
        <w:t>формировать обязательные налоговые документы.</w:t>
      </w:r>
    </w:p>
    <w:p>
      <w:pPr>
        <w:pStyle w:val="Heading1"/>
      </w:pPr>
      <w:r>
        <w:t>5. Обязанности Заказчика</w:t>
      </w:r>
    </w:p>
    <w:p>
      <w:pPr>
        <w:pStyle w:val="ListBullet"/>
      </w:pPr>
      <w:r>
        <w:rPr>
          <w:b w:val="0"/>
        </w:rPr>
        <w:t>предоставить законные доступы, inventory и уполномоченные контакты;</w:t>
      </w:r>
    </w:p>
    <w:p>
      <w:pPr>
        <w:pStyle w:val="ListBullet"/>
      </w:pPr>
      <w:r>
        <w:rPr>
          <w:b w:val="0"/>
        </w:rPr>
        <w:t>обеспечить лицензии, оборудование, каналы и storage, если они явно не включены;</w:t>
      </w:r>
    </w:p>
    <w:p>
      <w:pPr>
        <w:pStyle w:val="ListBullet"/>
      </w:pPr>
      <w:r>
        <w:rPr>
          <w:b w:val="0"/>
        </w:rPr>
        <w:t>своевременно согласовывать изменения и сообщать об изменении Периметра;</w:t>
      </w:r>
    </w:p>
    <w:p>
      <w:pPr>
        <w:pStyle w:val="ListBullet"/>
      </w:pPr>
      <w:r>
        <w:rPr>
          <w:b w:val="0"/>
        </w:rPr>
        <w:t>сохранять собственный административный контроль;</w:t>
      </w:r>
    </w:p>
    <w:p>
      <w:pPr>
        <w:pStyle w:val="ListBullet"/>
      </w:pPr>
      <w:r>
        <w:rPr>
          <w:b w:val="0"/>
        </w:rPr>
        <w:t>сообщить о специальных регуляторных требованиях до договора;</w:t>
      </w:r>
    </w:p>
    <w:p>
      <w:pPr>
        <w:pStyle w:val="ListBullet"/>
      </w:pPr>
      <w:r>
        <w:rPr>
          <w:b w:val="0"/>
        </w:rPr>
        <w:t>для Gold участвовать в P1/escalation/DR drills и поддерживать резервный контакт;</w:t>
      </w:r>
    </w:p>
    <w:p>
      <w:pPr>
        <w:pStyle w:val="ListBullet"/>
      </w:pPr>
      <w:r>
        <w:rPr>
          <w:b w:val="0"/>
        </w:rPr>
        <w:t>оплачивать Услуги и дополнительные работы.</w:t>
      </w:r>
    </w:p>
    <w:p>
      <w:r>
        <w:rPr>
          <w:b w:val="0"/>
        </w:rPr>
        <w:t>Ожидание доступа, решения Заказчика или третьего поставщика исключается из SLA и фиксируется в заявке.</w:t>
      </w:r>
    </w:p>
    <w:p>
      <w:pPr>
        <w:pStyle w:val="Heading1"/>
      </w:pPr>
      <w:r>
        <w:t>6. Цена и расчёты</w:t>
      </w:r>
    </w:p>
    <w:p>
      <w:r>
        <w:rPr>
          <w:b w:val="0"/>
        </w:rPr>
        <w:t>6.1. Цена, onboarding, лимиты и pass-through расходы указаны в Order Form. Подписка и onboarding оплачиваются авансом.</w:t>
      </w:r>
    </w:p>
    <w:p>
      <w:r>
        <w:rPr>
          <w:b w:val="0"/>
        </w:rPr>
        <w:t>В Order Form указываются налоговый статус Исполнителя, ставка/основание неприменения НДС, включён ли НДС в цену, и итог к оплате. Изменение налогового статуса и цены оформляется письменно; УСН сама по себе не означает отсутствие НДС.</w:t>
      </w:r>
    </w:p>
    <w:p>
      <w:r>
        <w:rPr>
          <w:b w:val="0"/>
        </w:rPr>
        <w:t>6.2. Сверхлимит — от 3 500 ₽/ч. Вне подписанного окна — коэффициент 2, минимум 2 часа, если конкретные часы не включены в Order Form. Оценка согласуется до начала, кроме заранее разрешённых P1-действий.</w:t>
      </w:r>
    </w:p>
    <w:p>
      <w:r>
        <w:rPr>
          <w:b w:val="0"/>
        </w:rPr>
        <w:t>6.3. Лицензии, storage, облачные ресурсы, выезды, миграции, новые системы и накопленный technical debt оплачиваются отдельно.</w:t>
      </w:r>
    </w:p>
    <w:p>
      <w:r>
        <w:rPr>
          <w:b w:val="0"/>
        </w:rPr>
        <w:t>6.4. При просрочке более 10 дней Услуги могут быть приостановлены после уведомления за 3 рабочих дня; SLA не действует.</w:t>
      </w:r>
    </w:p>
    <w:p>
      <w:r>
        <w:rPr>
          <w:b w:val="0"/>
        </w:rPr>
        <w:t>6.5. Цена пересматривается не чаще раза в 12 месяцев с уведомлением за 30 дней. Для Gold изменение состава (SIEM/DR) и pass-through расходы оформляются дополнительным соглашением.</w:t>
      </w:r>
    </w:p>
    <w:p>
      <w:pPr>
        <w:pStyle w:val="Heading1"/>
      </w:pPr>
      <w:r>
        <w:t>7. Приёмка</w:t>
      </w:r>
    </w:p>
    <w:p>
      <w:r>
        <w:rPr>
          <w:b w:val="0"/>
        </w:rPr>
        <w:t>7.1. До 5-го рабочего дня следующего месяца Исполнитель направляет акт и отчёт.</w:t>
      </w:r>
    </w:p>
    <w:p>
      <w:r>
        <w:rPr>
          <w:b w:val="0"/>
        </w:rPr>
        <w:t>7.2. Заказчик в течение 5 рабочих дней подписывает акт либо направляет мотивированные замечания со ссылкой на заявку, Периметр или SLA.</w:t>
      </w:r>
    </w:p>
    <w:p>
      <w:r>
        <w:rPr>
          <w:b w:val="0"/>
        </w:rPr>
        <w:t>7.3. Молчание не отменяет обязательные требования закона к первичным документам. Формат ЭДО определяется реквизитами Сторон.</w:t>
      </w:r>
    </w:p>
    <w:p>
      <w:pPr>
        <w:pStyle w:val="Heading1"/>
      </w:pPr>
      <w:r>
        <w:t>8. Доступ и безопасность</w:t>
      </w:r>
    </w:p>
    <w:p>
      <w:r>
        <w:rPr>
          <w:b w:val="0"/>
        </w:rPr>
        <w:t>8.1. Доступы персональны и минимальны. Общие пароли — исключение с планом замены.</w:t>
      </w:r>
    </w:p>
    <w:p>
      <w:r>
        <w:rPr>
          <w:b w:val="0"/>
        </w:rPr>
        <w:t>8.2. Production-секреты запрещено передавать через email, публичные ссылки, Kaiten и Git.</w:t>
      </w:r>
    </w:p>
    <w:p>
      <w:r>
        <w:rPr>
          <w:b w:val="0"/>
        </w:rPr>
        <w:t>8.3. Заказчик сохраняет владельца root/domain/cloud account; Исполнитель не является единственным держателем recovery keys.</w:t>
      </w:r>
    </w:p>
    <w:p>
      <w:r>
        <w:rPr>
          <w:b w:val="0"/>
        </w:rPr>
        <w:t>8.4. Технические меры не являются гарантией соответствия 152-ФЗ или отсутствия инцидентов.</w:t>
      </w:r>
    </w:p>
    <w:p>
      <w:r>
        <w:rPr>
          <w:b w:val="0"/>
        </w:rPr>
        <w:t>8.5. Активное сканирование и проверка утечек — только по письменному разрешению с адресами, временем и ограничениями.</w:t>
      </w:r>
    </w:p>
    <w:p>
      <w:r>
        <w:rPr>
          <w:b w:val="0"/>
        </w:rPr>
        <w:t>8.6. Дополнительные специалисты Gold получают доступ только после проверки компетенций, NDA/DPA, обучения, назначения минимальных ролей и регистрации в access matrix.</w:t>
      </w:r>
    </w:p>
    <w:p>
      <w:pPr>
        <w:pStyle w:val="Heading1"/>
      </w:pPr>
      <w:r>
        <w:t>9. Резервное копирование и восстановление</w:t>
      </w:r>
    </w:p>
    <w:p>
      <w:r>
        <w:rPr>
          <w:b w:val="0"/>
        </w:rPr>
        <w:t>9.1. Данные, частота, retention, шифрование, storage и ответственные указываются в Периметре.</w:t>
      </w:r>
    </w:p>
    <w:p>
      <w:r>
        <w:rPr>
          <w:b w:val="0"/>
        </w:rPr>
        <w:t>9.2. Успешный backup job не доказывает восстановление. Evidence содержит дату, target, объём, результат и измеренное время.</w:t>
      </w:r>
    </w:p>
    <w:p>
      <w:r>
        <w:rPr>
          <w:b w:val="0"/>
        </w:rPr>
        <w:t>9.3. До успешного restore-теста RPO/RTO — проектные цели. После существенного изменения тест повторяется.</w:t>
      </w:r>
    </w:p>
    <w:p>
      <w:r>
        <w:rPr>
          <w:b w:val="0"/>
        </w:rPr>
        <w:t>9.4. Исключённые данные, неизвестные источники и недоступность storage/ключей вне контроля Исполнителя не покрываются.</w:t>
      </w:r>
    </w:p>
    <w:p>
      <w:r>
        <w:rPr>
          <w:b w:val="0"/>
        </w:rPr>
        <w:t>9.5. Для Gold расширенный контур (SIEM, DR) подключается после clean-room restore согласованного критичного сценария и фиксации rollback.</w:t>
      </w:r>
    </w:p>
    <w:p>
      <w:pPr>
        <w:pStyle w:val="Heading1"/>
      </w:pPr>
      <w:r>
        <w:t>10. SLA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fill="DCE6F1"/>
          </w:tcPr>
          <w:p>
            <w:r>
              <w:rPr>
                <w:rFonts w:ascii="Arial" w:hAnsi="Arial"/>
                <w:b/>
                <w:sz w:val="17"/>
              </w:rPr>
              <w:t>Приоритет</w:t>
            </w:r>
          </w:p>
        </w:tc>
        <w:tc>
          <w:tcPr>
            <w:tcW w:type="dxa" w:w="1995"/>
            <w:shd w:fill="DCE6F1"/>
          </w:tcPr>
          <w:p>
            <w:r>
              <w:rPr>
                <w:rFonts w:ascii="Arial" w:hAnsi="Arial"/>
                <w:b/>
                <w:sz w:val="17"/>
              </w:rPr>
              <w:t>Критерий</w:t>
            </w:r>
          </w:p>
        </w:tc>
        <w:tc>
          <w:tcPr>
            <w:tcW w:type="dxa" w:w="1995"/>
            <w:shd w:fill="DCE6F1"/>
          </w:tcPr>
          <w:p>
            <w:r>
              <w:rPr>
                <w:rFonts w:ascii="Arial" w:hAnsi="Arial"/>
                <w:b/>
                <w:sz w:val="17"/>
              </w:rPr>
              <w:t>Bronze</w:t>
            </w:r>
          </w:p>
        </w:tc>
        <w:tc>
          <w:tcPr>
            <w:tcW w:type="dxa" w:w="1995"/>
            <w:shd w:fill="DCE6F1"/>
          </w:tcPr>
          <w:p>
            <w:r>
              <w:rPr>
                <w:rFonts w:ascii="Arial" w:hAnsi="Arial"/>
                <w:b/>
                <w:sz w:val="17"/>
              </w:rPr>
              <w:t>Silver</w:t>
            </w:r>
          </w:p>
        </w:tc>
        <w:tc>
          <w:tcPr>
            <w:tcW w:type="dxa" w:w="1995"/>
            <w:shd w:fill="DCE6F1"/>
          </w:tcPr>
          <w:p>
            <w:r>
              <w:rPr>
                <w:rFonts w:ascii="Arial" w:hAnsi="Arial"/>
                <w:b/>
                <w:sz w:val="17"/>
              </w:rPr>
              <w:t>Gold</w:t>
            </w:r>
          </w:p>
        </w:tc>
      </w:tr>
      <w:tr>
        <w:tc>
          <w:tcPr>
            <w:tcW w:type="dxa" w:w="1995"/>
          </w:tcPr>
          <w:p>
            <w:r>
              <w:rPr>
                <w:rFonts w:ascii="Arial" w:hAnsi="Arial"/>
                <w:b w:val="0"/>
                <w:sz w:val="17"/>
              </w:rPr>
              <w:t>P1</w:t>
            </w:r>
          </w:p>
        </w:tc>
        <w:tc>
          <w:tcPr>
            <w:tcW w:type="dxa" w:w="1995"/>
          </w:tcPr>
          <w:p>
            <w:r>
              <w:rPr>
                <w:rFonts w:ascii="Arial" w:hAnsi="Arial"/>
                <w:b w:val="0"/>
                <w:sz w:val="17"/>
              </w:rPr>
              <w:t>недоступна подписанная критичная система или подтверждён критичный ИБ-инцидент</w:t>
            </w:r>
          </w:p>
        </w:tc>
        <w:tc>
          <w:tcPr>
            <w:tcW w:type="dxa" w:w="1995"/>
          </w:tcPr>
          <w:p>
            <w:r>
              <w:rPr>
                <w:rFonts w:ascii="Arial" w:hAnsi="Arial"/>
                <w:b w:val="0"/>
                <w:sz w:val="17"/>
              </w:rPr>
              <w:t>до 4 рабочих часов</w:t>
            </w:r>
          </w:p>
        </w:tc>
        <w:tc>
          <w:tcPr>
            <w:tcW w:type="dxa" w:w="1995"/>
          </w:tcPr>
          <w:p>
            <w:r>
              <w:rPr>
                <w:rFonts w:ascii="Arial" w:hAnsi="Arial"/>
                <w:b w:val="0"/>
                <w:sz w:val="17"/>
              </w:rPr>
              <w:t>до 2 рабочих часов</w:t>
            </w:r>
          </w:p>
        </w:tc>
        <w:tc>
          <w:tcPr>
            <w:tcW w:type="dxa" w:w="1995"/>
          </w:tcPr>
          <w:p>
            <w:r>
              <w:rPr>
                <w:rFonts w:ascii="Arial" w:hAnsi="Arial"/>
                <w:b w:val="0"/>
                <w:sz w:val="17"/>
              </w:rPr>
              <w:t>до 1 часа в подписанное окно покрытия</w:t>
            </w:r>
          </w:p>
        </w:tc>
      </w:tr>
      <w:tr>
        <w:tc>
          <w:tcPr>
            <w:tcW w:type="dxa" w:w="1995"/>
          </w:tcPr>
          <w:p>
            <w:r>
              <w:rPr>
                <w:rFonts w:ascii="Arial" w:hAnsi="Arial"/>
                <w:b w:val="0"/>
                <w:sz w:val="17"/>
              </w:rPr>
              <w:t>P2</w:t>
            </w:r>
          </w:p>
        </w:tc>
        <w:tc>
          <w:tcPr>
            <w:tcW w:type="dxa" w:w="1995"/>
          </w:tcPr>
          <w:p>
            <w:r>
              <w:rPr>
                <w:rFonts w:ascii="Arial" w:hAnsi="Arial"/>
                <w:b w:val="0"/>
                <w:sz w:val="17"/>
              </w:rPr>
              <w:t>деградация, отказ некритичного объекта, backup risk без выхода за RPO</w:t>
            </w:r>
          </w:p>
        </w:tc>
        <w:tc>
          <w:tcPr>
            <w:tcW w:type="dxa" w:w="1995"/>
          </w:tcPr>
          <w:p>
            <w:r>
              <w:rPr>
                <w:rFonts w:ascii="Arial" w:hAnsi="Arial"/>
                <w:b w:val="0"/>
                <w:sz w:val="17"/>
              </w:rPr>
              <w:t>следующий рабочий день</w:t>
            </w:r>
          </w:p>
        </w:tc>
        <w:tc>
          <w:tcPr>
            <w:tcW w:type="dxa" w:w="1995"/>
          </w:tcPr>
          <w:p>
            <w:r>
              <w:rPr>
                <w:rFonts w:ascii="Arial" w:hAnsi="Arial"/>
                <w:b w:val="0"/>
                <w:sz w:val="17"/>
              </w:rPr>
              <w:t>до 8 рабочих часов</w:t>
            </w:r>
          </w:p>
        </w:tc>
        <w:tc>
          <w:tcPr>
            <w:tcW w:type="dxa" w:w="1995"/>
          </w:tcPr>
          <w:p>
            <w:r>
              <w:rPr>
                <w:rFonts w:ascii="Arial" w:hAnsi="Arial"/>
                <w:b w:val="0"/>
                <w:sz w:val="17"/>
              </w:rPr>
              <w:t>до 4 часов в окно покрытия</w:t>
            </w:r>
          </w:p>
        </w:tc>
      </w:tr>
      <w:tr>
        <w:tc>
          <w:tcPr>
            <w:tcW w:type="dxa" w:w="1995"/>
          </w:tcPr>
          <w:p>
            <w:r>
              <w:rPr>
                <w:rFonts w:ascii="Arial" w:hAnsi="Arial"/>
                <w:b w:val="0"/>
                <w:sz w:val="17"/>
              </w:rPr>
              <w:t>P3</w:t>
            </w:r>
          </w:p>
        </w:tc>
        <w:tc>
          <w:tcPr>
            <w:tcW w:type="dxa" w:w="1995"/>
          </w:tcPr>
          <w:p>
            <w:r>
              <w:rPr>
                <w:rFonts w:ascii="Arial" w:hAnsi="Arial"/>
                <w:b w:val="0"/>
                <w:sz w:val="17"/>
              </w:rPr>
              <w:t>консультация, плановая настройка, некритичный запрос</w:t>
            </w:r>
          </w:p>
        </w:tc>
        <w:tc>
          <w:tcPr>
            <w:tcW w:type="dxa" w:w="1995"/>
          </w:tcPr>
          <w:p>
            <w:r>
              <w:rPr>
                <w:rFonts w:ascii="Arial" w:hAnsi="Arial"/>
                <w:b w:val="0"/>
                <w:sz w:val="17"/>
              </w:rPr>
              <w:t>до 3 рабочих дней</w:t>
            </w:r>
          </w:p>
        </w:tc>
        <w:tc>
          <w:tcPr>
            <w:tcW w:type="dxa" w:w="1995"/>
          </w:tcPr>
          <w:p>
            <w:r>
              <w:rPr>
                <w:rFonts w:ascii="Arial" w:hAnsi="Arial"/>
                <w:b w:val="0"/>
                <w:sz w:val="17"/>
              </w:rPr>
              <w:t>до 2 рабочих дней</w:t>
            </w:r>
          </w:p>
        </w:tc>
        <w:tc>
          <w:tcPr>
            <w:tcW w:type="dxa" w:w="1995"/>
          </w:tcPr>
          <w:p>
            <w:r>
              <w:rPr>
                <w:rFonts w:ascii="Arial" w:hAnsi="Arial"/>
                <w:b w:val="0"/>
                <w:sz w:val="17"/>
              </w:rPr>
              <w:t>до 1 рабочего дня</w:t>
            </w:r>
          </w:p>
        </w:tc>
      </w:tr>
    </w:tbl>
    <w:p>
      <w:r>
        <w:rPr>
          <w:b w:val="0"/>
        </w:rPr>
        <w:t>10.1. Приоритет зависит от фактов и критичности объекта в Периметре.</w:t>
      </w:r>
    </w:p>
    <w:p>
      <w:r>
        <w:rPr>
          <w:b w:val="0"/>
        </w:rPr>
        <w:t>10.2. Таймер начинается с регистрации alert/заявки и действует в подписанное окно. Для Gold круглосуточное окно применяется только если это прямо указано в Order Form.</w:t>
      </w:r>
    </w:p>
    <w:p>
      <w:r>
        <w:rPr>
          <w:b w:val="0"/>
        </w:rPr>
        <w:t>10.3. Таймер приостанавливается при ожидании доступа, решения, окна Заказчика или ответа поставщика.</w:t>
      </w:r>
    </w:p>
    <w:p>
      <w:r>
        <w:rPr>
          <w:b w:val="0"/>
        </w:rPr>
        <w:t>10.4. Время восстановления не гарантируется при зависимости от оборудования, лицензий, поставщика, объёма данных или решения Заказчика. RTO фиксируется после теста.</w:t>
      </w:r>
    </w:p>
    <w:p>
      <w:r>
        <w:rPr>
          <w:b w:val="0"/>
        </w:rPr>
        <w:t>10.5. За подтверждённое нарушение реакции предоставляется service credit 5% месячной платы по затронутой услуге за эпизод, максимум 15% за месяц, если Order Form не устанавливает иной размер. Запрос — в течение 30 дней; credit применяется к следующему счёту. При прекращении договора подтверждённый credit учитывается в итоговом расчёте.</w:t>
      </w:r>
    </w:p>
    <w:p>
      <w:r>
        <w:rPr>
          <w:b w:val="0"/>
        </w:rPr>
        <w:t>10.6. Для Gold состав status updates, escalation ladder, postmortem и backup responder указываются в Order Form. Отсутствие конкретного параметра означает, что он не обещан.</w:t>
      </w:r>
    </w:p>
    <w:p>
      <w:pPr>
        <w:pStyle w:val="Heading1"/>
      </w:pPr>
      <w:r>
        <w:t>11. Конфиденциальность и интеллектуальные права</w:t>
      </w:r>
    </w:p>
    <w:p>
      <w:r>
        <w:rPr>
          <w:b w:val="0"/>
        </w:rPr>
        <w:t>11.1. Конфиденциальны непубличные технические, коммерческие и организационные сведения, явно обозначенные либо очевидно имеющие такой характер.</w:t>
      </w:r>
    </w:p>
    <w:p>
      <w:r>
        <w:rPr>
          <w:b w:val="0"/>
        </w:rPr>
        <w:t>11.2. Исключения: законно известные ранее, независимо разработанные, общедоступные сведения и обязательное раскрытие по закону.</w:t>
      </w:r>
    </w:p>
    <w:p>
      <w:r>
        <w:rPr>
          <w:b w:val="0"/>
        </w:rPr>
        <w:t>11.3. Срок — договор плюс 3 года; для ПДн и секретов — пока требует закон или сохраняется чувствительность.</w:t>
      </w:r>
    </w:p>
    <w:p>
      <w:r>
        <w:rPr>
          <w:b w:val="0"/>
        </w:rPr>
        <w:t>11.4. Данные Заказчика остаются у Заказчика. Предсуществующие универсальные scripts, templates и know-how остаются у Исполнителя; Заказчик использует переданные результаты для своей деятельности.</w:t>
      </w:r>
    </w:p>
    <w:p>
      <w:r>
        <w:rPr>
          <w:b w:val="0"/>
        </w:rPr>
        <w:t>11.5. Название, логотип и идентифицируемый кейс публикуются только с отдельного согласия.</w:t>
      </w:r>
    </w:p>
    <w:p>
      <w:pPr>
        <w:pStyle w:val="Heading1"/>
      </w:pPr>
      <w:r>
        <w:t>12. Персональные данные</w:t>
      </w:r>
    </w:p>
    <w:p>
      <w:r>
        <w:rPr>
          <w:b w:val="0"/>
        </w:rPr>
        <w:t>12.1. Заказчик — оператор ПДн; Исполнитель обрабатывает ПДн только по документированному поручению Приложения 3.</w:t>
      </w:r>
    </w:p>
    <w:p>
      <w:r>
        <w:rPr>
          <w:b w:val="0"/>
        </w:rPr>
        <w:t>12.2. Заказчик определяет основания, состав, меры, локализацию и сроки, не передаёт лишние ПДн.</w:t>
      </w:r>
    </w:p>
    <w:p>
      <w:r>
        <w:rPr>
          <w:b w:val="0"/>
        </w:rPr>
        <w:t>12.3. Исполнитель применяет согласованные меры и уведомляет о подтверждённом инциденте без необоснованной задержки.</w:t>
      </w:r>
    </w:p>
    <w:p>
      <w:r>
        <w:rPr>
          <w:b w:val="0"/>
        </w:rPr>
        <w:t>При выявлении нарушения безопасности ПДн Исполнитель передаёт первичное уведомление уполномоченному контакту Заказчика не позднее 2 часов с момента выявления, не ожидая полного расследования: время, затронутые системы/данные, известные последствия, меры и ответственный. Далее уточняет сведения по мере появления; порядок взаимодействия должен позволять оператору исполнить применимые сроки уведомления Роскомнадзора. Расследование и уведомление не откладываются до postmortem.</w:t>
      </w:r>
    </w:p>
    <w:p>
      <w:r>
        <w:rPr>
          <w:b w:val="0"/>
        </w:rPr>
        <w:t>12.4. Запросы субъектов и регулятора обрабатывает Заказчик, если иное не установлено законом или поручением.</w:t>
      </w:r>
    </w:p>
    <w:p>
      <w:r>
        <w:rPr>
          <w:b w:val="0"/>
        </w:rPr>
        <w:t>12.5. Для Gold в DPA перечисляются все дополнительные специалисты и субобработчики, способные получить доступ к ПДн.</w:t>
      </w:r>
    </w:p>
    <w:p>
      <w:pPr>
        <w:pStyle w:val="Heading1"/>
      </w:pPr>
      <w:r>
        <w:t>13. Ответственность</w:t>
      </w:r>
    </w:p>
    <w:p>
      <w:r>
        <w:rPr>
          <w:b w:val="0"/>
        </w:rPr>
        <w:t>13.1. Возмещается документально подтверждённый прямой реальный ущерб.</w:t>
      </w:r>
    </w:p>
    <w:p>
      <w:r>
        <w:rPr>
          <w:b w:val="0"/>
        </w:rPr>
        <w:t>13.2. Если императивная норма не требует иного, ответственность Исполнителя ограничена платежами за последние 3 месяца по соответствующей услуге.</w:t>
      </w:r>
    </w:p>
    <w:p>
      <w:r>
        <w:rPr>
          <w:b w:val="0"/>
        </w:rPr>
        <w:t>13.3. Ограничение не применяется к умыслу, неправомерному использованию конфиденциальной информации и случаям запрета законом.</w:t>
      </w:r>
    </w:p>
    <w:p>
      <w:r>
        <w:rPr>
          <w:b w:val="0"/>
        </w:rPr>
        <w:t>13.4. Упущенная выгода, косвенные убытки и действия третьих поставщиков не возмещаются в допустимой законом мере.</w:t>
      </w:r>
    </w:p>
    <w:p>
      <w:r>
        <w:rPr>
          <w:b w:val="0"/>
        </w:rPr>
        <w:t>13.5. Service credit не суммируется с компенсацией одного и того же ущерба.</w:t>
      </w:r>
    </w:p>
    <w:p>
      <w:r>
        <w:rPr>
          <w:b w:val="0"/>
        </w:rPr>
        <w:t>13.6. Стороны разумно уменьшают последствия и своевременно уведомляют друг друга.</w:t>
      </w:r>
    </w:p>
    <w:p>
      <w:pPr>
        <w:pStyle w:val="Heading1"/>
      </w:pPr>
      <w:r>
        <w:t>14. Форс-мажор</w:t>
      </w:r>
    </w:p>
    <w:p>
      <w:r>
        <w:rPr>
          <w:b w:val="0"/>
        </w:rPr>
        <w:t>Освобождение действует для чрезвычайных и непредотвратимых обстоятельств при уведомлении и причинной связи. Недостаток денег, обычный отказ подрядчика или отсутствие персонала сами по себе не являются форс-мажором. Для Gold отсутствие заранее предусмотренного замещения является риском Исполнителя, а не форс-мажором.</w:t>
      </w:r>
    </w:p>
    <w:p>
      <w:pPr>
        <w:pStyle w:val="Heading1"/>
      </w:pPr>
      <w:r>
        <w:t>15. Срок, расторжение и offboarding</w:t>
      </w:r>
    </w:p>
    <w:p>
      <w:r>
        <w:rPr>
          <w:b w:val="0"/>
        </w:rPr>
        <w:t>15.1. Договор действует с [ДАТА] и продлевается помесячно, если Order Form не определяет срок.</w:t>
      </w:r>
    </w:p>
    <w:p>
      <w:r>
        <w:rPr>
          <w:b w:val="0"/>
        </w:rPr>
        <w:t>15.2. Отказ — с уведомлением за 30 дней, с оплатой фактически оказанных услуг и согласованных расходов.</w:t>
      </w:r>
    </w:p>
    <w:p>
      <w:r>
        <w:rPr>
          <w:b w:val="0"/>
        </w:rPr>
        <w:t>15.3. Существенное нарушение устраняется за 10 рабочих дней, если это возможно. При незаконном требовании, компрометации или угрозе безопасности доступ может быть ограничен немедленно.</w:t>
      </w:r>
    </w:p>
    <w:p>
      <w:r>
        <w:rPr>
          <w:b w:val="0"/>
        </w:rPr>
        <w:t>15.4. Offboarding включает inventory, документацию, доступные конфигурации, список доступов, согласованные backup-артефакты и акт передачи.</w:t>
      </w:r>
    </w:p>
    <w:p>
      <w:r>
        <w:rPr>
          <w:b w:val="0"/>
        </w:rPr>
        <w:t>15.5. После передачи доступ Исполнителя и привлечённых специалистов отзывается; данные удаляются в срок [СРОК], кроме обязательного хранения и backup до окончания retention.</w:t>
      </w:r>
    </w:p>
    <w:p>
      <w:pPr>
        <w:pStyle w:val="Heading1"/>
      </w:pPr>
      <w:r>
        <w:t>16. Сообщения и споры</w:t>
      </w:r>
    </w:p>
    <w:p>
      <w:r>
        <w:rPr>
          <w:b w:val="0"/>
        </w:rPr>
        <w:t>16.1. Оперативные сообщения — Kaiten, email и MAX по Order Form. Цена, Периметр, срок и реквизиты меняются подписанным документом/ЭДО.</w:t>
      </w:r>
    </w:p>
    <w:p>
      <w:r>
        <w:rPr>
          <w:b w:val="0"/>
        </w:rPr>
        <w:t>16.2. Применяется право РФ. Претензионный срок ответа — 15 рабочих дней.</w:t>
      </w:r>
    </w:p>
    <w:p>
      <w:r>
        <w:rPr>
          <w:b w:val="0"/>
        </w:rPr>
        <w:t>16.3. Подсудность определяется процессуальным законодательством либо допустимым согласованным условием после юридической проверки.</w:t>
      </w:r>
    </w:p>
    <w:p>
      <w:pPr>
        <w:pStyle w:val="Heading1"/>
      </w:pPr>
      <w:r>
        <w:t>17. Прочие условия</w:t>
      </w:r>
    </w:p>
    <w:p>
      <w:r>
        <w:rPr>
          <w:b w:val="0"/>
        </w:rPr>
        <w:t>Приоритет: подписанное допсоглашение → Order Form → Gold capacity approval → Периметр/DPA → настоящий текст → публичные материалы. Недействительность одного условия не затрагивает остальные.</w:t>
      </w:r>
    </w:p>
    <w:p>
      <w:pPr>
        <w:pStyle w:val="Heading1"/>
      </w:pPr>
      <w:r>
        <w:t>18. Реквизиты и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CE6F1"/>
          </w:tcPr>
          <w:p>
            <w:r>
              <w:rPr>
                <w:rFonts w:ascii="Arial" w:hAnsi="Arial"/>
                <w:b/>
                <w:sz w:val="17"/>
              </w:rPr>
              <w:t>Исполнитель</w:t>
            </w:r>
          </w:p>
        </w:tc>
        <w:tc>
          <w:tcPr>
            <w:tcW w:type="dxa" w:w="4986"/>
            <w:shd w:fill="DCE6F1"/>
          </w:tcPr>
          <w:p>
            <w:r>
              <w:rPr>
                <w:rFonts w:ascii="Arial" w:hAnsi="Arial"/>
                <w:b/>
                <w:sz w:val="17"/>
              </w:rPr>
              <w:t>Заказчик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[ФИО/наименование, ИНН, ОГРН/ОГРНИП, адрес, банк, email]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[Наименование, ИНН/КПП, ОГРН, адрес, банк, email]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Подпись: ______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Подпись: ______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ПРИЛОЖЕНИЕ 1. ORDER FORM: ТАРИФ И SLA</w:t>
      </w:r>
    </w:p>
    <w:p>
      <w:r>
        <w:rPr>
          <w:b w:val="0"/>
        </w:rPr>
        <w:t>Выбранный пакет: [BRONZE PILOT / SILVER MANAGED / GOLD ON DEMAND].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CE6F1"/>
          </w:tcPr>
          <w:p>
            <w:r>
              <w:rPr>
                <w:rFonts w:ascii="Arial" w:hAnsi="Arial"/>
                <w:b/>
                <w:sz w:val="17"/>
              </w:rPr>
              <w:t>Параметр</w:t>
            </w:r>
          </w:p>
        </w:tc>
        <w:tc>
          <w:tcPr>
            <w:tcW w:type="dxa" w:w="4986"/>
            <w:shd w:fill="DCE6F1"/>
          </w:tcPr>
          <w:p>
            <w:r>
              <w:rPr>
                <w:rFonts w:ascii="Arial" w:hAnsi="Arial"/>
                <w:b/>
                <w:sz w:val="17"/>
              </w:rPr>
              <w:t>Согласованное значение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Абонентская плата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 ] ₽/мес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Налоговый статус, НДС и итог к оплате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[ставка/основание, включён/сверху, итог]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Onboarding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 ] ₽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Рабочее окно/часовой пояс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Инженерное время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 ] ч/мес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Service management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 ] ч/мес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Сверхлимит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 ] ₽/ч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Вне окна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[коэффициент/минимум]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Отчётность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Начало SLA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после acceptance [дата/акт]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Скидка, основание и срок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[нет/значение]</w:t>
            </w:r>
          </w:p>
        </w:tc>
      </w:tr>
    </w:tbl>
    <w:p>
      <w:pPr>
        <w:pStyle w:val="Heading1"/>
      </w:pPr>
      <w:r>
        <w:t>Gold — расширенный состав (заполнить для Gold)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CE6F1"/>
          </w:tcPr>
          <w:p>
            <w:r>
              <w:rPr>
                <w:rFonts w:ascii="Arial" w:hAnsi="Arial"/>
                <w:b/>
                <w:sz w:val="17"/>
              </w:rPr>
              <w:t>Пункт</w:t>
            </w:r>
          </w:p>
        </w:tc>
        <w:tc>
          <w:tcPr>
            <w:tcW w:type="dxa" w:w="4986"/>
            <w:shd w:fill="DCE6F1"/>
          </w:tcPr>
          <w:p>
            <w:r>
              <w:rPr>
                <w:rFonts w:ascii="Arial" w:hAnsi="Arial"/>
                <w:b/>
                <w:sz w:val="17"/>
              </w:rPr>
              <w:t>Значение/evidence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Владелец услуги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Основные responder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[минимум 2]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Участники 24/7 ротации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[график по часам, оплаченная доступность, отпуска/болезни, замещение; число людей обосновано расчётом]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Backup responder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Договоры/NDA/DPA и access matrix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График покрытия и handover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P1 и escalation drill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[дата/evidence]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Clean-room restore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[дата/RTO/RPO]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Юридический review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[дата/юрист]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Contribution margin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[не ниже 50%]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Дата письменного approval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</w:tr>
    </w:tbl>
    <w:p>
      <w:r>
        <w:rPr>
          <w:b w:val="0"/>
        </w:rPr>
        <w:t>Строки блока фиксируются в Order Form при подключении Gold.</w:t>
      </w:r>
    </w:p>
    <w:p>
      <w:r>
        <w:rPr>
          <w:b w:val="0"/>
        </w:rPr>
        <w:t>Уполномоченные контакты и каналы: [ ].</w:t>
      </w:r>
    </w:p>
    <w:p>
      <w:r>
        <w:br w:type="page"/>
      </w:r>
    </w:p>
    <w:p>
      <w:pPr>
        <w:pStyle w:val="Title"/>
        <w:jc w:val="center"/>
      </w:pPr>
      <w:r>
        <w:t>ПРИЛОЖЕНИЕ 2. ПЕРИМЕТР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fill="DCE6F1"/>
          </w:tcPr>
          <w:p>
            <w:r>
              <w:rPr>
                <w:rFonts w:ascii="Arial" w:hAnsi="Arial"/>
                <w:b/>
                <w:sz w:val="17"/>
              </w:rPr>
              <w:t>Объект/ID</w:t>
            </w:r>
          </w:p>
        </w:tc>
        <w:tc>
          <w:tcPr>
            <w:tcW w:type="dxa" w:w="1247"/>
            <w:shd w:fill="DCE6F1"/>
          </w:tcPr>
          <w:p>
            <w:r>
              <w:rPr>
                <w:rFonts w:ascii="Arial" w:hAnsi="Arial"/>
                <w:b/>
                <w:sz w:val="17"/>
              </w:rPr>
              <w:t>Владелец</w:t>
            </w:r>
          </w:p>
        </w:tc>
        <w:tc>
          <w:tcPr>
            <w:tcW w:type="dxa" w:w="1247"/>
            <w:shd w:fill="DCE6F1"/>
          </w:tcPr>
          <w:p>
            <w:r>
              <w:rPr>
                <w:rFonts w:ascii="Arial" w:hAnsi="Arial"/>
                <w:b/>
                <w:sz w:val="17"/>
              </w:rPr>
              <w:t>Критичность</w:t>
            </w:r>
          </w:p>
        </w:tc>
        <w:tc>
          <w:tcPr>
            <w:tcW w:type="dxa" w:w="1247"/>
            <w:shd w:fill="DCE6F1"/>
          </w:tcPr>
          <w:p>
            <w:r>
              <w:rPr>
                <w:rFonts w:ascii="Arial" w:hAnsi="Arial"/>
                <w:b/>
                <w:sz w:val="17"/>
              </w:rPr>
              <w:t>Monitoring</w:t>
            </w:r>
          </w:p>
        </w:tc>
        <w:tc>
          <w:tcPr>
            <w:tcW w:type="dxa" w:w="1247"/>
            <w:shd w:fill="DCE6F1"/>
          </w:tcPr>
          <w:p>
            <w:r>
              <w:rPr>
                <w:rFonts w:ascii="Arial" w:hAnsi="Arial"/>
                <w:b/>
                <w:sz w:val="17"/>
              </w:rPr>
              <w:t>Backup source/target</w:t>
            </w:r>
          </w:p>
        </w:tc>
        <w:tc>
          <w:tcPr>
            <w:tcW w:type="dxa" w:w="1247"/>
            <w:shd w:fill="DCE6F1"/>
          </w:tcPr>
          <w:p>
            <w:r>
              <w:rPr>
                <w:rFonts w:ascii="Arial" w:hAnsi="Arial"/>
                <w:b/>
                <w:sz w:val="17"/>
              </w:rPr>
              <w:t>RPO target</w:t>
            </w:r>
          </w:p>
        </w:tc>
        <w:tc>
          <w:tcPr>
            <w:tcW w:type="dxa" w:w="1247"/>
            <w:shd w:fill="DCE6F1"/>
          </w:tcPr>
          <w:p>
            <w:r>
              <w:rPr>
                <w:rFonts w:ascii="Arial" w:hAnsi="Arial"/>
                <w:b/>
                <w:sz w:val="17"/>
              </w:rPr>
              <w:t>RTO target/test</w:t>
            </w:r>
          </w:p>
        </w:tc>
        <w:tc>
          <w:tcPr>
            <w:tcW w:type="dxa" w:w="1247"/>
            <w:shd w:fill="DCE6F1"/>
          </w:tcPr>
          <w:p>
            <w:r>
              <w:rPr>
                <w:rFonts w:ascii="Arial" w:hAnsi="Arial"/>
                <w:b/>
                <w:sz w:val="17"/>
              </w:rPr>
              <w:t>Разрешённые действия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b w:val="0"/>
                <w:sz w:val="17"/>
              </w:rPr>
              <w:t>[P1/P2/P3]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</w:tr>
    </w:tbl>
    <w:p>
      <w:r>
        <w:rPr>
          <w:b w:val="0"/>
        </w:rPr>
        <w:t>Исключения/риски: [ ]. Окно изменений: [ ]. Rollback owner: [ ].</w:t>
      </w:r>
    </w:p>
    <w:p>
      <w:r>
        <w:br w:type="page"/>
      </w:r>
    </w:p>
    <w:p>
      <w:pPr>
        <w:pStyle w:val="Title"/>
        <w:jc w:val="center"/>
      </w:pPr>
      <w:r>
        <w:t>ПРИЛОЖЕНИЕ 3. ПОРУЧЕНИЕ НА ОБРАБОТКУ ПДН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CE6F1"/>
          </w:tcPr>
          <w:p>
            <w:r>
              <w:rPr>
                <w:rFonts w:ascii="Arial" w:hAnsi="Arial"/>
                <w:b/>
                <w:sz w:val="17"/>
              </w:rPr>
              <w:t>Поле</w:t>
            </w:r>
          </w:p>
        </w:tc>
        <w:tc>
          <w:tcPr>
            <w:tcW w:type="dxa" w:w="4986"/>
            <w:shd w:fill="DCE6F1"/>
          </w:tcPr>
          <w:p>
            <w:r>
              <w:rPr>
                <w:rFonts w:ascii="Arial" w:hAnsi="Arial"/>
                <w:b/>
                <w:sz w:val="17"/>
              </w:rPr>
              <w:t>Значение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Цель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техническое сопровождение Периметра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Категории субъектов/ПДн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Операции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доступ, backup, восстановление, удаление: [уточнить]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Основания оператора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Инфраструктура/регион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Субобработчики и специалисты Gold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Срок обработки/удаления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Контакт по инцидентам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</w:tr>
    </w:tbl>
    <w:p>
      <w:r>
        <w:rPr>
          <w:b w:val="0"/>
        </w:rPr>
        <w:t>Обработка — только по инструкциям; меры — конфиденциальность, ограничение доступа, журналирование, защищённая передача и удаление. Новый субобработчик подключается по процедуре [УВЕДОМЛЕНИЕ/СОГЛАСИЕ]. Трансграничная передача — только после отдельного решения Заказчика и выполнения закона.</w:t>
      </w:r>
    </w:p>
    <w:p>
      <w:r>
        <w:br w:type="page"/>
      </w:r>
    </w:p>
    <w:p>
      <w:pPr>
        <w:pStyle w:val="Title"/>
        <w:jc w:val="center"/>
      </w:pPr>
      <w:r>
        <w:t>ПРИЛОЖЕНИЕ 4. ФОРМА АКТА</w:t>
      </w:r>
    </w:p>
    <w:p>
      <w:r>
        <w:rPr>
          <w:b w:val="0"/>
        </w:rPr>
        <w:t>Период: [ ]. Пакет: [ 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CE6F1"/>
          </w:tcPr>
          <w:p>
            <w:r>
              <w:rPr>
                <w:rFonts w:ascii="Arial" w:hAnsi="Arial"/>
                <w:b/>
                <w:sz w:val="17"/>
              </w:rPr>
              <w:t>Результат</w:t>
            </w:r>
          </w:p>
        </w:tc>
        <w:tc>
          <w:tcPr>
            <w:tcW w:type="dxa" w:w="3324"/>
            <w:shd w:fill="DCE6F1"/>
          </w:tcPr>
          <w:p>
            <w:r>
              <w:rPr>
                <w:rFonts w:ascii="Arial" w:hAnsi="Arial"/>
                <w:b/>
                <w:sz w:val="17"/>
              </w:rPr>
              <w:t>Evidence/ссылка</w:t>
            </w:r>
          </w:p>
        </w:tc>
        <w:tc>
          <w:tcPr>
            <w:tcW w:type="dxa" w:w="3324"/>
            <w:shd w:fill="DCE6F1"/>
          </w:tcPr>
          <w:p>
            <w:r>
              <w:rPr>
                <w:rFonts w:ascii="Arial" w:hAnsi="Arial"/>
                <w:b/>
                <w:sz w:val="17"/>
              </w:rPr>
              <w:t>Статус/замечание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sz w:val="17"/>
              </w:rPr>
              <w:t>Monitoring и incidents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sz w:val="17"/>
              </w:rPr>
              <w:t>Backup/restore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sz w:val="17"/>
              </w:rPr>
              <w:t>Changes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sz w:val="17"/>
              </w:rPr>
              <w:t>Отчётность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sz w:val="17"/>
              </w:rPr>
              <w:t>Gold rotation/capacity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sz w:val="17"/>
              </w:rPr>
              <w:t>[если применимо]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sz w:val="17"/>
              </w:rPr>
              <w:t>Дополнительные работы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</w:tr>
    </w:tbl>
    <w:p>
      <w:r>
        <w:rPr>
          <w:b w:val="0"/>
        </w:rPr>
        <w:t>Стоимость: [ ] ₽. Замечания: [ ]. Исполнитель: ______ · Заказчик: ______</w:t>
      </w:r>
    </w:p>
    <w:sectPr w:rsidR="00FC693F" w:rsidRPr="0006063C" w:rsidSect="00034616">
      <w:foot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MSPShield · единый шаблон · требуется юридическая проверка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оказания управляемых IT-услуг MSPShield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