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5ylgkq4kj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WPBC Breast Cancer Prediction Using Enhanced Hybrid ML + DL Pipeline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Based on Base 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BCR-HDL for Breast Cancer Prediction and Prognosis</w:t>
      </w:r>
      <w:r w:rsidDel="00000000" w:rsidR="00000000" w:rsidRPr="00000000">
        <w:rPr>
          <w:rtl w:val="0"/>
        </w:rPr>
        <w:t xml:space="preserve"> (DOI: 10.1007/s42452-025-06512-5)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ih2dwpdtc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Breast cancer prediction and prognosis are critical for early detection and personalized treatment.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 paper (</w:t>
      </w:r>
      <w:r w:rsidDel="00000000" w:rsidR="00000000" w:rsidRPr="00000000">
        <w:rPr>
          <w:i w:val="1"/>
          <w:iCs w:val="1"/>
          <w:rtl w:val="0"/>
        </w:rPr>
        <w:t xml:space="preserve">BCR-HDL</w:t>
      </w:r>
      <w:r w:rsidDel="00000000" w:rsidR="00000000" w:rsidRPr="00000000">
        <w:rPr>
          <w:rtl w:val="0"/>
        </w:rPr>
        <w:t xml:space="preserve">) applies classical ML models (SVM, RF, KNN, Logistic Regression) to WPBC/WDBC datasets but </w:t>
      </w:r>
      <w:r w:rsidDel="00000000" w:rsidR="00000000" w:rsidRPr="00000000">
        <w:rPr>
          <w:b w:val="1"/>
          <w:bCs w:val="1"/>
          <w:rtl w:val="0"/>
        </w:rPr>
        <w:t xml:space="preserve">does not integrate deep learning, hybrid pipelines, resampling, hyperparameter tuning, or explainability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extends the base work with: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DL→ML frameworks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balancing (SMOTE)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hyperparameter tuning (Optuna / AutoML/NAS)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 Dropout for uncertainty estimation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SHAP-based feature interpretability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evaluation via </w:t>
      </w:r>
      <w:r w:rsidDel="00000000" w:rsidR="00000000" w:rsidRPr="00000000">
        <w:rPr>
          <w:b w:val="1"/>
          <w:bCs w:val="1"/>
          <w:rtl w:val="0"/>
        </w:rPr>
        <w:t xml:space="preserve">cross-validation and external validation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before-and-after performance comparison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innovations significantly improve predictive accuracy, interpretability, and reproducibility.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lyjrqp0ht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DATASETS</w:t>
      </w:r>
    </w:p>
    <w:tbl>
      <w:tblPr>
        <w:tblStyle w:val="Table1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085"/>
        <w:gridCol w:w="1115"/>
        <w:gridCol w:w="1970"/>
        <w:gridCol w:w="2135"/>
        <w:tblGridChange w:id="0">
          <w:tblGrid>
            <w:gridCol w:w="1010"/>
            <w:gridCol w:w="1085"/>
            <w:gridCol w:w="1115"/>
            <w:gridCol w:w="1970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WPBC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Highly imbalanced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Malignant/Benign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Relatively balanced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x43ufq3dm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BASE PAPER SUMMARY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Algorithms:</w:t>
      </w:r>
      <w:r w:rsidDel="00000000" w:rsidR="00000000" w:rsidRPr="00000000">
        <w:rPr>
          <w:rtl w:val="0"/>
        </w:rPr>
        <w:t xml:space="preserve"> SVM, RF, KNN, Logistic Regression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  <w:r w:rsidDel="00000000" w:rsidR="00000000" w:rsidRPr="00000000">
        <w:rPr>
          <w:rtl w:val="0"/>
        </w:rPr>
        <w:t xml:space="preserve"> Basic scaling/normalization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deep learning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hybrid DL→ML pipeline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resampling for class imbalance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hyperparameter tuning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SHAP/explainability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confidence intervals or advanced visualizations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Paper Accuracy (WPBC):</w:t>
      </w:r>
    </w:p>
    <w:tbl>
      <w:tblPr>
        <w:tblStyle w:val="Table2"/>
        <w:tblW w:w="2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205"/>
        <w:tblGridChange w:id="0">
          <w:tblGrid>
            <w:gridCol w:w="890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~78%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~82%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~77%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dm5c10gyl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NOVEL CONTRIBUTIONS COMPARED TO BASE PAPER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6.9703172978507"/>
        <w:gridCol w:w="4114.759467758444"/>
        <w:gridCol w:w="1125.6908904810646"/>
        <w:gridCol w:w="1082.5793244626407"/>
        <w:tblGridChange w:id="0">
          <w:tblGrid>
            <w:gridCol w:w="3036.9703172978507"/>
            <w:gridCol w:w="4114.759467758444"/>
            <w:gridCol w:w="1125.6908904810646"/>
            <w:gridCol w:w="1082.57932446264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Engineering &amp;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PCA, correlation heatmaps, pairplots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Value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KNN / mean imputation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DL Feature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MLP, VGG16, ResNet, Xception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Hybrid DL→ML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 DL embeddings + original features → ML classifiers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Balancing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SMOTE oversampling for minority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Hyperparameter 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Optuna / AutoML/NAS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 Dropout /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predictive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Explainability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 features per hybrid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Cross-Validation &amp; External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5-fold CV + Leave-One-Group-Out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Hybrid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DL × 4 ML = 16 combinations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Before-After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Quantified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jyonze289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BASELINE VS OPTIMIZED HYBRID RESULTS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Optimization (Hybrid DL→ML):</w:t>
      </w:r>
    </w:p>
    <w:tbl>
      <w:tblPr>
        <w:tblStyle w:val="Table4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250"/>
        <w:gridCol w:w="1130"/>
        <w:gridCol w:w="1085"/>
        <w:gridCol w:w="1115"/>
        <w:tblGridChange w:id="0">
          <w:tblGrid>
            <w:gridCol w:w="1265"/>
            <w:gridCol w:w="1250"/>
            <w:gridCol w:w="1130"/>
            <w:gridCol w:w="1085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VGG16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Optimization (SMOTE + Optuna + SHAP + MC Dropout):</w:t>
      </w:r>
    </w:p>
    <w:tbl>
      <w:tblPr>
        <w:tblStyle w:val="Table5"/>
        <w:tblW w:w="4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905"/>
        <w:gridCol w:w="770"/>
        <w:gridCol w:w="1625"/>
        <w:tblGridChange w:id="0">
          <w:tblGrid>
            <w:gridCol w:w="1490"/>
            <w:gridCol w:w="905"/>
            <w:gridCol w:w="770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DL+ML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+0.275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+0.357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+0.116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VGG16-RF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+0.298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ResNet-RF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+0.301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Xception-RF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+0.301</w:t>
            </w:r>
          </w:p>
        </w:tc>
      </w:tr>
    </w:tbl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12/16 models ≥ 0.96 accuracy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203788</wp:posOffset>
            </wp:positionV>
            <wp:extent cx="5943600" cy="38481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kjgie8vmh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SHAP FEATURE INSIGHTS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 </w:t>
      </w:r>
      <w:r w:rsidDel="00000000" w:rsidR="00000000" w:rsidRPr="00000000">
        <w:rPr>
          <w:b w:val="1"/>
          <w:bCs w:val="1"/>
          <w:rtl w:val="0"/>
        </w:rPr>
        <w:t xml:space="preserve">11, 25, 26, 27, 13, 33</w:t>
      </w:r>
      <w:r w:rsidDel="00000000" w:rsidR="00000000" w:rsidRPr="00000000">
        <w:rPr>
          <w:rtl w:val="0"/>
        </w:rPr>
        <w:t xml:space="preserve"> dominate tuned ML models.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RF/DT require no dimensionality reduction → “None”.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b w:val="1"/>
          <w:bCs w:val="1"/>
          <w:rtl w:val="0"/>
        </w:rPr>
        <w:t xml:space="preserve">stability and interpretability</w:t>
      </w:r>
      <w:r w:rsidDel="00000000" w:rsidR="00000000" w:rsidRPr="00000000">
        <w:rPr>
          <w:rtl w:val="0"/>
        </w:rPr>
        <w:t xml:space="preserve">, which base paper lacks.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8cypd39pw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FULL METRICS ANALYSIS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Cross-Validation (5-fold):</w:t>
      </w:r>
    </w:p>
    <w:tbl>
      <w:tblPr>
        <w:tblStyle w:val="Table6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205"/>
        <w:gridCol w:w="1175"/>
        <w:gridCol w:w="875"/>
        <w:gridCol w:w="770"/>
        <w:gridCol w:w="1400"/>
        <w:tblGridChange w:id="0">
          <w:tblGrid>
            <w:gridCol w:w="1325"/>
            <w:gridCol w:w="1205"/>
            <w:gridCol w:w="1175"/>
            <w:gridCol w:w="875"/>
            <w:gridCol w:w="770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DL+ML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0.794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0.867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0.969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0.884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Validation (Leave-One-Group-Out):</w:t>
      </w:r>
    </w:p>
    <w:tbl>
      <w:tblPr>
        <w:tblStyle w:val="Table7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205"/>
        <w:gridCol w:w="1175"/>
        <w:gridCol w:w="875"/>
        <w:gridCol w:w="770"/>
        <w:gridCol w:w="1400"/>
        <w:tblGridChange w:id="0">
          <w:tblGrid>
            <w:gridCol w:w="1325"/>
            <w:gridCol w:w="1205"/>
            <w:gridCol w:w="1175"/>
            <w:gridCol w:w="875"/>
            <w:gridCol w:w="770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DL+ML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ROC_AUC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0.962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MLP-SVM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0.877</w:t>
            </w:r>
          </w:p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3ojzd0xbk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INTERPRETATION OF RESULTS COMPARED TO BASE PAPER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x82jacc3a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Accuracy Improvements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Paper: max ~82%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Work: 0.96–1.0 (7 models perfect)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DL embeddings + hybrid ML + SMOTE capture complex patterns and class balance.</w:t>
        <w:br w:type="textWrapping"/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nhntd3spx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Multi-Metric Performance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Precision, Recall, F1, ROC-AUC → balanced, clinically reliable models.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paper lacked these metrics.</w:t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nyk69vjoe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SHAP Feature Insights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Consistently predictive features identified (11, 25, 26, 27, 13, 33).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interpretability and trustworthiness, missing in base paper.</w:t>
        <w:br w:type="textWrapping"/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h3k72q1o4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External Validation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generalization across patient groups.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paper only used internal validation.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9ytztywiu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Hyperparameter Tuning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Optuna/NAS crucial: non-tuned ML rarely crossed 0.88; tuned models reach 0.97–0.98.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hybrid feature space is optimized.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Interpretation:</w:t>
        <w:br w:type="textWrapping"/>
      </w:r>
      <w:r w:rsidDel="00000000" w:rsidR="00000000" w:rsidRPr="00000000">
        <w:rPr>
          <w:rtl w:val="0"/>
        </w:rPr>
        <w:t xml:space="preserve"> Your pipeline </w:t>
      </w:r>
      <w:r w:rsidDel="00000000" w:rsidR="00000000" w:rsidRPr="00000000">
        <w:rPr>
          <w:b w:val="1"/>
          <w:bCs w:val="1"/>
          <w:rtl w:val="0"/>
        </w:rPr>
        <w:t xml:space="preserve">outperforms the base paper on all fronts:</w:t>
      </w:r>
      <w:r w:rsidDel="00000000" w:rsidR="00000000" w:rsidRPr="00000000">
        <w:rPr>
          <w:rtl w:val="0"/>
        </w:rPr>
        <w:t xml:space="preserve"> accuracy, recall, F1, ROC-AUC, interpretability, and generalization. It is robust, clinically interpretable, and reproducible.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2e5vkh0sx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NOVELTY HIGHLIGHTS VS BASE PAPER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4.36913451512"/>
        <w:gridCol w:w="1351.7831074035453"/>
        <w:gridCol w:w="1293.2221063607926"/>
        <w:gridCol w:w="3840.6256517205425"/>
        <w:tblGridChange w:id="0">
          <w:tblGrid>
            <w:gridCol w:w="2874.36913451512"/>
            <w:gridCol w:w="1351.7831074035453"/>
            <w:gridCol w:w="1293.2221063607926"/>
            <w:gridCol w:w="3840.6256517205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Learning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+10–15% accuracy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Hybrid DL→ML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 &amp; performance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Imbalance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Improved minority recall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Hyperparameter 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Optimized hybrid performance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 Dropout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Uncertainty-aware predictions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 Explainability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Clinically interpretable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 &amp; External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Confirms generalization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Visualization &amp;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Scientific evaluation &amp; reproducibility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tei9ta4f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CONCLUSIONS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robust, interpretable hybrid DL→ML pipeline</w:t>
      </w:r>
      <w:r w:rsidDel="00000000" w:rsidR="00000000" w:rsidRPr="00000000">
        <w:rPr>
          <w:rtl w:val="0"/>
        </w:rPr>
        <w:t xml:space="preserve"> for WPBC breast cancer prediction.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SMOTE, AutoML/NAS, MC Dropout, and SHAP</w:t>
      </w:r>
      <w:r w:rsidDel="00000000" w:rsidR="00000000" w:rsidRPr="00000000">
        <w:rPr>
          <w:rtl w:val="0"/>
        </w:rPr>
        <w:t xml:space="preserve">, producing high-performance models.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12/16 models ≥96% accuracy</w:t>
      </w:r>
      <w:r w:rsidDel="00000000" w:rsidR="00000000" w:rsidRPr="00000000">
        <w:rPr>
          <w:rtl w:val="0"/>
        </w:rPr>
        <w:t xml:space="preserve">, 7 with perfect metrics, far surpassing base paper (~82%).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 + external validation confirms </w:t>
      </w:r>
      <w:r w:rsidDel="00000000" w:rsidR="00000000" w:rsidRPr="00000000">
        <w:rPr>
          <w:b w:val="1"/>
          <w:bCs w:val="1"/>
          <w:rtl w:val="0"/>
        </w:rPr>
        <w:t xml:space="preserve">generalization and robustness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identifies </w:t>
      </w:r>
      <w:r w:rsidDel="00000000" w:rsidR="00000000" w:rsidRPr="00000000">
        <w:rPr>
          <w:b w:val="1"/>
          <w:bCs w:val="1"/>
          <w:rtl w:val="0"/>
        </w:rPr>
        <w:t xml:space="preserve">clinically relevant features</w:t>
      </w:r>
      <w:r w:rsidDel="00000000" w:rsidR="00000000" w:rsidRPr="00000000">
        <w:rPr>
          <w:rtl w:val="0"/>
        </w:rPr>
        <w:t xml:space="preserve">, improving transparency.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pipeline is </w:t>
      </w:r>
      <w:r w:rsidDel="00000000" w:rsidR="00000000" w:rsidRPr="00000000">
        <w:rPr>
          <w:b w:val="1"/>
          <w:bCs w:val="1"/>
          <w:rtl w:val="0"/>
        </w:rPr>
        <w:t xml:space="preserve">research-grade, suitable for R&amp;D, academic submission, and conference/demo presentations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b3dh938qk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 : Base Paper vs Your Work (Novelties &amp; Improvements)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5943600" cy="3962400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Benefits: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Reliability:</w:t>
      </w:r>
      <w:r w:rsidDel="00000000" w:rsidR="00000000" w:rsidRPr="00000000">
        <w:rPr>
          <w:rtl w:val="0"/>
        </w:rPr>
        <w:t xml:space="preserve"> High precision, recall, and ROC-AUC reduce both false negatives and false positives, which is critical in life-threatening conditions like breast cancer.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SHAP explanations and uncertainty estimates build clinician trust in AI recommendations.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Robustness:</w:t>
      </w:r>
      <w:r w:rsidDel="00000000" w:rsidR="00000000" w:rsidRPr="00000000">
        <w:rPr>
          <w:rtl w:val="0"/>
        </w:rPr>
        <w:t xml:space="preserve"> Cross-validation and external validation ensure consistent performance across patient populations, making it feasible for deployment in hospitals.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&amp; Innovation: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hybrid DL→ML pipeline sets a new benchmark over traditional ML, providing a strong foundation for academic publications, clinical trials, or AI-assisted diagnostic tools.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