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003816" w14:textId="77777777" w:rsidR="009930DC" w:rsidRDefault="00000000">
      <w:pPr>
        <w:spacing w:line="460" w:lineRule="exact"/>
        <w:jc w:val="center"/>
      </w:pPr>
      <w:r>
        <w:rPr>
          <w:sz w:val="32"/>
          <w:szCs w:val="32"/>
        </w:rPr>
        <w:t>地図制約付き移動様態適応パーティクルフィルタによる</w:t>
      </w:r>
    </w:p>
    <w:p w14:paraId="1A003817" w14:textId="77777777" w:rsidR="009930DC" w:rsidRDefault="00000000">
      <w:pPr>
        <w:spacing w:after="120" w:line="460" w:lineRule="exact"/>
        <w:jc w:val="center"/>
      </w:pPr>
      <w:r>
        <w:rPr>
          <w:sz w:val="32"/>
          <w:szCs w:val="32"/>
        </w:rPr>
        <w:t>スマートフォン屋内歩行者測位</w:t>
      </w:r>
    </w:p>
    <w:p w14:paraId="1A003819" w14:textId="2F6CD701" w:rsidR="009930DC" w:rsidRDefault="00265006" w:rsidP="00265006">
      <w:pPr>
        <w:spacing w:after="240"/>
        <w:jc w:val="center"/>
        <w:rPr>
          <w:rFonts w:hint="eastAsia"/>
        </w:rPr>
        <w:sectPr w:rsidR="009930DC">
          <w:headerReference w:type="default" r:id="rIdHdr1"/>
          <w:pgSz w:w="11906" w:h="16838"/>
          <w:pgMar w:top="1701" w:right="1134" w:bottom="1417" w:left="1134" w:header="700" w:footer="708" w:gutter="0"/>
          <w:cols w:space="720"/>
          <w:docGrid w:linePitch="360"/>
        </w:sectPr>
      </w:pPr>
      <w:r>
        <w:rPr>
          <w:rFonts w:hint="eastAsia"/>
          <w:sz w:val="24"/>
          <w:szCs w:val="24"/>
        </w:rPr>
        <w:t>佐藤壮真（浦上</w:t>
      </w:r>
      <w:r w:rsidR="00000000">
        <w:rPr>
          <w:sz w:val="24"/>
          <w:szCs w:val="24"/>
        </w:rPr>
        <w:t>研究室）</w:t>
      </w:r>
    </w:p>
    <w:p w14:paraId="1A00381A" w14:textId="77777777" w:rsidR="009930DC" w:rsidRDefault="00000000">
      <w:pPr>
        <w:keepNext/>
        <w:spacing w:before="120" w:after="20" w:line="300" w:lineRule="exact"/>
      </w:pPr>
      <w:r>
        <w:rPr>
          <w:rFonts w:eastAsia="MS ゴシック"/>
          <w:b/>
          <w:bCs/>
          <w:sz w:val="24"/>
          <w:szCs w:val="24"/>
        </w:rPr>
        <w:t>1</w:t>
      </w:r>
      <w:r>
        <w:rPr>
          <w:rFonts w:eastAsia="MS ゴシック"/>
          <w:b/>
          <w:bCs/>
          <w:sz w:val="24"/>
          <w:szCs w:val="24"/>
        </w:rPr>
        <w:t xml:space="preserve"> はじめに</w:t>
      </w:r>
    </w:p>
    <w:p>
      <w:pPr>
        <w:spacing w:line="280" w:lineRule="exact"/>
        <w:ind w:firstLine="180"/>
        <w:jc w:val="both"/>
      </w:pPr>
      <w:r>
        <w:t xml:space="preserve">屋内ではGPS（GNSS）の信号が弱く，測位が難しい[1]．Wi-FiやBLEビーコンによる屋内測位は，発信機の設置や電波マップの維持管理にコストがかかる[2]．設備に頼らない方法として，スマートフォンの慣性センサ（IMU）で歩数・歩幅・方位を求めて位置を積み上げる歩行者推測航法（PDR）がある．ただしPDRは，歩くほど誤差が累積する[2]．</w:t>
      </w:r>
    </w:p>
    <w:p>
      <w:pPr>
        <w:spacing w:line="280" w:lineRule="exact"/>
        <w:ind w:firstLine="180"/>
        <w:jc w:val="both"/>
      </w:pPr>
      <w:r>
        <w:t xml:space="preserve">そこで本研究では，建物の地図を使ってPDRの誤差を抑える．PDRにはSmartPDR[3]を，地図による補正には秋山らの移動様態に応じたパーティクルフィルタ（PF）[4]を用いる．後者は，直進・曲がり・滞留の様態ごとに粒子数とノイズを変える方式である．本研究では，これに次の2点を加える．</w:t>
      </w:r>
    </w:p>
    <w:p w14:paraId="1A00381D" w14:textId="77777777" w:rsidR="009930DC" w:rsidRDefault="00000000">
      <w:pPr>
        <w:spacing w:line="280" w:lineRule="exact"/>
        <w:ind w:left="380" w:hanging="380"/>
        <w:jc w:val="both"/>
      </w:pPr>
      <w:r>
        <w:t xml:space="preserve">（1） </w:t>
      </w:r>
      <w:r>
        <w:t>二値化した地図から，歩ける範囲を「経路帯」として自動抽出し，粒子をその中に制約する．</w:t>
      </w:r>
    </w:p>
    <w:p w14:paraId="1A00381E" w14:textId="77777777" w:rsidR="009930DC" w:rsidRDefault="00000000">
      <w:pPr>
        <w:spacing w:line="280" w:lineRule="exact"/>
        <w:ind w:left="380" w:hanging="380"/>
        <w:jc w:val="both"/>
      </w:pPr>
      <w:r>
        <w:t xml:space="preserve">（2） </w:t>
      </w:r>
      <w:r>
        <w:t>有効粒子数に応じて粒子数を増減する「不確実性適応粒子数」を，様態別の粒子数に重ねる．</w:t>
      </w:r>
    </w:p>
    <w:p>
      <w:pPr>
        <w:spacing w:line="280" w:lineRule="exact"/>
        <w:ind w:firstLine="180"/>
        <w:jc w:val="both"/>
      </w:pPr>
      <w:r>
        <w:t xml:space="preserve">本発表では，実測データ2本で4方式の終点誤差と粒子の全滅回数を比べた結果と課題を報告する．</w:t>
      </w:r>
    </w:p>
    <w:p w14:paraId="1A003820" w14:textId="77777777" w:rsidR="009930DC" w:rsidRDefault="00000000">
      <w:pPr>
        <w:keepNext/>
        <w:spacing w:before="120" w:after="20" w:line="300" w:lineRule="exact"/>
      </w:pPr>
      <w:r>
        <w:rPr>
          <w:rFonts w:eastAsia="MS ゴシック"/>
          <w:b/>
          <w:bCs/>
          <w:sz w:val="24"/>
          <w:szCs w:val="24"/>
        </w:rPr>
        <w:t>2</w:t>
      </w:r>
      <w:r>
        <w:rPr>
          <w:rFonts w:eastAsia="MS ゴシック"/>
          <w:b/>
          <w:bCs/>
          <w:sz w:val="24"/>
          <w:szCs w:val="24"/>
        </w:rPr>
        <w:t xml:space="preserve"> 研究手法</w:t>
      </w:r>
    </w:p>
    <w:p w14:paraId="1A003822" w14:textId="77777777" w:rsidR="009930DC" w:rsidRDefault="00000000">
      <w:pPr>
        <w:spacing w:line="280" w:lineRule="exact"/>
        <w:ind w:firstLine="180"/>
        <w:jc w:val="both"/>
      </w:pPr>
      <w:r>
        <w:t>処理の流れを図</w:t>
      </w:r>
      <w:r>
        <w:t>1</w:t>
      </w:r>
      <w:r>
        <w:t>に示す．</w:t>
      </w:r>
      <w:r>
        <w:t>Android</w:t>
      </w:r>
      <w:r>
        <w:t>の計測アプリで加速度・ジャイロ・方位を記録し，</w:t>
      </w:r>
      <w:r>
        <w:t>PC</w:t>
      </w:r>
      <w:r>
        <w:t>で</w:t>
      </w:r>
      <w:r>
        <w:t>1</w:t>
      </w:r>
      <w:r>
        <w:t>歩ごとに位置を推定する．</w:t>
      </w:r>
    </w:p>
    <w:p w14:paraId="1A003823" w14:textId="77777777" w:rsidR="009930DC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A003873" wp14:editId="1A003874">
            <wp:extent cx="1680210" cy="1966913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196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3824" w14:textId="77777777" w:rsidR="009930DC" w:rsidRDefault="00000000">
      <w:pPr>
        <w:spacing w:before="20" w:after="100"/>
        <w:jc w:val="center"/>
      </w:pPr>
      <w:r>
        <w:rPr>
          <w:sz w:val="16"/>
          <w:szCs w:val="16"/>
        </w:rPr>
        <w:t>図</w:t>
      </w:r>
      <w:r>
        <w:rPr>
          <w:sz w:val="16"/>
          <w:szCs w:val="16"/>
        </w:rPr>
        <w:t>1</w:t>
      </w:r>
      <w:r>
        <w:rPr>
          <w:sz w:val="16"/>
          <w:szCs w:val="16"/>
        </w:rPr>
        <w:t xml:space="preserve">　処理の流れ</w:t>
      </w:r>
    </w:p>
    <w:p w14:paraId="1A003825" w14:textId="5B5521AC" w:rsidR="009930DC" w:rsidRDefault="00000000">
      <w:pPr>
        <w:keepNext/>
        <w:spacing w:before="40" w:line="280" w:lineRule="exact"/>
      </w:pPr>
      <w:r>
        <w:rPr>
          <w:rFonts w:eastAsia="MS ゴシック"/>
          <w:b/>
          <w:bCs/>
          <w:sz w:val="21"/>
          <w:szCs w:val="21"/>
        </w:rPr>
        <w:t>2</w:t>
      </w:r>
      <w:r w:rsidR="00967B5B">
        <w:rPr>
          <w:rFonts w:eastAsia="MS ゴシック"/>
          <w:b/>
          <w:bCs/>
          <w:sz w:val="21"/>
          <w:szCs w:val="21"/>
        </w:rPr>
        <w:t>.</w:t>
      </w:r>
      <w:r>
        <w:rPr>
          <w:rFonts w:eastAsia="MS ゴシック"/>
          <w:b/>
          <w:bCs/>
          <w:sz w:val="21"/>
          <w:szCs w:val="21"/>
        </w:rPr>
        <w:t>1</w:t>
      </w:r>
      <w:r>
        <w:rPr>
          <w:rFonts w:eastAsia="MS ゴシック"/>
          <w:b/>
          <w:bCs/>
          <w:sz w:val="21"/>
          <w:szCs w:val="21"/>
        </w:rPr>
        <w:t xml:space="preserve"> </w:t>
      </w:r>
      <w:r>
        <w:rPr>
          <w:rFonts w:eastAsia="MS ゴシック"/>
          <w:b/>
          <w:bCs/>
          <w:sz w:val="21"/>
          <w:szCs w:val="21"/>
        </w:rPr>
        <w:t>PDR</w:t>
      </w:r>
      <w:r>
        <w:rPr>
          <w:rFonts w:eastAsia="MS ゴシック"/>
          <w:b/>
          <w:bCs/>
          <w:sz w:val="21"/>
          <w:szCs w:val="21"/>
        </w:rPr>
        <w:t>と移動様態の判定</w:t>
      </w:r>
    </w:p>
    <w:p>
      <w:pPr>
        <w:spacing w:line="280" w:lineRule="exact"/>
        <w:ind w:firstLine="180"/>
        <w:jc w:val="both"/>
      </w:pPr>
      <w:r>
        <w:t xml:space="preserve">加速度のピークで1歩を検出し，歩幅と方位から移動量を求める．SmartPDR[3]の式に次の調整を加えた．</w:t>
      </w:r>
    </w:p>
    <w:p w14:paraId="1A003827" w14:textId="77777777" w:rsidR="009930DC" w:rsidRDefault="00000000">
      <w:pPr>
        <w:spacing w:line="280" w:lineRule="exact"/>
        <w:ind w:left="380" w:hanging="380"/>
        <w:jc w:val="both"/>
      </w:pPr>
      <w:r>
        <w:t>・歩調の上限</w:t>
      </w:r>
      <w:r>
        <w:t>2.9Hz</w:t>
      </w:r>
      <w:r>
        <w:t>から最短のピーク間隔を決め，ステップの過検出を防ぐ．</w:t>
      </w:r>
    </w:p>
    <w:p>
      <w:pPr>
        <w:spacing w:line="280" w:lineRule="exact"/>
        <w:ind w:left="380" w:hanging="380"/>
        <w:jc w:val="both"/>
      </w:pPr>
      <w:r>
        <w:t xml:space="preserve">・歩幅に校正ゲイン（暫定値2.10）を掛ける．論文の係数では歩幅が約半分に出たためである．</w:t>
      </w:r>
    </w:p>
    <w:p>
      <w:pPr>
        <w:spacing w:line="280" w:lineRule="exact"/>
        <w:ind w:firstLine="180"/>
        <w:jc w:val="both"/>
      </w:pPr>
      <w:r>
        <w:t xml:space="preserve">直進か曲がりかは，直近1.5秒間の方位の変化量とヨーレート（向きが回転する速さ）で判定する．ヨーレートには，一瞬の手ぶれの影響を避けるため，1.5秒間の値の75パーセンタイル（小さい順に並べて75%の位置の値）を用いる．</w:t>
      </w:r>
    </w:p>
    <w:p>
      <w:pPr>
        <w:spacing w:line="280" w:lineRule="exact"/>
        <w:ind w:firstLine="180"/>
        <w:jc w:val="both"/>
      </w:pPr>
      <w:r>
        <w:t xml:space="preserve">直進中は，方位の変化量が20度以上かつヨーレートが20度/秒以上で「曲がり」に，曲がり中は6度未満かつ10度/秒未満で「直進」に切り替える．切り替えと戻りのしきい値を変える（ヒステリシス）ことで，判定が細かく切り替わるのを防ぐ．</w:t>
      </w:r>
    </w:p>
    <w:p w14:paraId="1A00382A" w14:textId="63659BB1" w:rsidR="009930DC" w:rsidRDefault="00000000">
      <w:pPr>
        <w:keepNext/>
        <w:spacing w:before="40" w:line="280" w:lineRule="exact"/>
      </w:pPr>
      <w:r>
        <w:rPr>
          <w:rFonts w:eastAsia="MS ゴシック"/>
          <w:b/>
          <w:bCs/>
          <w:sz w:val="21"/>
          <w:szCs w:val="21"/>
        </w:rPr>
        <w:t>2</w:t>
      </w:r>
      <w:r w:rsidR="00967B5B">
        <w:rPr>
          <w:rFonts w:eastAsia="MS ゴシック"/>
          <w:b/>
          <w:bCs/>
          <w:sz w:val="21"/>
          <w:szCs w:val="21"/>
        </w:rPr>
        <w:t>.</w:t>
      </w:r>
      <w:r>
        <w:rPr>
          <w:rFonts w:eastAsia="MS ゴシック"/>
          <w:b/>
          <w:bCs/>
          <w:sz w:val="21"/>
          <w:szCs w:val="21"/>
        </w:rPr>
        <w:t>2</w:t>
      </w:r>
      <w:r>
        <w:rPr>
          <w:rFonts w:eastAsia="MS ゴシック"/>
          <w:b/>
          <w:bCs/>
          <w:sz w:val="21"/>
          <w:szCs w:val="21"/>
        </w:rPr>
        <w:t xml:space="preserve"> 地図制約付き</w:t>
      </w:r>
      <w:r>
        <w:rPr>
          <w:rFonts w:eastAsia="MS ゴシック"/>
          <w:b/>
          <w:bCs/>
          <w:sz w:val="21"/>
          <w:szCs w:val="21"/>
        </w:rPr>
        <w:t>PF</w:t>
      </w:r>
    </w:p>
    <w:p>
      <w:pPr>
        <w:spacing w:line="280" w:lineRule="exact"/>
        <w:ind w:firstLine="180"/>
        <w:jc w:val="both"/>
      </w:pPr>
      <w:r>
        <w:t xml:space="preserve">各粒子をPDRの移動量とノイズで動かし，壁を横切った粒子の重みを0にする[4]．本研究では，壁に近い粒子の重みも距離に応じて下げる．また，秋山らは8秒ごとに直進10個・屈折20個で更新したが[4]，本研究では1歩ごとに直進250個・曲がり600個で更新する．</w:t>
      </w:r>
    </w:p>
    <w:p w14:paraId="1A00382C" w14:textId="15ACE52B" w:rsidR="009930DC" w:rsidRPr="00967B5B" w:rsidRDefault="00000000">
      <w:pPr>
        <w:keepNext/>
        <w:spacing w:before="40" w:line="280" w:lineRule="exact"/>
        <w:rPr>
          <w:rFonts w:eastAsia="MS ゴシック"/>
          <w:b/>
          <w:bCs/>
          <w:sz w:val="21"/>
          <w:szCs w:val="21"/>
        </w:rPr>
      </w:pPr>
      <w:r>
        <w:rPr>
          <w:rFonts w:eastAsia="MS ゴシック"/>
          <w:b/>
          <w:bCs/>
          <w:sz w:val="21"/>
          <w:szCs w:val="21"/>
        </w:rPr>
        <w:t>2</w:t>
      </w:r>
      <w:r w:rsidR="00967B5B">
        <w:rPr>
          <w:rFonts w:eastAsia="MS ゴシック"/>
          <w:b/>
          <w:bCs/>
          <w:sz w:val="21"/>
          <w:szCs w:val="21"/>
        </w:rPr>
        <w:t>.</w:t>
      </w:r>
      <w:r>
        <w:rPr>
          <w:rFonts w:eastAsia="MS ゴシック"/>
          <w:b/>
          <w:bCs/>
          <w:sz w:val="21"/>
          <w:szCs w:val="21"/>
        </w:rPr>
        <w:t>3</w:t>
      </w:r>
      <w:r>
        <w:rPr>
          <w:rFonts w:eastAsia="MS ゴシック"/>
          <w:b/>
          <w:bCs/>
          <w:sz w:val="21"/>
          <w:szCs w:val="21"/>
        </w:rPr>
        <w:t xml:space="preserve"> 提案</w:t>
      </w:r>
      <w:r>
        <w:rPr>
          <w:rFonts w:eastAsia="MS ゴシック"/>
          <w:b/>
          <w:bCs/>
          <w:sz w:val="21"/>
          <w:szCs w:val="21"/>
        </w:rPr>
        <w:t>1</w:t>
      </w:r>
      <w:r>
        <w:rPr>
          <w:rFonts w:eastAsia="MS ゴシック"/>
          <w:b/>
          <w:bCs/>
          <w:sz w:val="21"/>
          <w:szCs w:val="21"/>
        </w:rPr>
        <w:t>：経路帯の自動抽出</w:t>
      </w:r>
    </w:p>
    <w:p>
      <w:pPr>
        <w:spacing w:line="280" w:lineRule="exact"/>
        <w:ind w:firstLine="180"/>
        <w:jc w:val="both"/>
      </w:pPr>
      <w:r>
        <w:t xml:space="preserve">建物の平面図を二値化し，通路を経路帯として自動抽出する（図2の黄色）．経路帯の外の粒子は重みを下げる．経路を手で入力する必要はない．</w:t>
      </w:r>
    </w:p>
    <w:p w14:paraId="1A00382E" w14:textId="77777777" w:rsidR="009930DC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A003875" wp14:editId="1A003876">
            <wp:extent cx="2610000" cy="911403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000" cy="91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382F" w14:textId="77777777" w:rsidR="009930DC" w:rsidRDefault="00000000">
      <w:pPr>
        <w:spacing w:before="20" w:after="100"/>
        <w:jc w:val="center"/>
      </w:pPr>
      <w:r>
        <w:rPr>
          <w:sz w:val="16"/>
          <w:szCs w:val="16"/>
        </w:rPr>
        <w:t>図</w:t>
      </w:r>
      <w:r>
        <w:rPr>
          <w:sz w:val="16"/>
          <w:szCs w:val="16"/>
        </w:rPr>
        <w:t>2</w:t>
      </w:r>
      <w:r>
        <w:rPr>
          <w:sz w:val="16"/>
          <w:szCs w:val="16"/>
        </w:rPr>
        <w:t xml:space="preserve">　二値地図から自動抽出した経路帯</w:t>
      </w:r>
      <w:r>
        <w:rPr>
          <w:sz w:val="16"/>
          <w:szCs w:val="16"/>
        </w:rPr>
        <w:t>（</w:t>
      </w:r>
      <w:r>
        <w:rPr>
          <w:sz w:val="16"/>
          <w:szCs w:val="16"/>
        </w:rPr>
        <w:t>黄色</w:t>
      </w:r>
      <w:r>
        <w:rPr>
          <w:sz w:val="16"/>
          <w:szCs w:val="16"/>
        </w:rPr>
        <w:t>）</w:t>
      </w:r>
    </w:p>
    <w:p w14:paraId="1A003830" w14:textId="4CE693AB" w:rsidR="009930DC" w:rsidRDefault="00000000">
      <w:pPr>
        <w:keepNext/>
        <w:spacing w:before="40" w:line="280" w:lineRule="exact"/>
      </w:pPr>
      <w:r>
        <w:rPr>
          <w:rFonts w:eastAsia="MS ゴシック"/>
          <w:b/>
          <w:bCs/>
          <w:sz w:val="21"/>
          <w:szCs w:val="21"/>
        </w:rPr>
        <w:lastRenderedPageBreak/>
        <w:t>2</w:t>
      </w:r>
      <w:r w:rsidR="00967B5B">
        <w:rPr>
          <w:rFonts w:eastAsia="MS ゴシック"/>
          <w:b/>
          <w:bCs/>
          <w:sz w:val="21"/>
          <w:szCs w:val="21"/>
        </w:rPr>
        <w:t>.</w:t>
      </w:r>
      <w:r>
        <w:rPr>
          <w:rFonts w:eastAsia="MS ゴシック"/>
          <w:b/>
          <w:bCs/>
          <w:sz w:val="21"/>
          <w:szCs w:val="21"/>
        </w:rPr>
        <w:t>4</w:t>
      </w:r>
      <w:r>
        <w:rPr>
          <w:rFonts w:eastAsia="MS ゴシック"/>
          <w:b/>
          <w:bCs/>
          <w:sz w:val="21"/>
          <w:szCs w:val="21"/>
        </w:rPr>
        <w:t xml:space="preserve"> 提案</w:t>
      </w:r>
      <w:r>
        <w:rPr>
          <w:rFonts w:eastAsia="MS ゴシック"/>
          <w:b/>
          <w:bCs/>
          <w:sz w:val="21"/>
          <w:szCs w:val="21"/>
        </w:rPr>
        <w:t>2</w:t>
      </w:r>
      <w:r>
        <w:rPr>
          <w:rFonts w:eastAsia="MS ゴシック"/>
          <w:b/>
          <w:bCs/>
          <w:sz w:val="21"/>
          <w:szCs w:val="21"/>
        </w:rPr>
        <w:t>：不確実性適応粒子数</w:t>
      </w:r>
    </w:p>
    <w:p w14:paraId="1A003831" w14:textId="77777777" w:rsidR="009930DC" w:rsidRDefault="00000000">
      <w:pPr>
        <w:spacing w:line="280" w:lineRule="exact"/>
        <w:ind w:firstLine="180"/>
        <w:jc w:val="both"/>
      </w:pPr>
      <w:r>
        <w:t>有効粒子数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</m:oMath>
      <w:r>
        <w:t>は，実質的に効いている粒子の数を表し，次式で求める</w:t>
      </w:r>
      <w:r>
        <w:t>[5]</w:t>
      </w:r>
      <w:r>
        <w:t>．</w:t>
      </w:r>
    </w:p>
    <w:p w14:paraId="1A003832" w14:textId="77777777" w:rsidR="009930DC" w:rsidRDefault="00000000">
      <w:pPr>
        <w:spacing w:before="60" w:after="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1A003833" w14:textId="2D7A6AD6" w:rsidR="009930DC" w:rsidRDefault="00000000">
      <w:pPr>
        <w:keepNext/>
        <w:keepLines/>
        <w:spacing w:line="280" w:lineRule="exact"/>
        <w:jc w:val="both"/>
      </w:pPr>
      <w:r>
        <w:t>ここで，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は正規化した粒子の重み，</w:t>
      </w:r>
      <m:oMath>
        <m:r>
          <w:rPr>
            <w:rFonts w:ascii="Cambria Math" w:hAnsi="Cambria Math"/>
          </w:rPr>
          <m:t>N</m:t>
        </m:r>
      </m:oMath>
      <w:r>
        <w:t>は粒子数である．前の歩の比率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>が小さい</w:t>
      </w:r>
      <w:r>
        <w:t>（</w:t>
      </w:r>
      <w:r>
        <w:t>推定が不確か</w:t>
      </w:r>
      <w:r>
        <w:t>）</w:t>
      </w:r>
      <w:r>
        <w:t>ときは粒子を増やし，大きいときは減らす．様態別の粒子数を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</m:oMath>
      <w:r>
        <w:t>として，次の</w:t>
      </w:r>
      <w:r w:rsidR="0097133D">
        <w:rPr>
          <w:rFonts w:hint="eastAsia"/>
        </w:rPr>
        <w:t>歩行</w:t>
      </w:r>
      <w:r>
        <w:rPr>
          <w:rFonts w:hint="eastAsia"/>
        </w:rPr>
        <w:t>の</w:t>
      </w:r>
      <w:r>
        <w:t>粒子数を次式で決め，</w:t>
      </w:r>
      <w:r>
        <w:t>80</w:t>
      </w:r>
      <w:r>
        <w:t>〜</w:t>
      </w:r>
      <w:r>
        <w:t>1200</w:t>
      </w:r>
      <w:r>
        <w:t>個の範囲に収める．</w:t>
      </w:r>
    </w:p>
    <w:p w14:paraId="1A003834" w14:textId="77777777" w:rsidR="009930DC" w:rsidRDefault="00000000">
      <w:pPr>
        <w:spacing w:before="60" w:after="6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1.5 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0.30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0.75 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0.60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nor/>
                      </m:rPr>
                      <m:t>上記以外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1A003835" w14:textId="77777777" w:rsidR="009930DC" w:rsidRDefault="00000000">
      <w:pPr>
        <w:keepNext/>
        <w:spacing w:before="120" w:after="20" w:line="300" w:lineRule="exact"/>
      </w:pPr>
      <w:r>
        <w:rPr>
          <w:rFonts w:eastAsia="MS ゴシック"/>
          <w:b/>
          <w:bCs/>
          <w:sz w:val="24"/>
          <w:szCs w:val="24"/>
        </w:rPr>
        <w:t>3</w:t>
      </w:r>
      <w:r>
        <w:rPr>
          <w:rFonts w:eastAsia="MS ゴシック"/>
          <w:b/>
          <w:bCs/>
          <w:sz w:val="24"/>
          <w:szCs w:val="24"/>
        </w:rPr>
        <w:t xml:space="preserve"> 研究結果</w:t>
      </w:r>
    </w:p>
    <w:p w14:paraId="1A003836" w14:textId="13BA1B59" w:rsidR="009930DC" w:rsidRDefault="00000000">
      <w:pPr>
        <w:keepNext/>
        <w:spacing w:before="40" w:line="280" w:lineRule="exact"/>
      </w:pPr>
      <w:r>
        <w:rPr>
          <w:rFonts w:eastAsia="MS ゴシック"/>
          <w:b/>
          <w:bCs/>
          <w:sz w:val="21"/>
          <w:szCs w:val="21"/>
        </w:rPr>
        <w:t>3</w:t>
      </w:r>
      <w:r w:rsidR="00914E3E">
        <w:rPr>
          <w:rFonts w:eastAsia="MS ゴシック"/>
          <w:b/>
          <w:bCs/>
          <w:sz w:val="21"/>
          <w:szCs w:val="21"/>
        </w:rPr>
        <w:t>.</w:t>
      </w:r>
      <w:r>
        <w:rPr>
          <w:rFonts w:eastAsia="MS ゴシック"/>
          <w:b/>
          <w:bCs/>
          <w:sz w:val="21"/>
          <w:szCs w:val="21"/>
        </w:rPr>
        <w:t>1</w:t>
      </w:r>
      <w:r>
        <w:rPr>
          <w:rFonts w:eastAsia="MS ゴシック"/>
          <w:b/>
          <w:bCs/>
          <w:sz w:val="21"/>
          <w:szCs w:val="21"/>
        </w:rPr>
        <w:t xml:space="preserve"> 実験条件</w:t>
      </w:r>
    </w:p>
    <w:p>
      <w:pPr>
        <w:spacing w:line="280" w:lineRule="exact"/>
        <w:ind w:left="380" w:hanging="380"/>
        <w:jc w:val="both"/>
      </w:pPr>
      <w:r>
        <w:t xml:space="preserve">・データ：1フロアの同じ経路を歩いた2本（1441，1442）．1438は方位の記録が壊れているため除いた．</w:t>
      </w:r>
    </w:p>
    <w:p>
      <w:pPr>
        <w:spacing w:line="280" w:lineRule="exact"/>
        <w:ind w:left="380" w:hanging="380"/>
        <w:jc w:val="both"/>
      </w:pPr>
      <w:r>
        <w:t xml:space="preserve">・比較方式：A PDRのみ，B 固定粒子数PF（600個），C 移動様態適応PF[4]，E 提案方式（Cに提案1・2を追加）．PFはシード6通りの平均をとった．</w:t>
      </w:r>
    </w:p>
    <w:p>
      <w:pPr>
        <w:spacing w:line="280" w:lineRule="exact"/>
        <w:ind w:left="380" w:hanging="380"/>
        <w:jc w:val="both"/>
      </w:pPr>
      <w:r>
        <w:t xml:space="preserve">・時刻と対応した正解位置がないためRMSEは求められず，推定と申告の終点の距離（終点誤差）と，全粒子の重みが0になる全滅の回数で比べた．</w:t>
      </w:r>
    </w:p>
    <w:p w14:paraId="1A00383B" w14:textId="5AE55946" w:rsidR="009930DC" w:rsidRDefault="00000000">
      <w:pPr>
        <w:keepNext/>
        <w:spacing w:before="40" w:line="280" w:lineRule="exact"/>
      </w:pPr>
      <w:r>
        <w:rPr>
          <w:rFonts w:eastAsia="MS ゴシック"/>
          <w:b/>
          <w:bCs/>
          <w:sz w:val="21"/>
          <w:szCs w:val="21"/>
        </w:rPr>
        <w:t>3</w:t>
      </w:r>
      <w:r w:rsidR="00914E3E">
        <w:rPr>
          <w:rFonts w:eastAsia="MS ゴシック"/>
          <w:b/>
          <w:bCs/>
          <w:sz w:val="21"/>
          <w:szCs w:val="21"/>
        </w:rPr>
        <w:t>.</w:t>
      </w:r>
      <w:r>
        <w:rPr>
          <w:rFonts w:eastAsia="MS ゴシック"/>
          <w:b/>
          <w:bCs/>
          <w:sz w:val="21"/>
          <w:szCs w:val="21"/>
        </w:rPr>
        <w:t>2</w:t>
      </w:r>
      <w:r>
        <w:rPr>
          <w:rFonts w:eastAsia="MS ゴシック"/>
          <w:b/>
          <w:bCs/>
          <w:sz w:val="21"/>
          <w:szCs w:val="21"/>
        </w:rPr>
        <w:t xml:space="preserve"> </w:t>
      </w:r>
      <w:r>
        <w:rPr>
          <w:rFonts w:eastAsia="MS ゴシック"/>
          <w:b/>
          <w:bCs/>
          <w:sz w:val="21"/>
          <w:szCs w:val="21"/>
        </w:rPr>
        <w:t>PDR</w:t>
      </w:r>
      <w:r>
        <w:rPr>
          <w:rFonts w:eastAsia="MS ゴシック"/>
          <w:b/>
          <w:bCs/>
          <w:sz w:val="21"/>
          <w:szCs w:val="21"/>
        </w:rPr>
        <w:t>の是正</w:t>
      </w:r>
    </w:p>
    <w:p>
      <w:pPr>
        <w:spacing w:line="280" w:lineRule="exact"/>
        <w:ind w:firstLine="180"/>
        <w:jc w:val="both"/>
      </w:pPr>
      <w:r>
        <w:t xml:space="preserve">打ち消し合っていたステップの過検出と歩幅の過小推定を2.1節のとおり直し，検出歩数の誤差を±5%以内にし，全滅回数（3本平均）を15.6回から約2.4回に減らした．</w:t>
      </w:r>
    </w:p>
    <w:p w14:paraId="1A00383D" w14:textId="018B8182" w:rsidR="009930DC" w:rsidRDefault="00000000">
      <w:pPr>
        <w:keepNext/>
        <w:spacing w:before="40" w:line="280" w:lineRule="exact"/>
      </w:pPr>
      <w:r>
        <w:rPr>
          <w:rFonts w:eastAsia="MS ゴシック"/>
          <w:b/>
          <w:bCs/>
          <w:sz w:val="21"/>
          <w:szCs w:val="21"/>
        </w:rPr>
        <w:t>3</w:t>
      </w:r>
      <w:r w:rsidR="00914E3E">
        <w:rPr>
          <w:rFonts w:eastAsia="MS ゴシック"/>
          <w:b/>
          <w:bCs/>
          <w:sz w:val="21"/>
          <w:szCs w:val="21"/>
        </w:rPr>
        <w:t>.</w:t>
      </w:r>
      <w:r>
        <w:rPr>
          <w:rFonts w:eastAsia="MS ゴシック"/>
          <w:b/>
          <w:bCs/>
          <w:sz w:val="21"/>
          <w:szCs w:val="21"/>
        </w:rPr>
        <w:t>3</w:t>
      </w:r>
      <w:r>
        <w:rPr>
          <w:rFonts w:eastAsia="MS ゴシック"/>
          <w:b/>
          <w:bCs/>
          <w:sz w:val="21"/>
          <w:szCs w:val="21"/>
        </w:rPr>
        <w:t xml:space="preserve"> </w:t>
      </w:r>
      <w:r>
        <w:rPr>
          <w:rFonts w:eastAsia="MS ゴシック"/>
          <w:b/>
          <w:bCs/>
          <w:sz w:val="21"/>
          <w:szCs w:val="21"/>
        </w:rPr>
        <w:t>4</w:t>
      </w:r>
      <w:r>
        <w:rPr>
          <w:rFonts w:eastAsia="MS ゴシック"/>
          <w:b/>
          <w:bCs/>
          <w:sz w:val="21"/>
          <w:szCs w:val="21"/>
        </w:rPr>
        <w:t>方式の比較</w:t>
      </w:r>
    </w:p>
    <w:p>
      <w:pPr>
        <w:spacing w:line="280" w:lineRule="exact"/>
        <w:ind w:firstLine="180"/>
        <w:jc w:val="both"/>
      </w:pPr>
      <w:r>
        <w:t xml:space="preserve">推定軌跡を図3に，数値を表1に示す．提案方式Eは2本とも経路帯に沿った軌跡となり，終点誤差が最も小さかった．1442ではA・B・Cの軌跡が途中で経路から外れたが，Eは通路に沿って進んだ．ただし，EとCの差は1441で1.4m，1442で0.7mと小さい．</w:t>
      </w:r>
    </w:p>
    <w:p w14:paraId="1A003841" w14:textId="77777777" w:rsidR="009930DC" w:rsidRDefault="00000000">
      <w:pPr>
        <w:keepNext/>
        <w:spacing w:before="40" w:after="20"/>
        <w:jc w:val="center"/>
      </w:pPr>
      <w:r>
        <w:rPr>
          <w:sz w:val="16"/>
          <w:szCs w:val="16"/>
        </w:rPr>
        <w:t>表</w:t>
      </w:r>
      <w:r>
        <w:rPr>
          <w:sz w:val="16"/>
          <w:szCs w:val="16"/>
        </w:rPr>
        <w:t>1</w:t>
      </w:r>
      <w:r>
        <w:rPr>
          <w:sz w:val="16"/>
          <w:szCs w:val="16"/>
        </w:rPr>
        <w:t xml:space="preserve">　終点誤差と全滅回数</w:t>
      </w:r>
      <w:r>
        <w:rPr>
          <w:sz w:val="16"/>
          <w:szCs w:val="16"/>
        </w:rPr>
        <w:t>（6</w:t>
      </w:r>
      <w:r>
        <w:rPr>
          <w:sz w:val="16"/>
          <w:szCs w:val="16"/>
        </w:rPr>
        <w:t>シードの平均</w:t>
      </w:r>
      <w:r>
        <w:rPr>
          <w:sz w:val="16"/>
          <w:szCs w:val="16"/>
        </w:rPr>
        <w:t>±</w:t>
      </w:r>
      <w:r>
        <w:rPr>
          <w:sz w:val="16"/>
          <w:szCs w:val="16"/>
        </w:rPr>
        <w:t>標準偏差</w:t>
      </w:r>
      <w:r>
        <w:rPr>
          <w:sz w:val="16"/>
          <w:szCs w:val="16"/>
        </w:rPr>
        <w:t>）</w:t>
      </w:r>
    </w:p>
    <w:tbl>
      <w:tblPr>
        <w:tblW w:w="4590" w:type="dxa"/>
        <w:jc w:val="center"/>
        <w:tblLayout w:type="fixed"/>
        <w:tblCellMar>
          <w:left w:w="40" w:type="dxa"/>
          <w:right w:w="40" w:type="dxa"/>
        </w:tblCellMar>
      </w:tblPr>
      <w:tblGrid>
        <w:gridCol w:w="1640"/>
        <w:gridCol w:w="1000"/>
        <w:gridCol w:w="1000"/>
        <w:gridCol w:w="950"/>
      </w:tblGrid>
      <w:tr>
        <w:trPr>
          <w:cantSplit/>
          <w:jc w:val="center"/>
        </w:trPr>
        <w:tc>
          <w:tcPr>
            <w:tcW w:w="164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line="240" w:lineRule="exact"/>
            </w:pPr>
            <w:r>
              <w:t xml:space="preserve">方式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1441</w:t>
            </w:r>
          </w:p>
          <w:p>
            <w:pPr>
              <w:keepNext/>
              <w:spacing w:line="240" w:lineRule="exact"/>
              <w:jc w:val="center"/>
            </w:pPr>
            <w:r>
              <w:t xml:space="preserve">誤差[m]</w:t>
            </w:r>
          </w:p>
        </w:tc>
        <w:tc>
          <w:tcPr>
            <w:tcW w:w="100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1442</w:t>
            </w:r>
          </w:p>
          <w:p>
            <w:pPr>
              <w:keepNext/>
              <w:spacing w:line="240" w:lineRule="exact"/>
              <w:jc w:val="center"/>
            </w:pPr>
            <w:r>
              <w:t xml:space="preserve">誤差[m]</w:t>
            </w:r>
          </w:p>
        </w:tc>
        <w:tc>
          <w:tcPr>
            <w:tcW w:w="95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1442</w:t>
            </w:r>
          </w:p>
          <w:p>
            <w:pPr>
              <w:keepNext/>
              <w:spacing w:line="240" w:lineRule="exact"/>
              <w:jc w:val="center"/>
            </w:pPr>
            <w:r>
              <w:t xml:space="preserve">全滅[回]</w:t>
            </w:r>
          </w:p>
        </w:tc>
      </w:tr>
      <w:tr>
        <w:trPr>
          <w:cantSplit/>
          <w:jc w:val="center"/>
        </w:trPr>
        <w:tc>
          <w:tcPr>
            <w:tcW w:w="1640" w:type="dxa"/>
            <w:tcBorders>
              <w:top w:val="single" w:sz="6" w:space="0" w:color="000000"/>
            </w:tcBorders>
            <w:vAlign w:val="center"/>
          </w:tcPr>
          <w:p>
            <w:pPr>
              <w:keepNext/>
              <w:spacing w:line="240" w:lineRule="exact"/>
            </w:pPr>
            <w:r>
              <w:t xml:space="preserve">A PDRのみ</w:t>
            </w:r>
          </w:p>
        </w:tc>
        <w:tc>
          <w:tcPr>
            <w:tcW w:w="1000" w:type="dxa"/>
            <w:tcBorders>
              <w:top w:val="single" w:sz="6" w:space="0" w:color="000000"/>
            </w:tcBorders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18.46</w:t>
            </w:r>
          </w:p>
        </w:tc>
        <w:tc>
          <w:tcPr>
            <w:tcW w:w="1000" w:type="dxa"/>
            <w:tcBorders>
              <w:top w:val="single" w:sz="6" w:space="0" w:color="000000"/>
            </w:tcBorders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13.32</w:t>
            </w:r>
          </w:p>
        </w:tc>
        <w:tc>
          <w:tcPr>
            <w:tcW w:w="950" w:type="dxa"/>
            <w:tcBorders>
              <w:top w:val="single" w:sz="6" w:space="0" w:color="000000"/>
            </w:tcBorders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－</w:t>
            </w:r>
          </w:p>
        </w:tc>
      </w:tr>
      <w:tr>
        <w:trPr>
          <w:cantSplit/>
          <w:jc w:val="center"/>
        </w:trPr>
        <w:tc>
          <w:tcPr>
            <w:tcW w:w="1640" w:type="dxa"/>
            <w:tcBorders/>
            <w:vAlign w:val="center"/>
          </w:tcPr>
          <w:p>
            <w:pPr>
              <w:keepNext/>
              <w:spacing w:line="240" w:lineRule="exact"/>
            </w:pPr>
            <w:r>
              <w:t xml:space="preserve">B 固定粒子数PF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17.49±1.39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19.02±6.84</w:t>
            </w:r>
          </w:p>
        </w:tc>
        <w:tc>
          <w:tcPr>
            <w:tcW w:w="950" w:type="dxa"/>
            <w:tcBorders/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2.67</w:t>
            </w:r>
          </w:p>
        </w:tc>
      </w:tr>
      <w:tr>
        <w:trPr>
          <w:cantSplit/>
          <w:jc w:val="center"/>
        </w:trPr>
        <w:tc>
          <w:tcPr>
            <w:tcW w:w="1640" w:type="dxa"/>
            <w:tcBorders/>
            <w:vAlign w:val="center"/>
          </w:tcPr>
          <w:p>
            <w:pPr>
              <w:keepNext/>
              <w:spacing w:line="240" w:lineRule="exact"/>
            </w:pPr>
            <w:r>
              <w:t xml:space="preserve">C 移動様態適応PF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17.16±0.53</w:t>
            </w:r>
          </w:p>
        </w:tc>
        <w:tc>
          <w:tcPr>
            <w:tcW w:w="1000" w:type="dxa"/>
            <w:tcBorders/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13.29±1.54</w:t>
            </w:r>
          </w:p>
        </w:tc>
        <w:tc>
          <w:tcPr>
            <w:tcW w:w="950" w:type="dxa"/>
            <w:tcBorders/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1.50</w:t>
            </w:r>
          </w:p>
        </w:tc>
      </w:tr>
      <w:tr>
        <w:trPr>
          <w:cantSplit/>
          <w:jc w:val="center"/>
        </w:trPr>
        <w:tc>
          <w:tcPr>
            <w:tcW w:w="1640" w:type="dxa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40" w:lineRule="exact"/>
            </w:pPr>
            <w:r>
              <w:t xml:space="preserve">E 提案方式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15.75±0.43</w:t>
            </w:r>
          </w:p>
        </w:tc>
        <w:tc>
          <w:tcPr>
            <w:tcW w:w="1000" w:type="dxa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12.57±1.21</w:t>
            </w:r>
          </w:p>
        </w:tc>
        <w:tc>
          <w:tcPr>
            <w:tcW w:w="950" w:type="dxa"/>
            <w:tcBorders>
              <w:bottom w:val="single" w:sz="6" w:space="0" w:color="000000"/>
            </w:tcBorders>
            <w:vAlign w:val="center"/>
          </w:tcPr>
          <w:p>
            <w:pPr>
              <w:keepNext/>
              <w:spacing w:line="240" w:lineRule="exact"/>
              <w:jc w:val="center"/>
            </w:pPr>
            <w:r>
              <w:t xml:space="preserve">0.17</w:t>
            </w:r>
          </w:p>
        </w:tc>
      </w:tr>
    </w:tbl>
    <w:p>
      <w:pPr>
        <w:spacing w:before="20" w:after="100"/>
        <w:ind w:left="150" w:hanging="150"/>
      </w:pPr>
      <w:r>
        <w:rPr>
          <w:sz w:val="16"/>
          <w:szCs w:val="16"/>
        </w:rPr>
        <w:t xml:space="preserve">※1441の全滅は全方式で0回．Aは乱数を使わないため1回．2本は調整用のデータで評価用ではない．終点誤差はRMSEの代替指標である．</w:t>
      </w:r>
    </w:p>
    <w:p w14:paraId="1A00383F" w14:textId="77777777" w:rsidR="009930DC" w:rsidRDefault="00000000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1A003877" wp14:editId="59682215">
            <wp:extent cx="2102438" cy="1942252"/>
            <wp:effectExtent l="0" t="0" r="3810" b="444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11" cy="263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3840" w14:textId="77777777" w:rsidR="009930DC" w:rsidRDefault="00000000">
      <w:pPr>
        <w:spacing w:before="20" w:after="100"/>
        <w:jc w:val="center"/>
      </w:pPr>
      <w:r>
        <w:rPr>
          <w:sz w:val="16"/>
          <w:szCs w:val="16"/>
        </w:rPr>
        <w:t>図</w:t>
      </w:r>
      <w:r>
        <w:rPr>
          <w:sz w:val="16"/>
          <w:szCs w:val="16"/>
        </w:rPr>
        <w:t>3</w:t>
      </w:r>
      <w:r>
        <w:rPr>
          <w:sz w:val="16"/>
          <w:szCs w:val="16"/>
        </w:rPr>
        <w:t xml:space="preserve">　推定軌跡</w:t>
      </w:r>
      <w:r>
        <w:rPr>
          <w:sz w:val="16"/>
          <w:szCs w:val="16"/>
        </w:rPr>
        <w:t>（</w:t>
      </w:r>
      <w:r>
        <w:rPr>
          <w:sz w:val="16"/>
          <w:szCs w:val="16"/>
        </w:rPr>
        <w:t>上：</w:t>
      </w:r>
      <w:r>
        <w:rPr>
          <w:sz w:val="16"/>
          <w:szCs w:val="16"/>
        </w:rPr>
        <w:t>1441</w:t>
      </w:r>
      <w:r>
        <w:rPr>
          <w:sz w:val="16"/>
          <w:szCs w:val="16"/>
        </w:rPr>
        <w:t>，下：</w:t>
      </w:r>
      <w:r>
        <w:rPr>
          <w:sz w:val="16"/>
          <w:szCs w:val="16"/>
        </w:rPr>
        <w:t>1442</w:t>
      </w:r>
      <w:r>
        <w:rPr>
          <w:sz w:val="16"/>
          <w:szCs w:val="16"/>
        </w:rPr>
        <w:t>．シード</w:t>
      </w:r>
      <w:r>
        <w:rPr>
          <w:sz w:val="16"/>
          <w:szCs w:val="16"/>
        </w:rPr>
        <w:t>42</w:t>
      </w:r>
      <w:r>
        <w:rPr>
          <w:sz w:val="16"/>
          <w:szCs w:val="16"/>
        </w:rPr>
        <w:t>の</w:t>
      </w:r>
      <w:r>
        <w:rPr>
          <w:sz w:val="16"/>
          <w:szCs w:val="16"/>
        </w:rPr>
        <w:t>1</w:t>
      </w:r>
      <w:r>
        <w:rPr>
          <w:sz w:val="16"/>
          <w:szCs w:val="16"/>
        </w:rPr>
        <w:t>回分</w:t>
      </w:r>
      <w:r>
        <w:rPr>
          <w:sz w:val="16"/>
          <w:szCs w:val="16"/>
        </w:rPr>
        <w:t>）</w:t>
      </w:r>
    </w:p>
    <w:p w14:paraId="1A003865" w14:textId="755E71C1" w:rsidR="009930DC" w:rsidRDefault="00000000">
      <w:pPr>
        <w:keepNext/>
        <w:spacing w:before="40" w:line="280" w:lineRule="exact"/>
      </w:pPr>
      <w:r>
        <w:rPr>
          <w:rFonts w:eastAsia="MS ゴシック"/>
          <w:b/>
          <w:bCs/>
          <w:sz w:val="21"/>
          <w:szCs w:val="21"/>
        </w:rPr>
        <w:t>3</w:t>
      </w:r>
      <w:r w:rsidR="00914E3E">
        <w:rPr>
          <w:rFonts w:eastAsia="MS ゴシック"/>
          <w:b/>
          <w:bCs/>
          <w:sz w:val="21"/>
          <w:szCs w:val="21"/>
        </w:rPr>
        <w:t>.</w:t>
      </w:r>
      <w:r>
        <w:rPr>
          <w:rFonts w:eastAsia="MS ゴシック"/>
          <w:b/>
          <w:bCs/>
          <w:sz w:val="21"/>
          <w:szCs w:val="21"/>
        </w:rPr>
        <w:t>4</w:t>
      </w:r>
      <w:r>
        <w:rPr>
          <w:rFonts w:eastAsia="MS ゴシック"/>
          <w:b/>
          <w:bCs/>
          <w:sz w:val="21"/>
          <w:szCs w:val="21"/>
        </w:rPr>
        <w:t xml:space="preserve"> 移動様態の判定の偏り</w:t>
      </w:r>
    </w:p>
    <w:p>
      <w:pPr>
        <w:spacing w:line="280" w:lineRule="exact"/>
        <w:ind w:firstLine="180"/>
        <w:jc w:val="both"/>
      </w:pPr>
      <w:r>
        <w:t xml:space="preserve">実際の曲がり角は2か所だが，歩行の82〜100%が「曲がり」と判定された．直進中も歩行の揺れでヨーレートが15〜19度/秒あり，曲がりを終えるしきい値（10度/秒）を下回らないためである．そのため，BとCの差は，今のところ移動様態に合わせた効果を示していない．</w:t>
      </w:r>
    </w:p>
    <w:p w14:paraId="1A003867" w14:textId="77777777" w:rsidR="009930DC" w:rsidRDefault="00000000">
      <w:pPr>
        <w:keepNext/>
        <w:spacing w:before="120" w:after="20" w:line="300" w:lineRule="exact"/>
      </w:pPr>
      <w:r>
        <w:rPr>
          <w:rFonts w:eastAsia="MS ゴシック"/>
          <w:b/>
          <w:bCs/>
          <w:sz w:val="24"/>
          <w:szCs w:val="24"/>
        </w:rPr>
        <w:t>4</w:t>
      </w:r>
      <w:r>
        <w:rPr>
          <w:rFonts w:eastAsia="MS ゴシック"/>
          <w:b/>
          <w:bCs/>
          <w:sz w:val="24"/>
          <w:szCs w:val="24"/>
        </w:rPr>
        <w:t xml:space="preserve"> おわりに</w:t>
      </w:r>
      <w:r>
        <w:rPr>
          <w:rFonts w:eastAsia="MS ゴシック"/>
          <w:b/>
          <w:bCs/>
          <w:sz w:val="24"/>
          <w:szCs w:val="24"/>
        </w:rPr>
        <w:t>/</w:t>
      </w:r>
      <w:r>
        <w:rPr>
          <w:rFonts w:eastAsia="MS ゴシック"/>
          <w:b/>
          <w:bCs/>
          <w:sz w:val="24"/>
          <w:szCs w:val="24"/>
        </w:rPr>
        <w:t>今後の展望</w:t>
      </w:r>
    </w:p>
    <w:p>
      <w:pPr>
        <w:spacing w:line="280" w:lineRule="exact"/>
        <w:ind w:firstLine="180"/>
        <w:jc w:val="both"/>
      </w:pPr>
      <w:r>
        <w:t xml:space="preserve">本研究では，SmartPDRと移動様態適応PFに提案1・2を加えたシステムを実装した．実測データ2本では，提案方式Eの終点誤差が最も小さかったが，Cとの差は0.7〜1.4mと小さく，曲がりの判定にも偏りがあった．課題は，（1）時刻と対応した正解位置がなく，RMSEで評価できていないこと，（2）歩幅の校正ゲインと曲がり終了のしきい値が暫定値で，評価と同じデータから決めていること，（3）データが1つの地図・1人の歩行者の2本だけで，方式の優劣を論じるには足りないことである．</w:t>
      </w:r>
    </w:p>
    <w:p>
      <w:pPr>
        <w:spacing w:line="280" w:lineRule="exact"/>
        <w:ind w:firstLine="180"/>
        <w:jc w:val="both"/>
      </w:pPr>
      <w:r>
        <w:t xml:space="preserve">今後は，校正用の直線歩行と，地点ごとに時刻を記録する評価用の歩行を計測する．前者で歩幅の校正ゲインと曲がり判定のしきい値を決め直し，後者の正解位置を用いたRMSEで4方式を比較して，提案1・2の効果を確かめる．実験は11月末までに終える予定である．</w:t>
      </w:r>
    </w:p>
    <w:p>
      <w:pPr>
        <w:keepNext/>
        <w:spacing w:before="120" w:after="20" w:line="320" w:lineRule="exact"/>
      </w:pPr>
      <w:r>
        <w:rPr>
          <w:rFonts w:eastAsia="MS ゴシック"/>
          <w:b/>
          <w:bCs/>
          <w:sz w:val="24"/>
          <w:szCs w:val="24"/>
        </w:rPr>
        <w:t xml:space="preserve">5 参考文献</w:t>
      </w:r>
    </w:p>
    <w:p>
      <w:pPr>
        <w:tabs>
          <w:tab w:val="left" w:pos="360"/>
        </w:tabs>
        <w:spacing w:line="280" w:lineRule="exact"/>
        <w:ind w:left="360" w:hanging="360"/>
      </w:pPr>
      <w:r>
        <w:t xml:space="preserve">[1]</w:t>
      </w:r>
      <w:r>
        <w:tab/>
        <w:t xml:space="preserve">目黒淳一，竹内栄二朗，鈴木太郎，「ロボティクスにおけるGNSS失敗学」，日本ロボット学会誌，vol. 37，no. 7，pp. 585-592，2019．</w:t>
      </w:r>
    </w:p>
    <w:p>
      <w:pPr>
        <w:tabs>
          <w:tab w:val="left" w:pos="360"/>
        </w:tabs>
        <w:spacing w:line="280" w:lineRule="exact"/>
        <w:ind w:left="360" w:hanging="360"/>
      </w:pPr>
      <w:r>
        <w:t xml:space="preserve">[2]</w:t>
      </w:r>
      <w:r>
        <w:tab/>
        <w:t xml:space="preserve">西尾信彦，「屋内測位技術の概要と動向」，電気設備学会誌，vol. 42，no. 7，pp. 393-396，2022．</w:t>
      </w:r>
    </w:p>
    <w:p>
      <w:pPr>
        <w:tabs>
          <w:tab w:val="left" w:pos="360"/>
        </w:tabs>
        <w:spacing w:line="280" w:lineRule="exact"/>
        <w:ind w:left="360" w:hanging="360"/>
      </w:pPr>
      <w:r>
        <w:t xml:space="preserve">[3]</w:t>
      </w:r>
      <w:r>
        <w:tab/>
        <w:t xml:space="preserve">W. Kang and Y. Han, “SmartPDR: Smartphone-Based Pedestrian Dead Reckoning for Indoor Localization,” IEEE Sensors Journal, vol. 15, no. 5, pp. 2906-2916, 2015.</w:t>
      </w:r>
    </w:p>
    <w:p>
      <w:pPr>
        <w:tabs>
          <w:tab w:val="left" w:pos="360"/>
        </w:tabs>
        <w:spacing w:line="280" w:lineRule="exact"/>
        <w:ind w:left="360" w:hanging="360"/>
      </w:pPr>
      <w:r>
        <w:t xml:space="preserve">[4]</w:t>
      </w:r>
      <w:r>
        <w:tab/>
        <w:t xml:space="preserve">秋山高行，中原豪，山崎勝也，大橋洋輝，佐藤暁子，「移動様態に応じたパーティクルフィルタによる歩行者自律測位方式の提案と評価」，FIT2013 第12回情報科学技術フォーラム，RO-017，pp. 165-171，2013．</w:t>
      </w:r>
    </w:p>
    <w:p>
      <w:pPr>
        <w:tabs>
          <w:tab w:val="left" w:pos="360"/>
        </w:tabs>
        <w:spacing w:line="280" w:lineRule="exact"/>
        <w:ind w:left="360" w:hanging="360"/>
      </w:pPr>
      <w:r>
        <w:t xml:space="preserve">[5]</w:t>
      </w:r>
      <w:r>
        <w:tab/>
        <w:t xml:space="preserve">M. S. Arulampalam, S. Maskell, N. Gordon and T. Clapp, “A Tutorial on Particle Filters for Online Nonlinear/Non-Gaussian Bayesian Tracking,” IEEE Trans. Signal Processing, vol. 50, no. 2, pp. 174-188, 2002.</w:t>
      </w:r>
    </w:p>
    <w:sectPr w:rsidR="009930DC">
      <w:headerReference w:type="default" r:id="rIdHdr1"/>
      <w:type w:val="continuous"/>
      <w:pgSz w:w="11906" w:h="16838"/>
      <w:pgMar w:top="1701" w:right="1134" w:bottom="1417" w:left="1134" w:header="700" w:footer="708" w:gutter="0"/>
      <w:cols w:num="2" w:space="45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明朝">
    <w:altName w:val="Yu Gothic"/>
    <w:panose1 w:val="020B0604020202020204"/>
    <w:charset w:val="80"/>
    <w:family w:val="roman"/>
    <w:notTrueType/>
    <w:pitch w:val="default"/>
  </w:font>
  <w:font w:name="MS ゴシック">
    <w:altName w:val="Yu Gothic"/>
    <w:panose1 w:val="020B0604020202020204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sz w:val="18"/>
        <w:szCs w:val="18"/>
      </w:rPr>
      <w:t>2026年度徳山工業高等専門学校　情報電子工学科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742641"/>
    <w:multiLevelType w:val="hybridMultilevel"/>
    <w:tmpl w:val="879029AE"/>
    <w:lvl w:ilvl="0" w:tplc="7CCC3502" w:tentative="1">
      <w:start w:val="1"/>
      <w:numFmt w:val="bullet"/>
      <w:lvlText w:val="●"/>
      <w:lvlJc w:val="left"/>
      <w:pPr>
        <w:ind w:left="720" w:hanging="360"/>
      </w:pPr>
    </w:lvl>
    <w:lvl w:ilvl="1" w:tplc="FA66A1F4" w:tentative="1">
      <w:start w:val="1"/>
      <w:numFmt w:val="bullet"/>
      <w:lvlText w:val="○"/>
      <w:lvlJc w:val="left"/>
      <w:pPr>
        <w:ind w:left="1440" w:hanging="360"/>
      </w:pPr>
    </w:lvl>
    <w:lvl w:ilvl="2" w:tplc="9796D708" w:tentative="1">
      <w:start w:val="1"/>
      <w:numFmt w:val="bullet"/>
      <w:lvlText w:val="■"/>
      <w:lvlJc w:val="left"/>
      <w:pPr>
        <w:ind w:left="2160" w:hanging="360"/>
      </w:pPr>
    </w:lvl>
    <w:lvl w:ilvl="3" w:tplc="F9B074E2" w:tentative="1">
      <w:start w:val="1"/>
      <w:numFmt w:val="bullet"/>
      <w:lvlText w:val="●"/>
      <w:lvlJc w:val="left"/>
      <w:pPr>
        <w:ind w:left="2880" w:hanging="360"/>
      </w:pPr>
    </w:lvl>
    <w:lvl w:ilvl="4" w:tplc="9D0E9650" w:tentative="1">
      <w:start w:val="1"/>
      <w:numFmt w:val="bullet"/>
      <w:lvlText w:val="○"/>
      <w:lvlJc w:val="left"/>
      <w:pPr>
        <w:ind w:left="3600" w:hanging="360"/>
      </w:pPr>
    </w:lvl>
    <w:lvl w:ilvl="5" w:tplc="04EA06FC" w:tentative="1">
      <w:start w:val="1"/>
      <w:numFmt w:val="bullet"/>
      <w:lvlText w:val="■"/>
      <w:lvlJc w:val="left"/>
      <w:pPr>
        <w:ind w:left="4320" w:hanging="360"/>
      </w:pPr>
    </w:lvl>
    <w:lvl w:ilvl="6" w:tplc="60200FD2" w:tentative="1">
      <w:start w:val="1"/>
      <w:numFmt w:val="bullet"/>
      <w:lvlText w:val="●"/>
      <w:lvlJc w:val="left"/>
      <w:pPr>
        <w:ind w:left="5040" w:hanging="360"/>
      </w:pPr>
    </w:lvl>
    <w:lvl w:ilvl="7" w:tplc="56C2A234" w:tentative="1">
      <w:start w:val="1"/>
      <w:numFmt w:val="bullet"/>
      <w:lvlText w:val="●"/>
      <w:lvlJc w:val="left"/>
      <w:pPr>
        <w:ind w:left="5760" w:hanging="360"/>
      </w:pPr>
    </w:lvl>
    <w:lvl w:ilvl="8" w:tplc="5526021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0474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0DC"/>
    <w:rsid w:val="002365FA"/>
    <w:rsid w:val="00265006"/>
    <w:rsid w:val="002E04EF"/>
    <w:rsid w:val="003419A5"/>
    <w:rsid w:val="003D3A28"/>
    <w:rsid w:val="0073463E"/>
    <w:rsid w:val="007D25CA"/>
    <w:rsid w:val="00914E3E"/>
    <w:rsid w:val="00967B5B"/>
    <w:rsid w:val="0097133D"/>
    <w:rsid w:val="009930DC"/>
    <w:rsid w:val="009A7C7E"/>
    <w:rsid w:val="00AE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03815"/>
  <w15:docId w15:val="{B65A1BC7-74FF-7543-A14F-509DC692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S 明朝" w:hAnsi="Times New Roman" w:cs="Times New Roman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太字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Hdr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e835d-5e95-4512-8ae0-a7b38af25fc8}" enabled="0" method="" siteId="{72fe835d-5e95-4512-8ae0-a7b38af25f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佐藤 壮真＠徳山学生</cp:lastModifiedBy>
  <cp:revision>12</cp:revision>
  <dcterms:created xsi:type="dcterms:W3CDTF">2026-10-05T05:41:00Z</dcterms:created>
  <dcterms:modified xsi:type="dcterms:W3CDTF">2026-10-05T06:44:00Z</dcterms:modified>
</cp:coreProperties>
</file>