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003815" w14:textId="77777777" w:rsidR="009930DC" w:rsidRDefault="00000000">
      <w:pPr>
        <w:spacing w:after="200"/>
        <w:jc w:val="center"/>
      </w:pPr>
      <w:r>
        <w:rPr>
          <w:sz w:val="20"/>
          <w:szCs w:val="20"/>
        </w:rPr>
        <w:t>令和</w:t>
      </w:r>
      <w:r>
        <w:rPr>
          <w:sz w:val="20"/>
          <w:szCs w:val="20"/>
        </w:rPr>
        <w:t>8</w:t>
      </w:r>
      <w:r>
        <w:rPr>
          <w:sz w:val="20"/>
          <w:szCs w:val="20"/>
        </w:rPr>
        <w:t>年度徳山工業高等専門学校　情報電子工学科</w:t>
      </w:r>
    </w:p>
    <w:p w14:paraId="1A003816" w14:textId="77777777" w:rsidR="009930DC" w:rsidRDefault="00000000">
      <w:pPr>
        <w:spacing w:line="460" w:lineRule="exact"/>
        <w:jc w:val="center"/>
      </w:pPr>
      <w:r>
        <w:rPr>
          <w:sz w:val="32"/>
          <w:szCs w:val="32"/>
        </w:rPr>
        <w:t>地図制約付き移動様態適応パーティクルフィルタによる</w:t>
      </w:r>
    </w:p>
    <w:p w14:paraId="1A003817" w14:textId="77777777" w:rsidR="009930DC" w:rsidRDefault="00000000">
      <w:pPr>
        <w:spacing w:after="120" w:line="460" w:lineRule="exact"/>
        <w:jc w:val="center"/>
      </w:pPr>
      <w:r>
        <w:rPr>
          <w:sz w:val="32"/>
          <w:szCs w:val="32"/>
        </w:rPr>
        <w:t>スマートフォン屋内歩行者測位</w:t>
      </w:r>
    </w:p>
    <w:p w14:paraId="1A003819" w14:textId="2F6CD701" w:rsidR="009930DC" w:rsidRDefault="00265006" w:rsidP="00265006">
      <w:pPr>
        <w:spacing w:after="240"/>
        <w:jc w:val="center"/>
        <w:rPr>
          <w:rFonts w:hint="eastAsia"/>
        </w:rPr>
        <w:sectPr w:rsidR="009930DC">
          <w:pgSz w:w="11906" w:h="16838"/>
          <w:pgMar w:top="1134" w:right="1020" w:bottom="1134" w:left="1020" w:header="708" w:footer="708" w:gutter="0"/>
          <w:cols w:space="720"/>
          <w:docGrid w:linePitch="360"/>
        </w:sectPr>
      </w:pPr>
      <w:r>
        <w:rPr>
          <w:rFonts w:hint="eastAsia"/>
          <w:sz w:val="22"/>
          <w:szCs w:val="22"/>
        </w:rPr>
        <w:t>佐藤壮真　（浦上</w:t>
      </w:r>
      <w:r w:rsidR="00000000">
        <w:rPr>
          <w:sz w:val="22"/>
          <w:szCs w:val="22"/>
        </w:rPr>
        <w:t>研究室）</w:t>
      </w:r>
    </w:p>
    <w:p w14:paraId="1A00381A" w14:textId="77777777" w:rsidR="009930DC" w:rsidRDefault="00000000">
      <w:pPr>
        <w:keepNext/>
        <w:spacing w:before="120" w:after="20" w:line="300" w:lineRule="exact"/>
      </w:pPr>
      <w:r>
        <w:rPr>
          <w:rFonts w:eastAsia="MS ゴシック"/>
          <w:b/>
          <w:bCs/>
          <w:sz w:val="21"/>
          <w:szCs w:val="21"/>
        </w:rPr>
        <w:t>1</w:t>
      </w:r>
      <w:r>
        <w:rPr>
          <w:rFonts w:eastAsia="MS ゴシック"/>
          <w:b/>
          <w:bCs/>
          <w:sz w:val="21"/>
          <w:szCs w:val="21"/>
        </w:rPr>
        <w:t xml:space="preserve">　はじめに</w:t>
      </w:r>
    </w:p>
    <w:p w14:paraId="1A00381B" w14:textId="05B37D3D" w:rsidR="009930DC" w:rsidRDefault="00000000">
      <w:pPr>
        <w:spacing w:line="280" w:lineRule="exact"/>
        <w:ind w:firstLine="190"/>
        <w:jc w:val="both"/>
      </w:pPr>
      <w:r>
        <w:t>屋内では</w:t>
      </w:r>
      <w:r>
        <w:t>G</w:t>
      </w:r>
      <w:r w:rsidR="003D3A28">
        <w:t>P</w:t>
      </w:r>
      <w:r>
        <w:t>S(</w:t>
      </w:r>
      <w:r w:rsidR="003D3A28">
        <w:t>GNSS</w:t>
      </w:r>
      <w:r>
        <w:t>)</w:t>
      </w:r>
      <w:r>
        <w:t>の信号が弱く，測位が難しい</w:t>
      </w:r>
      <w:r>
        <w:t>[1]</w:t>
      </w:r>
      <w:r>
        <w:t>．屋内測位には</w:t>
      </w:r>
      <w:r>
        <w:t>Wi-Fi</w:t>
      </w:r>
      <w:r>
        <w:t>や</w:t>
      </w:r>
      <w:r>
        <w:t>BLE</w:t>
      </w:r>
      <w:r>
        <w:t>ビーコンを使う方法もあるが，発信機の設置や電波マップの維持管理にコストがかかる</w:t>
      </w:r>
      <w:r>
        <w:t>[2]</w:t>
      </w:r>
      <w:r>
        <w:t>．設備に頼らない方法として，スマートフォンの慣性センサ</w:t>
      </w:r>
      <w:r>
        <w:t>(IMU)</w:t>
      </w:r>
      <w:r>
        <w:t>で歩数・歩幅・方位を求めて位置を積み上げる歩行者推測航法</w:t>
      </w:r>
      <w:r>
        <w:t>(PDR)</w:t>
      </w:r>
      <w:r>
        <w:t>がある．ただし</w:t>
      </w:r>
      <w:r>
        <w:t>PDR</w:t>
      </w:r>
      <w:r>
        <w:t>は，歩くほど誤差が累積する</w:t>
      </w:r>
      <w:r>
        <w:t>[2]</w:t>
      </w:r>
      <w:r>
        <w:t>．</w:t>
      </w:r>
    </w:p>
    <w:p w14:paraId="1A00381C" w14:textId="66723DC4" w:rsidR="009930DC" w:rsidRDefault="00000000">
      <w:pPr>
        <w:spacing w:line="280" w:lineRule="exact"/>
        <w:ind w:firstLine="190"/>
        <w:jc w:val="both"/>
      </w:pPr>
      <w:r>
        <w:t>そこで本研究では，建物の地図を使って</w:t>
      </w:r>
      <w:r w:rsidR="002365FA">
        <w:t>PDR</w:t>
      </w:r>
      <w:r>
        <w:t>の誤差を抑える．</w:t>
      </w:r>
      <w:r>
        <w:t>PDR</w:t>
      </w:r>
      <w:r>
        <w:t>には</w:t>
      </w:r>
      <w:r>
        <w:t>SmartPDR[3]</w:t>
      </w:r>
      <w:r>
        <w:t>のステップ検出と歩幅推定を使う．地図による補正には，秋山らの移動様態に応じたパーティクルフィルタ</w:t>
      </w:r>
      <w:r>
        <w:t>(PF)[4]</w:t>
      </w:r>
      <w:r>
        <w:t>を用いる．これは，直進・曲がり・滞留の移動様態ごとに粒子数とノイズを変える方式である．本研究では，この方式に次の</w:t>
      </w:r>
      <w:r>
        <w:t>2</w:t>
      </w:r>
      <w:r>
        <w:t>点を加える．</w:t>
      </w:r>
    </w:p>
    <w:p w14:paraId="1A00381D" w14:textId="77777777" w:rsidR="009930DC" w:rsidRDefault="00000000">
      <w:pPr>
        <w:spacing w:line="280" w:lineRule="exact"/>
        <w:ind w:left="380" w:hanging="380"/>
        <w:jc w:val="both"/>
      </w:pPr>
      <w:r>
        <w:t xml:space="preserve">(1) </w:t>
      </w:r>
      <w:r>
        <w:t>二値化した地図から，歩ける範囲を「経路帯」として自動抽出し，粒子をその中に制約する．</w:t>
      </w:r>
    </w:p>
    <w:p w14:paraId="1A00381E" w14:textId="77777777" w:rsidR="009930DC" w:rsidRDefault="00000000">
      <w:pPr>
        <w:spacing w:line="280" w:lineRule="exact"/>
        <w:ind w:left="380" w:hanging="380"/>
        <w:jc w:val="both"/>
      </w:pPr>
      <w:r>
        <w:t xml:space="preserve">(2) </w:t>
      </w:r>
      <w:r>
        <w:t>有効粒子数に応じて粒子数を増減する「不確実性適応粒子数」を，様態別の粒子数に重ねる．</w:t>
      </w:r>
    </w:p>
    <w:p w14:paraId="1A00381F" w14:textId="77777777" w:rsidR="009930DC" w:rsidRDefault="00000000">
      <w:pPr>
        <w:spacing w:line="280" w:lineRule="exact"/>
        <w:ind w:firstLine="190"/>
        <w:jc w:val="both"/>
      </w:pPr>
      <w:r>
        <w:t>本発表では，実装したシステムと，実測データ</w:t>
      </w:r>
      <w:r>
        <w:t>2</w:t>
      </w:r>
      <w:r>
        <w:t>本での動作確認の結果，および見つかった課題を報告する．</w:t>
      </w:r>
    </w:p>
    <w:p w14:paraId="1A003820" w14:textId="77777777" w:rsidR="009930DC" w:rsidRDefault="00000000">
      <w:pPr>
        <w:keepNext/>
        <w:spacing w:before="120" w:after="20" w:line="300" w:lineRule="exact"/>
      </w:pPr>
      <w:r>
        <w:rPr>
          <w:rFonts w:eastAsia="MS ゴシック"/>
          <w:b/>
          <w:bCs/>
          <w:sz w:val="21"/>
          <w:szCs w:val="21"/>
        </w:rPr>
        <w:t>2</w:t>
      </w:r>
      <w:r>
        <w:rPr>
          <w:rFonts w:eastAsia="MS ゴシック"/>
          <w:b/>
          <w:bCs/>
          <w:sz w:val="21"/>
          <w:szCs w:val="21"/>
        </w:rPr>
        <w:t xml:space="preserve">　研究手法</w:t>
      </w:r>
    </w:p>
    <w:p w14:paraId="1A003821" w14:textId="3D70B20C" w:rsidR="009930DC" w:rsidRDefault="00000000">
      <w:pPr>
        <w:keepNext/>
        <w:spacing w:before="40" w:line="280" w:lineRule="exact"/>
      </w:pPr>
      <w:r>
        <w:rPr>
          <w:rFonts w:eastAsia="MS ゴシック"/>
          <w:b/>
          <w:bCs/>
          <w:sz w:val="20"/>
          <w:szCs w:val="20"/>
        </w:rPr>
        <w:t>2</w:t>
      </w:r>
      <w:r w:rsidR="00967B5B">
        <w:rPr>
          <w:rFonts w:eastAsia="MS ゴシック"/>
          <w:b/>
          <w:bCs/>
          <w:sz w:val="20"/>
          <w:szCs w:val="20"/>
        </w:rPr>
        <w:t>.</w:t>
      </w:r>
      <w:r>
        <w:rPr>
          <w:rFonts w:eastAsia="MS ゴシック"/>
          <w:b/>
          <w:bCs/>
          <w:sz w:val="20"/>
          <w:szCs w:val="20"/>
        </w:rPr>
        <w:t>1</w:t>
      </w:r>
      <w:r>
        <w:rPr>
          <w:rFonts w:eastAsia="MS ゴシック"/>
          <w:b/>
          <w:bCs/>
          <w:sz w:val="20"/>
          <w:szCs w:val="20"/>
        </w:rPr>
        <w:t xml:space="preserve">　処理の流れ</w:t>
      </w:r>
    </w:p>
    <w:p w14:paraId="1A003822" w14:textId="77777777" w:rsidR="009930DC" w:rsidRDefault="00000000">
      <w:pPr>
        <w:spacing w:line="280" w:lineRule="exact"/>
        <w:ind w:firstLine="190"/>
        <w:jc w:val="both"/>
      </w:pPr>
      <w:r>
        <w:t>処理の流れを図</w:t>
      </w:r>
      <w:r>
        <w:t>1</w:t>
      </w:r>
      <w:r>
        <w:t>に示す．</w:t>
      </w:r>
      <w:r>
        <w:t>Android</w:t>
      </w:r>
      <w:r>
        <w:t>の計測アプリで加速度・ジャイロ・方位を記録し，</w:t>
      </w:r>
      <w:r>
        <w:t>PC</w:t>
      </w:r>
      <w:r>
        <w:t>で</w:t>
      </w:r>
      <w:r>
        <w:t>1</w:t>
      </w:r>
      <w:r>
        <w:t>歩ごとに位置を推定する．</w:t>
      </w:r>
    </w:p>
    <w:p w14:paraId="1A003823" w14:textId="77777777" w:rsidR="009930DC" w:rsidRDefault="00000000">
      <w:pPr>
        <w:keepNext/>
        <w:spacing w:before="80"/>
        <w:jc w:val="center"/>
      </w:pPr>
      <w:r>
        <w:rPr>
          <w:noProof/>
        </w:rPr>
        <w:drawing>
          <wp:inline distT="0" distB="0" distL="0" distR="0" wp14:anchorId="1A003873" wp14:editId="1A003874">
            <wp:extent cx="2400300" cy="28098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400300" cy="2809875"/>
                    </a:xfrm>
                    <a:prstGeom prst="rect">
                      <a:avLst/>
                    </a:prstGeom>
                  </pic:spPr>
                </pic:pic>
              </a:graphicData>
            </a:graphic>
          </wp:inline>
        </w:drawing>
      </w:r>
    </w:p>
    <w:p w14:paraId="1A003824" w14:textId="77777777" w:rsidR="009930DC" w:rsidRDefault="00000000">
      <w:pPr>
        <w:spacing w:before="20" w:after="100"/>
        <w:jc w:val="center"/>
      </w:pPr>
      <w:r>
        <w:rPr>
          <w:sz w:val="17"/>
          <w:szCs w:val="17"/>
        </w:rPr>
        <w:t>図</w:t>
      </w:r>
      <w:r>
        <w:rPr>
          <w:sz w:val="17"/>
          <w:szCs w:val="17"/>
        </w:rPr>
        <w:t>1</w:t>
      </w:r>
      <w:r>
        <w:rPr>
          <w:sz w:val="17"/>
          <w:szCs w:val="17"/>
        </w:rPr>
        <w:t xml:space="preserve">　処理の流れ</w:t>
      </w:r>
    </w:p>
    <w:p w14:paraId="1A003825" w14:textId="5B5521AC" w:rsidR="009930DC" w:rsidRDefault="00000000">
      <w:pPr>
        <w:keepNext/>
        <w:spacing w:before="40" w:line="280" w:lineRule="exact"/>
      </w:pPr>
      <w:r>
        <w:rPr>
          <w:rFonts w:eastAsia="MS ゴシック"/>
          <w:b/>
          <w:bCs/>
          <w:sz w:val="20"/>
          <w:szCs w:val="20"/>
        </w:rPr>
        <w:t>2</w:t>
      </w:r>
      <w:r w:rsidR="00967B5B">
        <w:rPr>
          <w:rFonts w:eastAsia="MS ゴシック"/>
          <w:b/>
          <w:bCs/>
          <w:sz w:val="20"/>
          <w:szCs w:val="20"/>
        </w:rPr>
        <w:t>.</w:t>
      </w:r>
      <w:r>
        <w:rPr>
          <w:rFonts w:eastAsia="MS ゴシック"/>
          <w:b/>
          <w:bCs/>
          <w:sz w:val="20"/>
          <w:szCs w:val="20"/>
        </w:rPr>
        <w:t>2</w:t>
      </w:r>
      <w:r>
        <w:rPr>
          <w:rFonts w:eastAsia="MS ゴシック"/>
          <w:b/>
          <w:bCs/>
          <w:sz w:val="20"/>
          <w:szCs w:val="20"/>
        </w:rPr>
        <w:t xml:space="preserve">　</w:t>
      </w:r>
      <w:r>
        <w:rPr>
          <w:rFonts w:eastAsia="MS ゴシック"/>
          <w:b/>
          <w:bCs/>
          <w:sz w:val="20"/>
          <w:szCs w:val="20"/>
        </w:rPr>
        <w:t>PDR</w:t>
      </w:r>
      <w:r>
        <w:rPr>
          <w:rFonts w:eastAsia="MS ゴシック"/>
          <w:b/>
          <w:bCs/>
          <w:sz w:val="20"/>
          <w:szCs w:val="20"/>
        </w:rPr>
        <w:t>と移動様態の判定</w:t>
      </w:r>
    </w:p>
    <w:p w14:paraId="1A003826" w14:textId="77777777" w:rsidR="009930DC" w:rsidRDefault="00000000">
      <w:pPr>
        <w:spacing w:line="280" w:lineRule="exact"/>
        <w:ind w:firstLine="190"/>
        <w:jc w:val="both"/>
      </w:pPr>
      <w:r>
        <w:t>加速度のピークから</w:t>
      </w:r>
      <w:r>
        <w:t>1</w:t>
      </w:r>
      <w:r>
        <w:t>歩を検出し，歩幅と方位から</w:t>
      </w:r>
      <w:r>
        <w:t>1</w:t>
      </w:r>
      <w:r>
        <w:t>歩分の移動量を求める．</w:t>
      </w:r>
      <w:r>
        <w:t>SmartPDR[3]</w:t>
      </w:r>
      <w:r>
        <w:t>の式に，本研究で次の調整を加えた．</w:t>
      </w:r>
    </w:p>
    <w:p w14:paraId="1A003827" w14:textId="77777777" w:rsidR="009930DC" w:rsidRDefault="00000000">
      <w:pPr>
        <w:spacing w:line="280" w:lineRule="exact"/>
        <w:ind w:left="380" w:hanging="380"/>
        <w:jc w:val="both"/>
      </w:pPr>
      <w:r>
        <w:t>・歩調の上限</w:t>
      </w:r>
      <w:r>
        <w:t>2.9Hz</w:t>
      </w:r>
      <w:r>
        <w:t>から最短のピーク間隔を決め，ステップの過検出を防ぐ．</w:t>
      </w:r>
    </w:p>
    <w:p w14:paraId="1A003828" w14:textId="77777777" w:rsidR="009930DC" w:rsidRDefault="00000000">
      <w:pPr>
        <w:spacing w:line="280" w:lineRule="exact"/>
        <w:ind w:left="380" w:hanging="380"/>
        <w:jc w:val="both"/>
      </w:pPr>
      <w:r>
        <w:t>・歩幅には校正ゲイン</w:t>
      </w:r>
      <w:r>
        <w:t>(</w:t>
      </w:r>
      <w:r>
        <w:t>暫定値</w:t>
      </w:r>
      <w:r>
        <w:t>2.10)</w:t>
      </w:r>
      <w:r>
        <w:t>を掛ける．元の係数は論文の被験者・端末で求めた値で，今回の条件では約半分に小さく出たためである．</w:t>
      </w:r>
    </w:p>
    <w:p w14:paraId="65F86483" w14:textId="4BBF51BB" w:rsidR="002E04EF" w:rsidRDefault="002E04EF" w:rsidP="002E04EF">
      <w:pPr>
        <w:spacing w:line="280" w:lineRule="exact"/>
        <w:ind w:firstLine="190"/>
        <w:jc w:val="both"/>
      </w:pPr>
      <w:r>
        <w:rPr>
          <w:rFonts w:hint="eastAsia"/>
        </w:rPr>
        <w:t>各</w:t>
      </w:r>
      <w:r>
        <w:rPr>
          <w:rFonts w:hint="eastAsia"/>
        </w:rPr>
        <w:t>歩行</w:t>
      </w:r>
      <w:r>
        <w:rPr>
          <w:rFonts w:hint="eastAsia"/>
        </w:rPr>
        <w:t>が直進か曲がりかは，直近</w:t>
      </w:r>
      <w:r>
        <w:t>1.5</w:t>
      </w:r>
      <w:r>
        <w:rPr>
          <w:rFonts w:hint="eastAsia"/>
        </w:rPr>
        <w:t>秒間の</w:t>
      </w:r>
      <w:r>
        <w:t>2</w:t>
      </w:r>
      <w:r>
        <w:rPr>
          <w:rFonts w:hint="eastAsia"/>
        </w:rPr>
        <w:t>つの値で判定する．</w:t>
      </w:r>
      <w:r>
        <w:t>1</w:t>
      </w:r>
      <w:r>
        <w:rPr>
          <w:rFonts w:hint="eastAsia"/>
        </w:rPr>
        <w:t>つは方位の変化量，もう</w:t>
      </w:r>
      <w:r>
        <w:t>1</w:t>
      </w:r>
      <w:r>
        <w:rPr>
          <w:rFonts w:hint="eastAsia"/>
        </w:rPr>
        <w:t>つはヨーレート</w:t>
      </w:r>
      <w:r>
        <w:t>(</w:t>
      </w:r>
      <w:r>
        <w:rPr>
          <w:rFonts w:hint="eastAsia"/>
        </w:rPr>
        <w:t>向きが回転する速さ</w:t>
      </w:r>
      <w:r>
        <w:t>)</w:t>
      </w:r>
      <w:r>
        <w:rPr>
          <w:rFonts w:hint="eastAsia"/>
        </w:rPr>
        <w:t>である．ヨーレートには，一瞬の手ぶれの影響を避けるため，</w:t>
      </w:r>
      <w:r w:rsidR="00AE4563" w:rsidRPr="00AE4563">
        <w:t>1.5</w:t>
      </w:r>
      <w:r w:rsidR="00AE4563" w:rsidRPr="00AE4563">
        <w:t>秒間の値を小さい順に並べて上位</w:t>
      </w:r>
      <w:r w:rsidR="00AE4563" w:rsidRPr="00AE4563">
        <w:t>25%</w:t>
      </w:r>
      <w:r w:rsidR="00AE4563" w:rsidRPr="00AE4563">
        <w:t>を除いた境目の値</w:t>
      </w:r>
      <w:r w:rsidR="009A7C7E">
        <w:rPr>
          <w:rFonts w:hint="eastAsia"/>
        </w:rPr>
        <w:t>（</w:t>
      </w:r>
      <w:r w:rsidR="009A7C7E">
        <w:rPr>
          <w:rFonts w:hint="eastAsia"/>
        </w:rPr>
        <w:t>7</w:t>
      </w:r>
      <w:r>
        <w:t>5</w:t>
      </w:r>
      <w:r>
        <w:rPr>
          <w:rFonts w:hint="eastAsia"/>
        </w:rPr>
        <w:t>パーセンタイル</w:t>
      </w:r>
      <w:r w:rsidR="009A7C7E">
        <w:rPr>
          <w:rFonts w:hint="eastAsia"/>
        </w:rPr>
        <w:t>）</w:t>
      </w:r>
      <w:r>
        <w:rPr>
          <w:rFonts w:hint="eastAsia"/>
        </w:rPr>
        <w:t>を用いる．</w:t>
      </w:r>
    </w:p>
    <w:p w14:paraId="1A003829" w14:textId="57168DDF" w:rsidR="009930DC" w:rsidRDefault="002E04EF" w:rsidP="002E04EF">
      <w:pPr>
        <w:spacing w:line="280" w:lineRule="exact"/>
        <w:ind w:firstLine="190"/>
        <w:jc w:val="both"/>
      </w:pPr>
      <w:r>
        <w:rPr>
          <w:rFonts w:hint="eastAsia"/>
        </w:rPr>
        <w:t>直進中は，方位の変化量が</w:t>
      </w:r>
      <w:r>
        <w:t>20</w:t>
      </w:r>
      <w:r>
        <w:rPr>
          <w:rFonts w:hint="eastAsia"/>
        </w:rPr>
        <w:t>度以上，かつヨーレートが</w:t>
      </w:r>
      <w:r>
        <w:t>20</w:t>
      </w:r>
      <w:r>
        <w:rPr>
          <w:rFonts w:hint="eastAsia"/>
        </w:rPr>
        <w:t>度</w:t>
      </w:r>
      <w:r>
        <w:t>/</w:t>
      </w:r>
      <w:r>
        <w:rPr>
          <w:rFonts w:hint="eastAsia"/>
        </w:rPr>
        <w:t>秒以上になったときに「曲がり」に切り替える．曲がり中は，方位の変化量が</w:t>
      </w:r>
      <w:r>
        <w:t>6</w:t>
      </w:r>
      <w:r>
        <w:rPr>
          <w:rFonts w:hint="eastAsia"/>
        </w:rPr>
        <w:t>度未満，かつヨーレートが</w:t>
      </w:r>
      <w:r>
        <w:t>10</w:t>
      </w:r>
      <w:r>
        <w:rPr>
          <w:rFonts w:hint="eastAsia"/>
        </w:rPr>
        <w:t>度</w:t>
      </w:r>
      <w:r>
        <w:t>/</w:t>
      </w:r>
      <w:r>
        <w:rPr>
          <w:rFonts w:hint="eastAsia"/>
        </w:rPr>
        <w:t>秒未満になったときに「直進」に戻す．このように，切り替える条件と戻す条件のしきい値を変えておく</w:t>
      </w:r>
      <w:r>
        <w:t>(</w:t>
      </w:r>
      <w:r>
        <w:rPr>
          <w:rFonts w:hint="eastAsia"/>
        </w:rPr>
        <w:t>ヒステリシス</w:t>
      </w:r>
      <w:r>
        <w:t>)</w:t>
      </w:r>
      <w:r>
        <w:rPr>
          <w:rFonts w:hint="eastAsia"/>
        </w:rPr>
        <w:t>ことで，判定が細かく切り替わるのを防ぐ．</w:t>
      </w:r>
    </w:p>
    <w:p w14:paraId="1A00382A" w14:textId="63659BB1" w:rsidR="009930DC" w:rsidRDefault="00000000">
      <w:pPr>
        <w:keepNext/>
        <w:spacing w:before="40" w:line="280" w:lineRule="exact"/>
      </w:pPr>
      <w:r>
        <w:rPr>
          <w:rFonts w:eastAsia="MS ゴシック"/>
          <w:b/>
          <w:bCs/>
          <w:sz w:val="20"/>
          <w:szCs w:val="20"/>
        </w:rPr>
        <w:t>2</w:t>
      </w:r>
      <w:r w:rsidR="00967B5B">
        <w:rPr>
          <w:rFonts w:eastAsia="MS ゴシック"/>
          <w:b/>
          <w:bCs/>
          <w:sz w:val="20"/>
          <w:szCs w:val="20"/>
        </w:rPr>
        <w:t>.</w:t>
      </w:r>
      <w:r>
        <w:rPr>
          <w:rFonts w:eastAsia="MS ゴシック"/>
          <w:b/>
          <w:bCs/>
          <w:sz w:val="20"/>
          <w:szCs w:val="20"/>
        </w:rPr>
        <w:t>3</w:t>
      </w:r>
      <w:r>
        <w:rPr>
          <w:rFonts w:eastAsia="MS ゴシック"/>
          <w:b/>
          <w:bCs/>
          <w:sz w:val="20"/>
          <w:szCs w:val="20"/>
        </w:rPr>
        <w:t xml:space="preserve">　地図制約付き</w:t>
      </w:r>
      <w:r>
        <w:rPr>
          <w:rFonts w:eastAsia="MS ゴシック"/>
          <w:b/>
          <w:bCs/>
          <w:sz w:val="20"/>
          <w:szCs w:val="20"/>
        </w:rPr>
        <w:t>PF</w:t>
      </w:r>
    </w:p>
    <w:p w14:paraId="1A00382B" w14:textId="77777777" w:rsidR="009930DC" w:rsidRDefault="00000000">
      <w:pPr>
        <w:spacing w:line="280" w:lineRule="exact"/>
        <w:ind w:firstLine="190"/>
        <w:jc w:val="both"/>
      </w:pPr>
      <w:r>
        <w:t>各粒子を</w:t>
      </w:r>
      <w:r>
        <w:t>PDR</w:t>
      </w:r>
      <w:r>
        <w:t>の移動量とノイズで動かし，壁を横切った粒子の重みを</w:t>
      </w:r>
      <w:r>
        <w:t>0</w:t>
      </w:r>
      <w:r>
        <w:t>にする</w:t>
      </w:r>
      <w:r>
        <w:t>[4]</w:t>
      </w:r>
      <w:r>
        <w:t>．本研究では，壁に近い粒子も壁までの距離に応じて重みを下げる．秋山らは粒子数を直進</w:t>
      </w:r>
      <w:r>
        <w:t>10</w:t>
      </w:r>
      <w:r>
        <w:t>個・屈折</w:t>
      </w:r>
      <w:r>
        <w:t>20</w:t>
      </w:r>
      <w:r>
        <w:t>個とし，</w:t>
      </w:r>
      <w:r>
        <w:t>8</w:t>
      </w:r>
      <w:r>
        <w:t>秒ごとに更新した</w:t>
      </w:r>
      <w:r>
        <w:t>[4]</w:t>
      </w:r>
      <w:r>
        <w:t>．本研究では</w:t>
      </w:r>
      <w:r>
        <w:t>1</w:t>
      </w:r>
      <w:r>
        <w:t>歩ごとに更新し，粒子数を直進</w:t>
      </w:r>
      <w:r>
        <w:t>250</w:t>
      </w:r>
      <w:r>
        <w:t>個・曲がり</w:t>
      </w:r>
      <w:r>
        <w:t>600</w:t>
      </w:r>
      <w:r>
        <w:t>個に拡大した．</w:t>
      </w:r>
    </w:p>
    <w:p w14:paraId="1A00382C" w14:textId="15ACE52B" w:rsidR="009930DC" w:rsidRPr="00967B5B" w:rsidRDefault="00000000">
      <w:pPr>
        <w:keepNext/>
        <w:spacing w:before="40" w:line="280" w:lineRule="exact"/>
        <w:rPr>
          <w:rFonts w:eastAsia="MS ゴシック"/>
          <w:b/>
          <w:bCs/>
          <w:sz w:val="20"/>
          <w:szCs w:val="20"/>
        </w:rPr>
      </w:pPr>
      <w:r>
        <w:rPr>
          <w:rFonts w:eastAsia="MS ゴシック"/>
          <w:b/>
          <w:bCs/>
          <w:sz w:val="20"/>
          <w:szCs w:val="20"/>
        </w:rPr>
        <w:t>2</w:t>
      </w:r>
      <w:r w:rsidR="00967B5B">
        <w:rPr>
          <w:rFonts w:eastAsia="MS ゴシック"/>
          <w:b/>
          <w:bCs/>
          <w:sz w:val="20"/>
          <w:szCs w:val="20"/>
        </w:rPr>
        <w:t>.</w:t>
      </w:r>
      <w:r>
        <w:rPr>
          <w:rFonts w:eastAsia="MS ゴシック"/>
          <w:b/>
          <w:bCs/>
          <w:sz w:val="20"/>
          <w:szCs w:val="20"/>
        </w:rPr>
        <w:t>4</w:t>
      </w:r>
      <w:r>
        <w:rPr>
          <w:rFonts w:eastAsia="MS ゴシック"/>
          <w:b/>
          <w:bCs/>
          <w:sz w:val="20"/>
          <w:szCs w:val="20"/>
        </w:rPr>
        <w:t xml:space="preserve">　提案</w:t>
      </w:r>
      <w:r>
        <w:rPr>
          <w:rFonts w:eastAsia="MS ゴシック"/>
          <w:b/>
          <w:bCs/>
          <w:sz w:val="20"/>
          <w:szCs w:val="20"/>
        </w:rPr>
        <w:t>1</w:t>
      </w:r>
      <w:r>
        <w:rPr>
          <w:rFonts w:eastAsia="MS ゴシック"/>
          <w:b/>
          <w:bCs/>
          <w:sz w:val="20"/>
          <w:szCs w:val="20"/>
        </w:rPr>
        <w:t>：経路帯の自動抽出</w:t>
      </w:r>
    </w:p>
    <w:p w14:paraId="1A00382D" w14:textId="77777777" w:rsidR="009930DC" w:rsidRDefault="00000000">
      <w:pPr>
        <w:spacing w:line="280" w:lineRule="exact"/>
        <w:ind w:firstLine="190"/>
        <w:jc w:val="both"/>
      </w:pPr>
      <w:r>
        <w:t>建物の平面図を二値化し，通路の部分を経路帯として自動で抽出する</w:t>
      </w:r>
      <w:r>
        <w:t>(</w:t>
      </w:r>
      <w:r>
        <w:t>図</w:t>
      </w:r>
      <w:r>
        <w:t>2</w:t>
      </w:r>
      <w:r>
        <w:t>の黄色の領域</w:t>
      </w:r>
      <w:r>
        <w:t>)</w:t>
      </w:r>
      <w:r>
        <w:t>．経路帯の外に出た粒子は重みを下げる．経路を手で入力する必要がない．</w:t>
      </w:r>
    </w:p>
    <w:p w14:paraId="1A00382E" w14:textId="77777777" w:rsidR="009930DC" w:rsidRDefault="00000000">
      <w:pPr>
        <w:keepNext/>
        <w:spacing w:before="80"/>
        <w:jc w:val="center"/>
      </w:pPr>
      <w:r>
        <w:rPr>
          <w:noProof/>
        </w:rPr>
        <w:drawing>
          <wp:inline distT="0" distB="0" distL="0" distR="0" wp14:anchorId="1A003875" wp14:editId="1A003876">
            <wp:extent cx="3000375" cy="1047750"/>
            <wp:effectExtent l="0" t="0" r="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0375" cy="1047750"/>
                    </a:xfrm>
                    <a:prstGeom prst="rect">
                      <a:avLst/>
                    </a:prstGeom>
                  </pic:spPr>
                </pic:pic>
              </a:graphicData>
            </a:graphic>
          </wp:inline>
        </w:drawing>
      </w:r>
    </w:p>
    <w:p w14:paraId="1A00382F" w14:textId="77777777" w:rsidR="009930DC" w:rsidRDefault="00000000">
      <w:pPr>
        <w:spacing w:before="20" w:after="100"/>
        <w:jc w:val="center"/>
      </w:pPr>
      <w:r>
        <w:rPr>
          <w:sz w:val="17"/>
          <w:szCs w:val="17"/>
        </w:rPr>
        <w:t>図</w:t>
      </w:r>
      <w:r>
        <w:rPr>
          <w:sz w:val="17"/>
          <w:szCs w:val="17"/>
        </w:rPr>
        <w:t>2</w:t>
      </w:r>
      <w:r>
        <w:rPr>
          <w:sz w:val="17"/>
          <w:szCs w:val="17"/>
        </w:rPr>
        <w:t xml:space="preserve">　二値地図から自動抽出した経路帯</w:t>
      </w:r>
      <w:r>
        <w:rPr>
          <w:sz w:val="17"/>
          <w:szCs w:val="17"/>
        </w:rPr>
        <w:t>(</w:t>
      </w:r>
      <w:r>
        <w:rPr>
          <w:sz w:val="17"/>
          <w:szCs w:val="17"/>
        </w:rPr>
        <w:t>黄色</w:t>
      </w:r>
      <w:r>
        <w:rPr>
          <w:sz w:val="17"/>
          <w:szCs w:val="17"/>
        </w:rPr>
        <w:t>)</w:t>
      </w:r>
    </w:p>
    <w:p w14:paraId="1A003830" w14:textId="4CE693AB" w:rsidR="009930DC" w:rsidRDefault="00000000">
      <w:pPr>
        <w:keepNext/>
        <w:spacing w:before="40" w:line="280" w:lineRule="exact"/>
      </w:pPr>
      <w:r>
        <w:rPr>
          <w:rFonts w:eastAsia="MS ゴシック"/>
          <w:b/>
          <w:bCs/>
          <w:sz w:val="20"/>
          <w:szCs w:val="20"/>
        </w:rPr>
        <w:lastRenderedPageBreak/>
        <w:t>2</w:t>
      </w:r>
      <w:r w:rsidR="00967B5B">
        <w:rPr>
          <w:rFonts w:eastAsia="MS ゴシック"/>
          <w:b/>
          <w:bCs/>
          <w:sz w:val="20"/>
          <w:szCs w:val="20"/>
        </w:rPr>
        <w:t>.</w:t>
      </w:r>
      <w:r>
        <w:rPr>
          <w:rFonts w:eastAsia="MS ゴシック"/>
          <w:b/>
          <w:bCs/>
          <w:sz w:val="20"/>
          <w:szCs w:val="20"/>
        </w:rPr>
        <w:t>5</w:t>
      </w:r>
      <w:r>
        <w:rPr>
          <w:rFonts w:eastAsia="MS ゴシック"/>
          <w:b/>
          <w:bCs/>
          <w:sz w:val="20"/>
          <w:szCs w:val="20"/>
        </w:rPr>
        <w:t xml:space="preserve">　提案</w:t>
      </w:r>
      <w:r>
        <w:rPr>
          <w:rFonts w:eastAsia="MS ゴシック"/>
          <w:b/>
          <w:bCs/>
          <w:sz w:val="20"/>
          <w:szCs w:val="20"/>
        </w:rPr>
        <w:t>2</w:t>
      </w:r>
      <w:r>
        <w:rPr>
          <w:rFonts w:eastAsia="MS ゴシック"/>
          <w:b/>
          <w:bCs/>
          <w:sz w:val="20"/>
          <w:szCs w:val="20"/>
        </w:rPr>
        <w:t>：不確実性適応粒子数</w:t>
      </w:r>
    </w:p>
    <w:p w14:paraId="1A003831" w14:textId="77777777" w:rsidR="009930DC" w:rsidRDefault="00000000">
      <w:pPr>
        <w:spacing w:line="280" w:lineRule="exact"/>
        <w:ind w:firstLine="190"/>
        <w:jc w:val="both"/>
      </w:pPr>
      <w:r>
        <w:t>有効粒子数</w:t>
      </w: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oMath>
      <w:r>
        <w:t>は，実質的に効いている粒子の数を表し，次式で求める</w:t>
      </w:r>
      <w:r>
        <w:t>[5]</w:t>
      </w:r>
      <w:r>
        <w:t>．</w:t>
      </w:r>
    </w:p>
    <w:p w14:paraId="1A003832" w14:textId="77777777" w:rsidR="009930DC" w:rsidRDefault="00000000">
      <w:pPr>
        <w:spacing w:before="60" w:after="60"/>
        <w:jc w:val="center"/>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r>
            <m:rPr>
              <m:sty m:val="p"/>
            </m:rPr>
            <w:rPr>
              <w:rFonts w:ascii="Cambria Math" w:hAnsi="Cambria Math"/>
            </w:rPr>
            <m:t>=</m:t>
          </m:r>
          <m:f>
            <m:fPr>
              <m:ctrlPr>
                <w:rPr>
                  <w:rFonts w:ascii="Cambria Math" w:hAnsi="Cambria Math"/>
                </w:rPr>
              </m:ctrlPr>
            </m:fPr>
            <m:num>
              <m:r>
                <w:rPr>
                  <w:rFonts w:ascii="Cambria Math" w:hAnsi="Cambria Math"/>
                </w:rPr>
                <m:t>1</m:t>
              </m:r>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2</m:t>
                      </m:r>
                    </m:sup>
                  </m:sSubSup>
                </m:e>
              </m:nary>
            </m:den>
          </m:f>
        </m:oMath>
      </m:oMathPara>
    </w:p>
    <w:p w14:paraId="1A003833" w14:textId="2D7A6AD6" w:rsidR="009930DC" w:rsidRDefault="00000000">
      <w:pPr>
        <w:spacing w:line="280" w:lineRule="exact"/>
        <w:jc w:val="both"/>
      </w:pPr>
      <w:r>
        <w:t>ここで，</w:t>
      </w:r>
      <m:oMath>
        <m:sSub>
          <m:sSubPr>
            <m:ctrlPr>
              <w:rPr>
                <w:rFonts w:ascii="Cambria Math" w:hAnsi="Cambria Math"/>
              </w:rPr>
            </m:ctrlPr>
          </m:sSubPr>
          <m:e>
            <m:r>
              <w:rPr>
                <w:rFonts w:ascii="Cambria Math" w:hAnsi="Cambria Math"/>
              </w:rPr>
              <m:t>w</m:t>
            </m:r>
          </m:e>
          <m:sub>
            <m:r>
              <w:rPr>
                <w:rFonts w:ascii="Cambria Math" w:hAnsi="Cambria Math"/>
              </w:rPr>
              <m:t>i</m:t>
            </m:r>
          </m:sub>
        </m:sSub>
      </m:oMath>
      <w:r>
        <w:t>は正規化した粒子の重み，</w:t>
      </w:r>
      <m:oMath>
        <m:r>
          <w:rPr>
            <w:rFonts w:ascii="Cambria Math" w:hAnsi="Cambria Math"/>
          </w:rPr>
          <m:t>N</m:t>
        </m:r>
      </m:oMath>
      <w:r>
        <w:t>は粒子数である．前の歩の比率</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eff</m:t>
            </m:r>
          </m:sub>
        </m:sSub>
        <m:r>
          <m:rPr>
            <m:sty m:val="p"/>
          </m:rPr>
          <w:rPr>
            <w:rFonts w:ascii="Cambria Math" w:hAnsi="Cambria Math"/>
          </w:rPr>
          <m:t>/</m:t>
        </m:r>
        <m:r>
          <w:rPr>
            <w:rFonts w:ascii="Cambria Math" w:hAnsi="Cambria Math"/>
          </w:rPr>
          <m:t>N</m:t>
        </m:r>
      </m:oMath>
      <w:r>
        <w:t>が小さい</w:t>
      </w:r>
      <w:r>
        <w:t>(</w:t>
      </w:r>
      <w:r>
        <w:t>推定が不確か</w:t>
      </w:r>
      <w:r>
        <w:t>)</w:t>
      </w:r>
      <w:r>
        <w:t>ときは粒子を増やし，大きいときは減らす．様態別の粒子数を</w:t>
      </w:r>
      <m:oMath>
        <m:sSub>
          <m:sSubPr>
            <m:ctrlPr>
              <w:rPr>
                <w:rFonts w:ascii="Cambria Math" w:hAnsi="Cambria Math"/>
              </w:rPr>
            </m:ctrlPr>
          </m:sSubPr>
          <m:e>
            <m:r>
              <w:rPr>
                <w:rFonts w:ascii="Cambria Math" w:hAnsi="Cambria Math"/>
              </w:rPr>
              <m:t>N</m:t>
            </m:r>
          </m:e>
          <m:sub>
            <m:r>
              <m:rPr>
                <m:sty m:val="p"/>
              </m:rPr>
              <w:rPr>
                <w:rFonts w:ascii="Cambria Math" w:hAnsi="Cambria Math"/>
              </w:rPr>
              <m:t>b</m:t>
            </m:r>
          </m:sub>
        </m:sSub>
      </m:oMath>
      <w:r>
        <w:t>として，次の</w:t>
      </w:r>
      <w:r w:rsidR="0097133D">
        <w:rPr>
          <w:rFonts w:hint="eastAsia"/>
        </w:rPr>
        <w:t>歩行</w:t>
      </w:r>
      <w:r>
        <w:rPr>
          <w:rFonts w:hint="eastAsia"/>
        </w:rPr>
        <w:t>の</w:t>
      </w:r>
      <w:r>
        <w:t>粒子数を次式で決め，</w:t>
      </w:r>
      <w:r>
        <w:t>80</w:t>
      </w:r>
      <w:r>
        <w:t>〜</w:t>
      </w:r>
      <w:r>
        <w:t>1200</w:t>
      </w:r>
      <w:r>
        <w:t>個の範囲に収める．</w:t>
      </w:r>
    </w:p>
    <w:p w14:paraId="1A003834" w14:textId="77777777" w:rsidR="009930DC" w:rsidRDefault="00000000">
      <w:pPr>
        <w:spacing w:before="60" w:after="60"/>
        <w:jc w:val="center"/>
      </w:pPr>
      <m:oMathPara>
        <m:oMathParaPr>
          <m:jc m:val="center"/>
        </m:oMathParaPr>
        <m:oMath>
          <m:sSup>
            <m:sSupPr>
              <m:ctrlPr>
                <w:rPr>
                  <w:rFonts w:ascii="Cambria Math" w:hAnsi="Cambria Math"/>
                </w:rPr>
              </m:ctrlPr>
            </m:sSupPr>
            <m:e>
              <m:r>
                <w:rPr>
                  <w:rFonts w:ascii="Cambria Math" w:hAnsi="Cambria Math"/>
                </w:rPr>
                <m:t>N</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1.5 </m:t>
                    </m:r>
                    <m:sSub>
                      <m:sSubPr>
                        <m:ctrlPr>
                          <w:rPr>
                            <w:rFonts w:ascii="Cambria Math" w:hAnsi="Cambria Math"/>
                          </w:rPr>
                        </m:ctrlPr>
                      </m:sSubPr>
                      <m:e>
                        <m:r>
                          <w:rPr>
                            <w:rFonts w:ascii="Cambria Math" w:hAnsi="Cambria Math"/>
                          </w:rPr>
                          <m:t>N</m:t>
                        </m:r>
                      </m:e>
                      <m:sub>
                        <m:r>
                          <m:rPr>
                            <m:sty m:val="p"/>
                          </m:rPr>
                          <w:rPr>
                            <w:rFonts w:ascii="Cambria Math" w:hAnsi="Cambria Math"/>
                          </w:rPr>
                          <m:t>b</m:t>
                        </m:r>
                      </m:sub>
                    </m:sSub>
                  </m:e>
                  <m:e>
                    <m:r>
                      <m:rPr>
                        <m:sty m:val="p"/>
                      </m:rPr>
                      <w:rPr>
                        <w:rFonts w:ascii="Cambria Math" w:hAnsi="Cambria Math"/>
                      </w:rPr>
                      <m:t>(</m:t>
                    </m:r>
                    <m:r>
                      <w:rPr>
                        <w:rFonts w:ascii="Cambria Math" w:hAnsi="Cambria Math"/>
                      </w:rPr>
                      <m:t>r</m:t>
                    </m:r>
                    <m:r>
                      <m:rPr>
                        <m:sty m:val="p"/>
                      </m:rPr>
                      <w:rPr>
                        <w:rFonts w:ascii="Cambria Math" w:hAnsi="Cambria Math"/>
                      </w:rPr>
                      <m:t>&lt;</m:t>
                    </m:r>
                    <m:r>
                      <w:rPr>
                        <w:rFonts w:ascii="Cambria Math" w:hAnsi="Cambria Math"/>
                      </w:rPr>
                      <m:t>0.30</m:t>
                    </m:r>
                    <m:r>
                      <m:rPr>
                        <m:sty m:val="p"/>
                      </m:rPr>
                      <w:rPr>
                        <w:rFonts w:ascii="Cambria Math" w:hAnsi="Cambria Math"/>
                      </w:rPr>
                      <m:t>)</m:t>
                    </m:r>
                  </m:e>
                </m:mr>
                <m:mr>
                  <m:e>
                    <m:r>
                      <w:rPr>
                        <w:rFonts w:ascii="Cambria Math" w:hAnsi="Cambria Math"/>
                      </w:rPr>
                      <m:t>0.75 </m:t>
                    </m:r>
                    <m:sSub>
                      <m:sSubPr>
                        <m:ctrlPr>
                          <w:rPr>
                            <w:rFonts w:ascii="Cambria Math" w:hAnsi="Cambria Math"/>
                          </w:rPr>
                        </m:ctrlPr>
                      </m:sSubPr>
                      <m:e>
                        <m:r>
                          <w:rPr>
                            <w:rFonts w:ascii="Cambria Math" w:hAnsi="Cambria Math"/>
                          </w:rPr>
                          <m:t>N</m:t>
                        </m:r>
                      </m:e>
                      <m:sub>
                        <m:r>
                          <m:rPr>
                            <m:sty m:val="p"/>
                          </m:rPr>
                          <w:rPr>
                            <w:rFonts w:ascii="Cambria Math" w:hAnsi="Cambria Math"/>
                          </w:rPr>
                          <m:t>b</m:t>
                        </m:r>
                      </m:sub>
                    </m:sSub>
                  </m:e>
                  <m:e>
                    <m:r>
                      <m:rPr>
                        <m:sty m:val="p"/>
                      </m:rPr>
                      <w:rPr>
                        <w:rFonts w:ascii="Cambria Math" w:hAnsi="Cambria Math"/>
                      </w:rPr>
                      <m:t>(</m:t>
                    </m:r>
                    <m:r>
                      <w:rPr>
                        <w:rFonts w:ascii="Cambria Math" w:hAnsi="Cambria Math"/>
                      </w:rPr>
                      <m:t>r</m:t>
                    </m:r>
                    <m:r>
                      <m:rPr>
                        <m:sty m:val="p"/>
                      </m:rPr>
                      <w:rPr>
                        <w:rFonts w:ascii="Cambria Math" w:hAnsi="Cambria Math"/>
                      </w:rPr>
                      <m:t>&gt;</m:t>
                    </m:r>
                    <m:r>
                      <w:rPr>
                        <w:rFonts w:ascii="Cambria Math" w:hAnsi="Cambria Math"/>
                      </w:rPr>
                      <m:t>0.60</m:t>
                    </m:r>
                    <m:r>
                      <m:rPr>
                        <m:sty m:val="p"/>
                      </m:rPr>
                      <w:rPr>
                        <w:rFonts w:ascii="Cambria Math" w:hAnsi="Cambria Math"/>
                      </w:rPr>
                      <m:t>)</m:t>
                    </m:r>
                  </m:e>
                </m:mr>
                <m:mr>
                  <m:e>
                    <m:sSub>
                      <m:sSubPr>
                        <m:ctrlPr>
                          <w:rPr>
                            <w:rFonts w:ascii="Cambria Math" w:hAnsi="Cambria Math"/>
                          </w:rPr>
                        </m:ctrlPr>
                      </m:sSubPr>
                      <m:e>
                        <m:r>
                          <w:rPr>
                            <w:rFonts w:ascii="Cambria Math" w:hAnsi="Cambria Math"/>
                          </w:rPr>
                          <m:t>N</m:t>
                        </m:r>
                      </m:e>
                      <m:sub>
                        <m:r>
                          <m:rPr>
                            <m:sty m:val="p"/>
                          </m:rPr>
                          <w:rPr>
                            <w:rFonts w:ascii="Cambria Math" w:hAnsi="Cambria Math"/>
                          </w:rPr>
                          <m:t>b</m:t>
                        </m:r>
                      </m:sub>
                    </m:sSub>
                  </m:e>
                  <m:e>
                    <m:r>
                      <m:rPr>
                        <m:sty m:val="p"/>
                      </m:rPr>
                      <w:rPr>
                        <w:rFonts w:ascii="Cambria Math" w:hAnsi="Cambria Math"/>
                      </w:rPr>
                      <m:t>(</m:t>
                    </m:r>
                    <m:r>
                      <m:rPr>
                        <m:nor/>
                      </m:rPr>
                      <m:t>上記以外</m:t>
                    </m:r>
                    <m:r>
                      <m:rPr>
                        <m:sty m:val="p"/>
                      </m:rPr>
                      <w:rPr>
                        <w:rFonts w:ascii="Cambria Math" w:hAnsi="Cambria Math"/>
                      </w:rPr>
                      <m:t>)</m:t>
                    </m:r>
                  </m:e>
                </m:mr>
              </m:m>
            </m:e>
          </m:d>
        </m:oMath>
      </m:oMathPara>
    </w:p>
    <w:p w14:paraId="1A003835" w14:textId="77777777" w:rsidR="009930DC" w:rsidRDefault="00000000">
      <w:pPr>
        <w:keepNext/>
        <w:spacing w:before="120" w:after="20" w:line="300" w:lineRule="exact"/>
      </w:pPr>
      <w:r>
        <w:rPr>
          <w:rFonts w:eastAsia="MS ゴシック"/>
          <w:b/>
          <w:bCs/>
          <w:sz w:val="21"/>
          <w:szCs w:val="21"/>
        </w:rPr>
        <w:t>3</w:t>
      </w:r>
      <w:r>
        <w:rPr>
          <w:rFonts w:eastAsia="MS ゴシック"/>
          <w:b/>
          <w:bCs/>
          <w:sz w:val="21"/>
          <w:szCs w:val="21"/>
        </w:rPr>
        <w:t xml:space="preserve">　研究結果</w:t>
      </w:r>
    </w:p>
    <w:p w14:paraId="1A003836" w14:textId="13BA1B59" w:rsidR="009930DC" w:rsidRDefault="00000000">
      <w:pPr>
        <w:keepNext/>
        <w:spacing w:before="40" w:line="280" w:lineRule="exact"/>
      </w:pPr>
      <w:r>
        <w:rPr>
          <w:rFonts w:eastAsia="MS ゴシック"/>
          <w:b/>
          <w:bCs/>
          <w:sz w:val="20"/>
          <w:szCs w:val="20"/>
        </w:rPr>
        <w:t>3</w:t>
      </w:r>
      <w:r w:rsidR="00914E3E">
        <w:rPr>
          <w:rFonts w:eastAsia="MS ゴシック"/>
          <w:b/>
          <w:bCs/>
          <w:sz w:val="20"/>
          <w:szCs w:val="20"/>
        </w:rPr>
        <w:t>.</w:t>
      </w:r>
      <w:r>
        <w:rPr>
          <w:rFonts w:eastAsia="MS ゴシック"/>
          <w:b/>
          <w:bCs/>
          <w:sz w:val="20"/>
          <w:szCs w:val="20"/>
        </w:rPr>
        <w:t>1</w:t>
      </w:r>
      <w:r>
        <w:rPr>
          <w:rFonts w:eastAsia="MS ゴシック"/>
          <w:b/>
          <w:bCs/>
          <w:sz w:val="20"/>
          <w:szCs w:val="20"/>
        </w:rPr>
        <w:t xml:space="preserve">　実験条件</w:t>
      </w:r>
    </w:p>
    <w:p w14:paraId="1A003837" w14:textId="77777777" w:rsidR="009930DC" w:rsidRDefault="00000000">
      <w:pPr>
        <w:spacing w:line="280" w:lineRule="exact"/>
        <w:ind w:left="380" w:hanging="380"/>
        <w:jc w:val="both"/>
      </w:pPr>
      <w:r>
        <w:t>・データ：建物の</w:t>
      </w:r>
      <w:r>
        <w:t>1</w:t>
      </w:r>
      <w:r>
        <w:t>フロアの同じ経路を歩いて記録した</w:t>
      </w:r>
      <w:r>
        <w:t>2</w:t>
      </w:r>
      <w:r>
        <w:t>本</w:t>
      </w:r>
      <w:r>
        <w:t>(1441</w:t>
      </w:r>
      <w:r>
        <w:t>，</w:t>
      </w:r>
      <w:r>
        <w:t>1442)</w:t>
      </w:r>
      <w:r>
        <w:t>．同日の</w:t>
      </w:r>
      <w:r>
        <w:t>1438</w:t>
      </w:r>
      <w:r>
        <w:t>は方位の記録が壊れているため除いた．</w:t>
      </w:r>
    </w:p>
    <w:p w14:paraId="1A003838" w14:textId="77777777" w:rsidR="009930DC" w:rsidRDefault="00000000">
      <w:pPr>
        <w:spacing w:line="280" w:lineRule="exact"/>
        <w:ind w:left="380" w:hanging="380"/>
        <w:jc w:val="both"/>
      </w:pPr>
      <w:r>
        <w:t>・比較方式：</w:t>
      </w:r>
      <w:r>
        <w:t>A PDR</w:t>
      </w:r>
      <w:r>
        <w:t>のみ，</w:t>
      </w:r>
      <w:r>
        <w:t xml:space="preserve">B </w:t>
      </w:r>
      <w:r>
        <w:t>固定粒子数</w:t>
      </w:r>
      <w:r>
        <w:t>PF(600</w:t>
      </w:r>
      <w:r>
        <w:t>個</w:t>
      </w:r>
      <w:r>
        <w:t>)</w:t>
      </w:r>
      <w:r>
        <w:t>，</w:t>
      </w:r>
      <w:r>
        <w:t xml:space="preserve">C </w:t>
      </w:r>
      <w:r>
        <w:t>移動様態適応</w:t>
      </w:r>
      <w:r>
        <w:t>PF[4]</w:t>
      </w:r>
      <w:r>
        <w:t>，</w:t>
      </w:r>
      <w:r>
        <w:t xml:space="preserve">E </w:t>
      </w:r>
      <w:r>
        <w:t>提案方式</w:t>
      </w:r>
      <w:r>
        <w:t>(C</w:t>
      </w:r>
      <w:r>
        <w:t>に提案</w:t>
      </w:r>
      <w:r>
        <w:t>1</w:t>
      </w:r>
      <w:r>
        <w:t>・</w:t>
      </w:r>
      <w:r>
        <w:t>2</w:t>
      </w:r>
      <w:r>
        <w:t>を加えたもの</w:t>
      </w:r>
      <w:r>
        <w:t>)</w:t>
      </w:r>
      <w:r>
        <w:t>．</w:t>
      </w:r>
    </w:p>
    <w:p w14:paraId="1A003839" w14:textId="77777777" w:rsidR="009930DC" w:rsidRDefault="00000000">
      <w:pPr>
        <w:spacing w:line="280" w:lineRule="exact"/>
        <w:ind w:left="380" w:hanging="380"/>
        <w:jc w:val="both"/>
      </w:pPr>
      <w:r>
        <w:t>・</w:t>
      </w:r>
      <w:r>
        <w:t>PF</w:t>
      </w:r>
      <w:r>
        <w:t>は乱数を使うため，乱数の初期値</w:t>
      </w:r>
      <w:r>
        <w:t>(</w:t>
      </w:r>
      <w:r>
        <w:t>シード</w:t>
      </w:r>
      <w:r>
        <w:t>)</w:t>
      </w:r>
      <w:r>
        <w:t>を</w:t>
      </w:r>
      <w:r>
        <w:t>6</w:t>
      </w:r>
      <w:r>
        <w:t>通り変えて実行し，平均をとった．</w:t>
      </w:r>
    </w:p>
    <w:p w14:paraId="1A00383A" w14:textId="77777777" w:rsidR="009930DC" w:rsidRDefault="00000000">
      <w:pPr>
        <w:spacing w:line="280" w:lineRule="exact"/>
        <w:ind w:left="380" w:hanging="380"/>
        <w:jc w:val="both"/>
      </w:pPr>
      <w:r>
        <w:t>・時刻と対応した正解位置がないため，</w:t>
      </w:r>
      <w:r>
        <w:t>RMSE</w:t>
      </w:r>
      <w:r>
        <w:t>は求められない．代わりに，推定の終点と申告した終点との距離</w:t>
      </w:r>
      <w:r>
        <w:t>(</w:t>
      </w:r>
      <w:r>
        <w:t>終点誤差</w:t>
      </w:r>
      <w:r>
        <w:t>)</w:t>
      </w:r>
      <w:r>
        <w:t>と，粒子の全滅回数を見た．全滅とは，すべての粒子の重みが</w:t>
      </w:r>
      <w:r>
        <w:t>0</w:t>
      </w:r>
      <w:r>
        <w:t>になることである．</w:t>
      </w:r>
    </w:p>
    <w:p w14:paraId="1A00383B" w14:textId="5AE55946" w:rsidR="009930DC" w:rsidRDefault="00000000">
      <w:pPr>
        <w:keepNext/>
        <w:spacing w:before="40" w:line="280" w:lineRule="exact"/>
      </w:pPr>
      <w:r>
        <w:rPr>
          <w:rFonts w:eastAsia="MS ゴシック"/>
          <w:b/>
          <w:bCs/>
          <w:sz w:val="20"/>
          <w:szCs w:val="20"/>
        </w:rPr>
        <w:t>3</w:t>
      </w:r>
      <w:r w:rsidR="00914E3E">
        <w:rPr>
          <w:rFonts w:eastAsia="MS ゴシック"/>
          <w:b/>
          <w:bCs/>
          <w:sz w:val="20"/>
          <w:szCs w:val="20"/>
        </w:rPr>
        <w:t>.</w:t>
      </w:r>
      <w:r>
        <w:rPr>
          <w:rFonts w:eastAsia="MS ゴシック"/>
          <w:b/>
          <w:bCs/>
          <w:sz w:val="20"/>
          <w:szCs w:val="20"/>
        </w:rPr>
        <w:t>2</w:t>
      </w:r>
      <w:r>
        <w:rPr>
          <w:rFonts w:eastAsia="MS ゴシック"/>
          <w:b/>
          <w:bCs/>
          <w:sz w:val="20"/>
          <w:szCs w:val="20"/>
        </w:rPr>
        <w:t xml:space="preserve">　</w:t>
      </w:r>
      <w:r>
        <w:rPr>
          <w:rFonts w:eastAsia="MS ゴシック"/>
          <w:b/>
          <w:bCs/>
          <w:sz w:val="20"/>
          <w:szCs w:val="20"/>
        </w:rPr>
        <w:t>PDR</w:t>
      </w:r>
      <w:r>
        <w:rPr>
          <w:rFonts w:eastAsia="MS ゴシック"/>
          <w:b/>
          <w:bCs/>
          <w:sz w:val="20"/>
          <w:szCs w:val="20"/>
        </w:rPr>
        <w:t>の是正</w:t>
      </w:r>
    </w:p>
    <w:p w14:paraId="1A00383C" w14:textId="322F5605" w:rsidR="009930DC" w:rsidRDefault="00000000">
      <w:pPr>
        <w:spacing w:line="280" w:lineRule="exact"/>
        <w:ind w:firstLine="190"/>
        <w:jc w:val="both"/>
      </w:pPr>
      <w:r>
        <w:t>PDR</w:t>
      </w:r>
      <w:r>
        <w:t>に，ステップの過検出と歩幅の過小推定が同時に起きており，両者が打ち消し合っていた．</w:t>
      </w:r>
      <w:r>
        <w:t>2</w:t>
      </w:r>
      <w:r w:rsidR="00914E3E">
        <w:t>.</w:t>
      </w:r>
      <w:r>
        <w:t>2</w:t>
      </w:r>
      <w:r>
        <w:t>節の</w:t>
      </w:r>
      <w:r>
        <w:t>2</w:t>
      </w:r>
      <w:r>
        <w:t>点を直した結果，検出歩数の誤差は</w:t>
      </w:r>
      <w:r>
        <w:t>±5%</w:t>
      </w:r>
      <w:r>
        <w:t>以内になり，粒子の全滅回数</w:t>
      </w:r>
      <w:r>
        <w:t>(3</w:t>
      </w:r>
      <w:r>
        <w:t>本の平均</w:t>
      </w:r>
      <w:r>
        <w:t>)</w:t>
      </w:r>
      <w:r>
        <w:t>は</w:t>
      </w:r>
      <w:r>
        <w:t>15.6</w:t>
      </w:r>
      <w:r>
        <w:t>回から約</w:t>
      </w:r>
      <w:r>
        <w:t>2.4</w:t>
      </w:r>
      <w:r>
        <w:t>回に減った．</w:t>
      </w:r>
    </w:p>
    <w:p w14:paraId="1A00383D" w14:textId="018B8182" w:rsidR="009930DC" w:rsidRDefault="00000000">
      <w:pPr>
        <w:keepNext/>
        <w:spacing w:before="40" w:line="280" w:lineRule="exact"/>
      </w:pPr>
      <w:r>
        <w:rPr>
          <w:rFonts w:eastAsia="MS ゴシック"/>
          <w:b/>
          <w:bCs/>
          <w:sz w:val="20"/>
          <w:szCs w:val="20"/>
        </w:rPr>
        <w:t>3</w:t>
      </w:r>
      <w:r w:rsidR="00914E3E">
        <w:rPr>
          <w:rFonts w:eastAsia="MS ゴシック"/>
          <w:b/>
          <w:bCs/>
          <w:sz w:val="20"/>
          <w:szCs w:val="20"/>
        </w:rPr>
        <w:t>.</w:t>
      </w:r>
      <w:r>
        <w:rPr>
          <w:rFonts w:eastAsia="MS ゴシック"/>
          <w:b/>
          <w:bCs/>
          <w:sz w:val="20"/>
          <w:szCs w:val="20"/>
        </w:rPr>
        <w:t>3</w:t>
      </w:r>
      <w:r>
        <w:rPr>
          <w:rFonts w:eastAsia="MS ゴシック"/>
          <w:b/>
          <w:bCs/>
          <w:sz w:val="20"/>
          <w:szCs w:val="20"/>
        </w:rPr>
        <w:t xml:space="preserve">　</w:t>
      </w:r>
      <w:r>
        <w:rPr>
          <w:rFonts w:eastAsia="MS ゴシック"/>
          <w:b/>
          <w:bCs/>
          <w:sz w:val="20"/>
          <w:szCs w:val="20"/>
        </w:rPr>
        <w:t>4</w:t>
      </w:r>
      <w:r>
        <w:rPr>
          <w:rFonts w:eastAsia="MS ゴシック"/>
          <w:b/>
          <w:bCs/>
          <w:sz w:val="20"/>
          <w:szCs w:val="20"/>
        </w:rPr>
        <w:t>方式の比較</w:t>
      </w:r>
    </w:p>
    <w:p w14:paraId="1A00383E" w14:textId="77777777" w:rsidR="009930DC" w:rsidRDefault="00000000">
      <w:pPr>
        <w:spacing w:line="280" w:lineRule="exact"/>
        <w:ind w:firstLine="190"/>
        <w:jc w:val="both"/>
      </w:pPr>
      <w:r>
        <w:t>推定軌跡を図</w:t>
      </w:r>
      <w:r>
        <w:t>3</w:t>
      </w:r>
      <w:r>
        <w:t>に，数値を表</w:t>
      </w:r>
      <w:r>
        <w:t>1</w:t>
      </w:r>
      <w:r>
        <w:t>に示す．提案方式</w:t>
      </w:r>
      <w:r>
        <w:t>E</w:t>
      </w:r>
      <w:r>
        <w:t>は，</w:t>
      </w:r>
      <w:r>
        <w:t>2</w:t>
      </w:r>
      <w:r>
        <w:t>本とも経路帯に沿った軌跡となり，終点誤差が最も小さかった．</w:t>
      </w:r>
      <w:r>
        <w:t>1442</w:t>
      </w:r>
      <w:r>
        <w:t>では，方式</w:t>
      </w:r>
      <w:r>
        <w:t>A</w:t>
      </w:r>
      <w:r>
        <w:t>・</w:t>
      </w:r>
      <w:r>
        <w:t>B</w:t>
      </w:r>
      <w:r>
        <w:t>・</w:t>
      </w:r>
      <w:r>
        <w:t>C</w:t>
      </w:r>
      <w:r>
        <w:t>の軌跡が途中で経路から外れたが，方式</w:t>
      </w:r>
      <w:r>
        <w:t>E</w:t>
      </w:r>
      <w:r>
        <w:t>は通路に沿って進んだ．ただし，</w:t>
      </w:r>
      <w:r>
        <w:t>E</w:t>
      </w:r>
      <w:r>
        <w:t>と</w:t>
      </w:r>
      <w:r>
        <w:t>C</w:t>
      </w:r>
      <w:r>
        <w:t>の差は</w:t>
      </w:r>
      <w:r>
        <w:t>1441</w:t>
      </w:r>
      <w:r>
        <w:t>で</w:t>
      </w:r>
      <w:r>
        <w:t>1.4m</w:t>
      </w:r>
      <w:r>
        <w:t>，</w:t>
      </w:r>
      <w:r>
        <w:t>1442</w:t>
      </w:r>
      <w:r>
        <w:t>で</w:t>
      </w:r>
      <w:r>
        <w:t>0.7m</w:t>
      </w:r>
      <w:r>
        <w:t>と小さい．</w:t>
      </w:r>
    </w:p>
    <w:p w14:paraId="1A003841" w14:textId="77777777" w:rsidR="009930DC" w:rsidRDefault="00000000">
      <w:pPr>
        <w:keepNext/>
        <w:spacing w:before="40" w:after="20"/>
        <w:jc w:val="center"/>
      </w:pPr>
      <w:r>
        <w:rPr>
          <w:sz w:val="17"/>
          <w:szCs w:val="17"/>
        </w:rPr>
        <w:t>表</w:t>
      </w:r>
      <w:r>
        <w:rPr>
          <w:sz w:val="17"/>
          <w:szCs w:val="17"/>
        </w:rPr>
        <w:t>1</w:t>
      </w:r>
      <w:r>
        <w:rPr>
          <w:sz w:val="17"/>
          <w:szCs w:val="17"/>
        </w:rPr>
        <w:t xml:space="preserve">　終点誤差と全滅回数</w:t>
      </w:r>
      <w:r>
        <w:rPr>
          <w:sz w:val="17"/>
          <w:szCs w:val="17"/>
        </w:rPr>
        <w:t>(6</w:t>
      </w:r>
      <w:r>
        <w:rPr>
          <w:sz w:val="17"/>
          <w:szCs w:val="17"/>
        </w:rPr>
        <w:t>シードの平均</w:t>
      </w:r>
      <w:r>
        <w:rPr>
          <w:sz w:val="17"/>
          <w:szCs w:val="17"/>
        </w:rPr>
        <w:t>±</w:t>
      </w:r>
      <w:r>
        <w:rPr>
          <w:sz w:val="17"/>
          <w:szCs w:val="17"/>
        </w:rPr>
        <w:t>標準偏差</w:t>
      </w:r>
      <w:r>
        <w:rPr>
          <w:sz w:val="17"/>
          <w:szCs w:val="17"/>
        </w:rPr>
        <w:t>)</w:t>
      </w:r>
    </w:p>
    <w:tbl>
      <w:tblPr>
        <w:tblW w:w="47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4"/>
        <w:gridCol w:w="800"/>
        <w:gridCol w:w="800"/>
        <w:gridCol w:w="800"/>
        <w:gridCol w:w="800"/>
      </w:tblGrid>
      <w:tr w:rsidR="009930DC" w14:paraId="1A00384B" w14:textId="77777777">
        <w:tblPrEx>
          <w:tblCellMar>
            <w:top w:w="0" w:type="dxa"/>
            <w:bottom w:w="0" w:type="dxa"/>
          </w:tblCellMar>
        </w:tblPrEx>
        <w:trPr>
          <w:cantSplit/>
          <w:jc w:val="center"/>
        </w:trPr>
        <w:tc>
          <w:tcPr>
            <w:tcW w:w="1534" w:type="dxa"/>
            <w:tcBorders>
              <w:top w:val="single" w:sz="4" w:space="0" w:color="000000"/>
              <w:left w:val="none" w:sz="0" w:space="0" w:color="FFFFFF"/>
              <w:bottom w:val="single" w:sz="4" w:space="0" w:color="000000"/>
              <w:right w:val="none" w:sz="0" w:space="0" w:color="FFFFFF"/>
            </w:tcBorders>
            <w:tcMar>
              <w:top w:w="15" w:type="dxa"/>
              <w:left w:w="30" w:type="dxa"/>
              <w:bottom w:w="15" w:type="dxa"/>
              <w:right w:w="30" w:type="dxa"/>
            </w:tcMar>
          </w:tcPr>
          <w:p w14:paraId="1A003842" w14:textId="77777777" w:rsidR="009930DC" w:rsidRDefault="00000000">
            <w:pPr>
              <w:keepNext/>
            </w:pPr>
            <w:r>
              <w:rPr>
                <w:sz w:val="15"/>
                <w:szCs w:val="15"/>
              </w:rPr>
              <w:t>方式</w:t>
            </w:r>
          </w:p>
        </w:tc>
        <w:tc>
          <w:tcPr>
            <w:tcW w:w="800" w:type="dxa"/>
            <w:tcBorders>
              <w:top w:val="single" w:sz="4" w:space="0" w:color="000000"/>
              <w:left w:val="none" w:sz="0" w:space="0" w:color="FFFFFF"/>
              <w:bottom w:val="single" w:sz="4" w:space="0" w:color="000000"/>
              <w:right w:val="none" w:sz="0" w:space="0" w:color="FFFFFF"/>
            </w:tcBorders>
            <w:tcMar>
              <w:top w:w="15" w:type="dxa"/>
              <w:left w:w="30" w:type="dxa"/>
              <w:bottom w:w="15" w:type="dxa"/>
              <w:right w:w="30" w:type="dxa"/>
            </w:tcMar>
          </w:tcPr>
          <w:p w14:paraId="1A003843" w14:textId="77777777" w:rsidR="009930DC" w:rsidRDefault="00000000">
            <w:pPr>
              <w:keepNext/>
              <w:jc w:val="center"/>
            </w:pPr>
            <w:r>
              <w:rPr>
                <w:sz w:val="15"/>
                <w:szCs w:val="15"/>
              </w:rPr>
              <w:t>1441</w:t>
            </w:r>
          </w:p>
          <w:p w14:paraId="1A003844" w14:textId="77777777" w:rsidR="009930DC" w:rsidRDefault="00000000">
            <w:pPr>
              <w:keepNext/>
              <w:jc w:val="center"/>
            </w:pPr>
            <w:r>
              <w:rPr>
                <w:sz w:val="15"/>
                <w:szCs w:val="15"/>
              </w:rPr>
              <w:t>終点誤差</w:t>
            </w:r>
            <w:r>
              <w:rPr>
                <w:sz w:val="15"/>
                <w:szCs w:val="15"/>
              </w:rPr>
              <w:t>[m]</w:t>
            </w:r>
          </w:p>
        </w:tc>
        <w:tc>
          <w:tcPr>
            <w:tcW w:w="800" w:type="dxa"/>
            <w:tcBorders>
              <w:top w:val="single" w:sz="4" w:space="0" w:color="000000"/>
              <w:left w:val="none" w:sz="0" w:space="0" w:color="FFFFFF"/>
              <w:bottom w:val="single" w:sz="4" w:space="0" w:color="000000"/>
              <w:right w:val="none" w:sz="0" w:space="0" w:color="FFFFFF"/>
            </w:tcBorders>
            <w:tcMar>
              <w:top w:w="15" w:type="dxa"/>
              <w:left w:w="30" w:type="dxa"/>
              <w:bottom w:w="15" w:type="dxa"/>
              <w:right w:w="30" w:type="dxa"/>
            </w:tcMar>
          </w:tcPr>
          <w:p w14:paraId="1A003845" w14:textId="77777777" w:rsidR="009930DC" w:rsidRDefault="00000000">
            <w:pPr>
              <w:keepNext/>
              <w:jc w:val="center"/>
            </w:pPr>
            <w:r>
              <w:rPr>
                <w:sz w:val="15"/>
                <w:szCs w:val="15"/>
              </w:rPr>
              <w:t>1441</w:t>
            </w:r>
          </w:p>
          <w:p w14:paraId="1A003846" w14:textId="77777777" w:rsidR="009930DC" w:rsidRDefault="00000000">
            <w:pPr>
              <w:keepNext/>
              <w:jc w:val="center"/>
            </w:pPr>
            <w:r>
              <w:rPr>
                <w:sz w:val="15"/>
                <w:szCs w:val="15"/>
              </w:rPr>
              <w:t>全滅</w:t>
            </w:r>
            <w:r>
              <w:rPr>
                <w:sz w:val="15"/>
                <w:szCs w:val="15"/>
              </w:rPr>
              <w:t>[</w:t>
            </w:r>
            <w:r>
              <w:rPr>
                <w:sz w:val="15"/>
                <w:szCs w:val="15"/>
              </w:rPr>
              <w:t>回</w:t>
            </w:r>
            <w:r>
              <w:rPr>
                <w:sz w:val="15"/>
                <w:szCs w:val="15"/>
              </w:rPr>
              <w:t>]</w:t>
            </w:r>
          </w:p>
        </w:tc>
        <w:tc>
          <w:tcPr>
            <w:tcW w:w="800" w:type="dxa"/>
            <w:tcBorders>
              <w:top w:val="single" w:sz="4" w:space="0" w:color="000000"/>
              <w:left w:val="none" w:sz="0" w:space="0" w:color="FFFFFF"/>
              <w:bottom w:val="single" w:sz="4" w:space="0" w:color="000000"/>
              <w:right w:val="none" w:sz="0" w:space="0" w:color="FFFFFF"/>
            </w:tcBorders>
            <w:tcMar>
              <w:top w:w="15" w:type="dxa"/>
              <w:left w:w="30" w:type="dxa"/>
              <w:bottom w:w="15" w:type="dxa"/>
              <w:right w:w="30" w:type="dxa"/>
            </w:tcMar>
          </w:tcPr>
          <w:p w14:paraId="1A003847" w14:textId="77777777" w:rsidR="009930DC" w:rsidRDefault="00000000">
            <w:pPr>
              <w:keepNext/>
              <w:jc w:val="center"/>
            </w:pPr>
            <w:r>
              <w:rPr>
                <w:sz w:val="15"/>
                <w:szCs w:val="15"/>
              </w:rPr>
              <w:t>1442</w:t>
            </w:r>
          </w:p>
          <w:p w14:paraId="1A003848" w14:textId="77777777" w:rsidR="009930DC" w:rsidRDefault="00000000">
            <w:pPr>
              <w:keepNext/>
              <w:jc w:val="center"/>
            </w:pPr>
            <w:r>
              <w:rPr>
                <w:sz w:val="15"/>
                <w:szCs w:val="15"/>
              </w:rPr>
              <w:t>終点誤差</w:t>
            </w:r>
            <w:r>
              <w:rPr>
                <w:sz w:val="15"/>
                <w:szCs w:val="15"/>
              </w:rPr>
              <w:t>[m]</w:t>
            </w:r>
          </w:p>
        </w:tc>
        <w:tc>
          <w:tcPr>
            <w:tcW w:w="800" w:type="dxa"/>
            <w:tcBorders>
              <w:top w:val="single" w:sz="4" w:space="0" w:color="000000"/>
              <w:left w:val="none" w:sz="0" w:space="0" w:color="FFFFFF"/>
              <w:bottom w:val="single" w:sz="4" w:space="0" w:color="000000"/>
              <w:right w:val="none" w:sz="0" w:space="0" w:color="FFFFFF"/>
            </w:tcBorders>
            <w:tcMar>
              <w:top w:w="15" w:type="dxa"/>
              <w:left w:w="30" w:type="dxa"/>
              <w:bottom w:w="15" w:type="dxa"/>
              <w:right w:w="30" w:type="dxa"/>
            </w:tcMar>
          </w:tcPr>
          <w:p w14:paraId="1A003849" w14:textId="77777777" w:rsidR="009930DC" w:rsidRDefault="00000000">
            <w:pPr>
              <w:keepNext/>
              <w:jc w:val="center"/>
            </w:pPr>
            <w:r>
              <w:rPr>
                <w:sz w:val="15"/>
                <w:szCs w:val="15"/>
              </w:rPr>
              <w:t>1442</w:t>
            </w:r>
          </w:p>
          <w:p w14:paraId="1A00384A" w14:textId="77777777" w:rsidR="009930DC" w:rsidRDefault="00000000">
            <w:pPr>
              <w:keepNext/>
              <w:jc w:val="center"/>
            </w:pPr>
            <w:r>
              <w:rPr>
                <w:sz w:val="15"/>
                <w:szCs w:val="15"/>
              </w:rPr>
              <w:t>全滅</w:t>
            </w:r>
            <w:r>
              <w:rPr>
                <w:sz w:val="15"/>
                <w:szCs w:val="15"/>
              </w:rPr>
              <w:t>[</w:t>
            </w:r>
            <w:r>
              <w:rPr>
                <w:sz w:val="15"/>
                <w:szCs w:val="15"/>
              </w:rPr>
              <w:t>回</w:t>
            </w:r>
            <w:r>
              <w:rPr>
                <w:sz w:val="15"/>
                <w:szCs w:val="15"/>
              </w:rPr>
              <w:t>]</w:t>
            </w:r>
          </w:p>
        </w:tc>
      </w:tr>
      <w:tr w:rsidR="009930DC" w14:paraId="1A003851" w14:textId="77777777">
        <w:tblPrEx>
          <w:tblCellMar>
            <w:top w:w="0" w:type="dxa"/>
            <w:bottom w:w="0" w:type="dxa"/>
          </w:tblCellMar>
        </w:tblPrEx>
        <w:trPr>
          <w:cantSplit/>
          <w:jc w:val="center"/>
        </w:trPr>
        <w:tc>
          <w:tcPr>
            <w:tcW w:w="1534"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4C" w14:textId="77777777" w:rsidR="009930DC" w:rsidRDefault="00000000">
            <w:pPr>
              <w:keepNext/>
            </w:pPr>
            <w:r>
              <w:rPr>
                <w:sz w:val="15"/>
                <w:szCs w:val="15"/>
              </w:rPr>
              <w:t>A PDR</w:t>
            </w:r>
            <w:r>
              <w:rPr>
                <w:sz w:val="15"/>
                <w:szCs w:val="15"/>
              </w:rPr>
              <w:t>のみ</w:t>
            </w:r>
          </w:p>
        </w:tc>
        <w:tc>
          <w:tcPr>
            <w:tcW w:w="800"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4D" w14:textId="77777777" w:rsidR="009930DC" w:rsidRDefault="00000000">
            <w:pPr>
              <w:keepNext/>
              <w:jc w:val="center"/>
            </w:pPr>
            <w:r>
              <w:rPr>
                <w:sz w:val="15"/>
                <w:szCs w:val="15"/>
              </w:rPr>
              <w:t>18.46</w:t>
            </w:r>
          </w:p>
        </w:tc>
        <w:tc>
          <w:tcPr>
            <w:tcW w:w="800"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4E" w14:textId="77777777" w:rsidR="009930DC" w:rsidRDefault="00000000">
            <w:pPr>
              <w:keepNext/>
              <w:jc w:val="center"/>
            </w:pPr>
            <w:r>
              <w:rPr>
                <w:sz w:val="15"/>
                <w:szCs w:val="15"/>
              </w:rPr>
              <w:t>－</w:t>
            </w:r>
          </w:p>
        </w:tc>
        <w:tc>
          <w:tcPr>
            <w:tcW w:w="800"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4F" w14:textId="77777777" w:rsidR="009930DC" w:rsidRDefault="00000000">
            <w:pPr>
              <w:keepNext/>
              <w:jc w:val="center"/>
            </w:pPr>
            <w:r>
              <w:rPr>
                <w:sz w:val="15"/>
                <w:szCs w:val="15"/>
              </w:rPr>
              <w:t>13.32</w:t>
            </w:r>
          </w:p>
        </w:tc>
        <w:tc>
          <w:tcPr>
            <w:tcW w:w="800"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50" w14:textId="77777777" w:rsidR="009930DC" w:rsidRDefault="00000000">
            <w:pPr>
              <w:keepNext/>
              <w:jc w:val="center"/>
            </w:pPr>
            <w:r>
              <w:rPr>
                <w:sz w:val="15"/>
                <w:szCs w:val="15"/>
              </w:rPr>
              <w:t>－</w:t>
            </w:r>
          </w:p>
        </w:tc>
      </w:tr>
      <w:tr w:rsidR="009930DC" w14:paraId="1A003857" w14:textId="77777777">
        <w:tblPrEx>
          <w:tblCellMar>
            <w:top w:w="0" w:type="dxa"/>
            <w:bottom w:w="0" w:type="dxa"/>
          </w:tblCellMar>
        </w:tblPrEx>
        <w:trPr>
          <w:cantSplit/>
          <w:jc w:val="center"/>
        </w:trPr>
        <w:tc>
          <w:tcPr>
            <w:tcW w:w="1534"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52" w14:textId="77777777" w:rsidR="009930DC" w:rsidRDefault="00000000">
            <w:pPr>
              <w:keepNext/>
            </w:pPr>
            <w:r>
              <w:rPr>
                <w:sz w:val="15"/>
                <w:szCs w:val="15"/>
              </w:rPr>
              <w:t xml:space="preserve">B </w:t>
            </w:r>
            <w:r>
              <w:rPr>
                <w:sz w:val="15"/>
                <w:szCs w:val="15"/>
              </w:rPr>
              <w:t>固定粒子数</w:t>
            </w:r>
            <w:r>
              <w:rPr>
                <w:sz w:val="15"/>
                <w:szCs w:val="15"/>
              </w:rPr>
              <w:t>PF</w:t>
            </w:r>
          </w:p>
        </w:tc>
        <w:tc>
          <w:tcPr>
            <w:tcW w:w="800"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53" w14:textId="77777777" w:rsidR="009930DC" w:rsidRDefault="00000000">
            <w:pPr>
              <w:keepNext/>
              <w:jc w:val="center"/>
            </w:pPr>
            <w:r>
              <w:rPr>
                <w:sz w:val="15"/>
                <w:szCs w:val="15"/>
              </w:rPr>
              <w:t>17.49±1.39</w:t>
            </w:r>
          </w:p>
        </w:tc>
        <w:tc>
          <w:tcPr>
            <w:tcW w:w="800"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54" w14:textId="77777777" w:rsidR="009930DC" w:rsidRDefault="00000000">
            <w:pPr>
              <w:keepNext/>
              <w:jc w:val="center"/>
            </w:pPr>
            <w:r>
              <w:rPr>
                <w:sz w:val="15"/>
                <w:szCs w:val="15"/>
              </w:rPr>
              <w:t>0.00</w:t>
            </w:r>
          </w:p>
        </w:tc>
        <w:tc>
          <w:tcPr>
            <w:tcW w:w="800"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55" w14:textId="77777777" w:rsidR="009930DC" w:rsidRDefault="00000000">
            <w:pPr>
              <w:keepNext/>
              <w:jc w:val="center"/>
            </w:pPr>
            <w:r>
              <w:rPr>
                <w:sz w:val="15"/>
                <w:szCs w:val="15"/>
              </w:rPr>
              <w:t>19.02±6.84</w:t>
            </w:r>
          </w:p>
        </w:tc>
        <w:tc>
          <w:tcPr>
            <w:tcW w:w="800"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56" w14:textId="77777777" w:rsidR="009930DC" w:rsidRDefault="00000000">
            <w:pPr>
              <w:keepNext/>
              <w:jc w:val="center"/>
            </w:pPr>
            <w:r>
              <w:rPr>
                <w:sz w:val="15"/>
                <w:szCs w:val="15"/>
              </w:rPr>
              <w:t>2.67</w:t>
            </w:r>
          </w:p>
        </w:tc>
      </w:tr>
      <w:tr w:rsidR="009930DC" w14:paraId="1A00385D" w14:textId="77777777">
        <w:tblPrEx>
          <w:tblCellMar>
            <w:top w:w="0" w:type="dxa"/>
            <w:bottom w:w="0" w:type="dxa"/>
          </w:tblCellMar>
        </w:tblPrEx>
        <w:trPr>
          <w:cantSplit/>
          <w:jc w:val="center"/>
        </w:trPr>
        <w:tc>
          <w:tcPr>
            <w:tcW w:w="1534"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58" w14:textId="77777777" w:rsidR="009930DC" w:rsidRDefault="00000000">
            <w:pPr>
              <w:keepNext/>
            </w:pPr>
            <w:r>
              <w:rPr>
                <w:sz w:val="15"/>
                <w:szCs w:val="15"/>
              </w:rPr>
              <w:t xml:space="preserve">C </w:t>
            </w:r>
            <w:r>
              <w:rPr>
                <w:sz w:val="15"/>
                <w:szCs w:val="15"/>
              </w:rPr>
              <w:t>移動様態適応</w:t>
            </w:r>
            <w:r>
              <w:rPr>
                <w:sz w:val="15"/>
                <w:szCs w:val="15"/>
              </w:rPr>
              <w:t>PF</w:t>
            </w:r>
          </w:p>
        </w:tc>
        <w:tc>
          <w:tcPr>
            <w:tcW w:w="800"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59" w14:textId="77777777" w:rsidR="009930DC" w:rsidRDefault="00000000">
            <w:pPr>
              <w:keepNext/>
              <w:jc w:val="center"/>
            </w:pPr>
            <w:r>
              <w:rPr>
                <w:sz w:val="15"/>
                <w:szCs w:val="15"/>
              </w:rPr>
              <w:t>17.16±0.53</w:t>
            </w:r>
          </w:p>
        </w:tc>
        <w:tc>
          <w:tcPr>
            <w:tcW w:w="800"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5A" w14:textId="77777777" w:rsidR="009930DC" w:rsidRDefault="00000000">
            <w:pPr>
              <w:keepNext/>
              <w:jc w:val="center"/>
            </w:pPr>
            <w:r>
              <w:rPr>
                <w:sz w:val="15"/>
                <w:szCs w:val="15"/>
              </w:rPr>
              <w:t>0.00</w:t>
            </w:r>
          </w:p>
        </w:tc>
        <w:tc>
          <w:tcPr>
            <w:tcW w:w="800"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5B" w14:textId="77777777" w:rsidR="009930DC" w:rsidRDefault="00000000">
            <w:pPr>
              <w:keepNext/>
              <w:jc w:val="center"/>
            </w:pPr>
            <w:r>
              <w:rPr>
                <w:sz w:val="15"/>
                <w:szCs w:val="15"/>
              </w:rPr>
              <w:t>13.29±1.54</w:t>
            </w:r>
          </w:p>
        </w:tc>
        <w:tc>
          <w:tcPr>
            <w:tcW w:w="800" w:type="dxa"/>
            <w:tcBorders>
              <w:top w:val="none" w:sz="0" w:space="0" w:color="FFFFFF"/>
              <w:left w:val="none" w:sz="0" w:space="0" w:color="FFFFFF"/>
              <w:bottom w:val="none" w:sz="0" w:space="0" w:color="FFFFFF"/>
              <w:right w:val="none" w:sz="0" w:space="0" w:color="FFFFFF"/>
            </w:tcBorders>
            <w:tcMar>
              <w:top w:w="15" w:type="dxa"/>
              <w:left w:w="30" w:type="dxa"/>
              <w:bottom w:w="15" w:type="dxa"/>
              <w:right w:w="30" w:type="dxa"/>
            </w:tcMar>
          </w:tcPr>
          <w:p w14:paraId="1A00385C" w14:textId="77777777" w:rsidR="009930DC" w:rsidRDefault="00000000">
            <w:pPr>
              <w:keepNext/>
              <w:jc w:val="center"/>
            </w:pPr>
            <w:r>
              <w:rPr>
                <w:sz w:val="15"/>
                <w:szCs w:val="15"/>
              </w:rPr>
              <w:t>1.50</w:t>
            </w:r>
          </w:p>
        </w:tc>
      </w:tr>
      <w:tr w:rsidR="009930DC" w14:paraId="1A003863" w14:textId="77777777">
        <w:tblPrEx>
          <w:tblCellMar>
            <w:top w:w="0" w:type="dxa"/>
            <w:bottom w:w="0" w:type="dxa"/>
          </w:tblCellMar>
        </w:tblPrEx>
        <w:trPr>
          <w:cantSplit/>
          <w:jc w:val="center"/>
        </w:trPr>
        <w:tc>
          <w:tcPr>
            <w:tcW w:w="1534" w:type="dxa"/>
            <w:tcBorders>
              <w:top w:val="none" w:sz="0" w:space="0" w:color="FFFFFF"/>
              <w:left w:val="none" w:sz="0" w:space="0" w:color="FFFFFF"/>
              <w:bottom w:val="single" w:sz="4" w:space="0" w:color="000000"/>
              <w:right w:val="none" w:sz="0" w:space="0" w:color="FFFFFF"/>
            </w:tcBorders>
            <w:tcMar>
              <w:top w:w="15" w:type="dxa"/>
              <w:left w:w="30" w:type="dxa"/>
              <w:bottom w:w="15" w:type="dxa"/>
              <w:right w:w="30" w:type="dxa"/>
            </w:tcMar>
          </w:tcPr>
          <w:p w14:paraId="1A00385E" w14:textId="77777777" w:rsidR="009930DC" w:rsidRDefault="00000000">
            <w:r>
              <w:rPr>
                <w:sz w:val="15"/>
                <w:szCs w:val="15"/>
              </w:rPr>
              <w:t xml:space="preserve">E </w:t>
            </w:r>
            <w:r>
              <w:rPr>
                <w:sz w:val="15"/>
                <w:szCs w:val="15"/>
              </w:rPr>
              <w:t>提案方式</w:t>
            </w:r>
          </w:p>
        </w:tc>
        <w:tc>
          <w:tcPr>
            <w:tcW w:w="800" w:type="dxa"/>
            <w:tcBorders>
              <w:top w:val="none" w:sz="0" w:space="0" w:color="FFFFFF"/>
              <w:left w:val="none" w:sz="0" w:space="0" w:color="FFFFFF"/>
              <w:bottom w:val="single" w:sz="4" w:space="0" w:color="000000"/>
              <w:right w:val="none" w:sz="0" w:space="0" w:color="FFFFFF"/>
            </w:tcBorders>
            <w:tcMar>
              <w:top w:w="15" w:type="dxa"/>
              <w:left w:w="30" w:type="dxa"/>
              <w:bottom w:w="15" w:type="dxa"/>
              <w:right w:w="30" w:type="dxa"/>
            </w:tcMar>
          </w:tcPr>
          <w:p w14:paraId="1A00385F" w14:textId="77777777" w:rsidR="009930DC" w:rsidRDefault="00000000">
            <w:pPr>
              <w:jc w:val="center"/>
            </w:pPr>
            <w:r>
              <w:rPr>
                <w:b/>
                <w:bCs/>
                <w:sz w:val="15"/>
                <w:szCs w:val="15"/>
              </w:rPr>
              <w:t>15.75±0.43</w:t>
            </w:r>
          </w:p>
        </w:tc>
        <w:tc>
          <w:tcPr>
            <w:tcW w:w="800" w:type="dxa"/>
            <w:tcBorders>
              <w:top w:val="none" w:sz="0" w:space="0" w:color="FFFFFF"/>
              <w:left w:val="none" w:sz="0" w:space="0" w:color="FFFFFF"/>
              <w:bottom w:val="single" w:sz="4" w:space="0" w:color="000000"/>
              <w:right w:val="none" w:sz="0" w:space="0" w:color="FFFFFF"/>
            </w:tcBorders>
            <w:tcMar>
              <w:top w:w="15" w:type="dxa"/>
              <w:left w:w="30" w:type="dxa"/>
              <w:bottom w:w="15" w:type="dxa"/>
              <w:right w:w="30" w:type="dxa"/>
            </w:tcMar>
          </w:tcPr>
          <w:p w14:paraId="1A003860" w14:textId="77777777" w:rsidR="009930DC" w:rsidRDefault="00000000">
            <w:pPr>
              <w:jc w:val="center"/>
            </w:pPr>
            <w:r>
              <w:rPr>
                <w:sz w:val="15"/>
                <w:szCs w:val="15"/>
              </w:rPr>
              <w:t>0.00</w:t>
            </w:r>
          </w:p>
        </w:tc>
        <w:tc>
          <w:tcPr>
            <w:tcW w:w="800" w:type="dxa"/>
            <w:tcBorders>
              <w:top w:val="none" w:sz="0" w:space="0" w:color="FFFFFF"/>
              <w:left w:val="none" w:sz="0" w:space="0" w:color="FFFFFF"/>
              <w:bottom w:val="single" w:sz="4" w:space="0" w:color="000000"/>
              <w:right w:val="none" w:sz="0" w:space="0" w:color="FFFFFF"/>
            </w:tcBorders>
            <w:tcMar>
              <w:top w:w="15" w:type="dxa"/>
              <w:left w:w="30" w:type="dxa"/>
              <w:bottom w:w="15" w:type="dxa"/>
              <w:right w:w="30" w:type="dxa"/>
            </w:tcMar>
          </w:tcPr>
          <w:p w14:paraId="1A003861" w14:textId="77777777" w:rsidR="009930DC" w:rsidRDefault="00000000">
            <w:pPr>
              <w:jc w:val="center"/>
            </w:pPr>
            <w:r>
              <w:rPr>
                <w:b/>
                <w:bCs/>
                <w:sz w:val="15"/>
                <w:szCs w:val="15"/>
              </w:rPr>
              <w:t>12.57±1.21</w:t>
            </w:r>
          </w:p>
        </w:tc>
        <w:tc>
          <w:tcPr>
            <w:tcW w:w="800" w:type="dxa"/>
            <w:tcBorders>
              <w:top w:val="none" w:sz="0" w:space="0" w:color="FFFFFF"/>
              <w:left w:val="none" w:sz="0" w:space="0" w:color="FFFFFF"/>
              <w:bottom w:val="single" w:sz="4" w:space="0" w:color="000000"/>
              <w:right w:val="none" w:sz="0" w:space="0" w:color="FFFFFF"/>
            </w:tcBorders>
            <w:tcMar>
              <w:top w:w="15" w:type="dxa"/>
              <w:left w:w="30" w:type="dxa"/>
              <w:bottom w:w="15" w:type="dxa"/>
              <w:right w:w="30" w:type="dxa"/>
            </w:tcMar>
          </w:tcPr>
          <w:p w14:paraId="1A003862" w14:textId="77777777" w:rsidR="009930DC" w:rsidRDefault="00000000">
            <w:pPr>
              <w:jc w:val="center"/>
            </w:pPr>
            <w:r>
              <w:rPr>
                <w:sz w:val="15"/>
                <w:szCs w:val="15"/>
              </w:rPr>
              <w:t>0.17</w:t>
            </w:r>
          </w:p>
        </w:tc>
      </w:tr>
    </w:tbl>
    <w:p w14:paraId="1A003864" w14:textId="77777777" w:rsidR="009930DC" w:rsidRDefault="00000000">
      <w:pPr>
        <w:spacing w:before="20" w:after="100"/>
        <w:ind w:left="150" w:hanging="150"/>
      </w:pPr>
      <w:r>
        <w:rPr>
          <w:sz w:val="15"/>
          <w:szCs w:val="15"/>
        </w:rPr>
        <w:t>※</w:t>
      </w:r>
      <w:r>
        <w:rPr>
          <w:sz w:val="15"/>
          <w:szCs w:val="15"/>
        </w:rPr>
        <w:t>方式</w:t>
      </w:r>
      <w:r>
        <w:rPr>
          <w:sz w:val="15"/>
          <w:szCs w:val="15"/>
        </w:rPr>
        <w:t>A</w:t>
      </w:r>
      <w:r>
        <w:rPr>
          <w:sz w:val="15"/>
          <w:szCs w:val="15"/>
        </w:rPr>
        <w:t>は乱数を使わないため</w:t>
      </w:r>
      <w:r>
        <w:rPr>
          <w:sz w:val="15"/>
          <w:szCs w:val="15"/>
        </w:rPr>
        <w:t>1</w:t>
      </w:r>
      <w:r>
        <w:rPr>
          <w:sz w:val="15"/>
          <w:szCs w:val="15"/>
        </w:rPr>
        <w:t>回．</w:t>
      </w:r>
      <w:r>
        <w:rPr>
          <w:sz w:val="15"/>
          <w:szCs w:val="15"/>
        </w:rPr>
        <w:t>2</w:t>
      </w:r>
      <w:r>
        <w:rPr>
          <w:sz w:val="15"/>
          <w:szCs w:val="15"/>
        </w:rPr>
        <w:t>本は条件の調整に用いたデータで，評価用データではない．終点誤差は</w:t>
      </w:r>
      <w:r>
        <w:rPr>
          <w:sz w:val="15"/>
          <w:szCs w:val="15"/>
        </w:rPr>
        <w:t>RMSE</w:t>
      </w:r>
      <w:r>
        <w:rPr>
          <w:sz w:val="15"/>
          <w:szCs w:val="15"/>
        </w:rPr>
        <w:t>ではない代替指標である．</w:t>
      </w:r>
    </w:p>
    <w:p w14:paraId="1A00383F" w14:textId="77777777" w:rsidR="009930DC" w:rsidRDefault="00000000">
      <w:pPr>
        <w:keepNext/>
        <w:spacing w:before="80"/>
        <w:jc w:val="center"/>
      </w:pPr>
      <w:r>
        <w:rPr>
          <w:noProof/>
        </w:rPr>
        <w:drawing>
          <wp:inline distT="0" distB="0" distL="0" distR="0" wp14:anchorId="1A003877" wp14:editId="59682215">
            <wp:extent cx="2102438" cy="1942252"/>
            <wp:effectExtent l="0" t="0" r="3810" b="444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47311" cy="2630373"/>
                    </a:xfrm>
                    <a:prstGeom prst="rect">
                      <a:avLst/>
                    </a:prstGeom>
                  </pic:spPr>
                </pic:pic>
              </a:graphicData>
            </a:graphic>
          </wp:inline>
        </w:drawing>
      </w:r>
    </w:p>
    <w:p w14:paraId="1A003840" w14:textId="77777777" w:rsidR="009930DC" w:rsidRDefault="00000000">
      <w:pPr>
        <w:spacing w:before="20" w:after="100"/>
        <w:jc w:val="center"/>
      </w:pPr>
      <w:r>
        <w:rPr>
          <w:sz w:val="17"/>
          <w:szCs w:val="17"/>
        </w:rPr>
        <w:t>図</w:t>
      </w:r>
      <w:r>
        <w:rPr>
          <w:sz w:val="17"/>
          <w:szCs w:val="17"/>
        </w:rPr>
        <w:t>3</w:t>
      </w:r>
      <w:r>
        <w:rPr>
          <w:sz w:val="17"/>
          <w:szCs w:val="17"/>
        </w:rPr>
        <w:t xml:space="preserve">　推定軌跡</w:t>
      </w:r>
      <w:r>
        <w:rPr>
          <w:sz w:val="17"/>
          <w:szCs w:val="17"/>
        </w:rPr>
        <w:t>(</w:t>
      </w:r>
      <w:r>
        <w:rPr>
          <w:sz w:val="17"/>
          <w:szCs w:val="17"/>
        </w:rPr>
        <w:t>上：</w:t>
      </w:r>
      <w:r>
        <w:rPr>
          <w:sz w:val="17"/>
          <w:szCs w:val="17"/>
        </w:rPr>
        <w:t>1441</w:t>
      </w:r>
      <w:r>
        <w:rPr>
          <w:sz w:val="17"/>
          <w:szCs w:val="17"/>
        </w:rPr>
        <w:t>，下：</w:t>
      </w:r>
      <w:r>
        <w:rPr>
          <w:sz w:val="17"/>
          <w:szCs w:val="17"/>
        </w:rPr>
        <w:t>1442</w:t>
      </w:r>
      <w:r>
        <w:rPr>
          <w:sz w:val="17"/>
          <w:szCs w:val="17"/>
        </w:rPr>
        <w:t>．シード</w:t>
      </w:r>
      <w:r>
        <w:rPr>
          <w:sz w:val="17"/>
          <w:szCs w:val="17"/>
        </w:rPr>
        <w:t>42</w:t>
      </w:r>
      <w:r>
        <w:rPr>
          <w:sz w:val="17"/>
          <w:szCs w:val="17"/>
        </w:rPr>
        <w:t>の</w:t>
      </w:r>
      <w:r>
        <w:rPr>
          <w:sz w:val="17"/>
          <w:szCs w:val="17"/>
        </w:rPr>
        <w:t>1</w:t>
      </w:r>
      <w:r>
        <w:rPr>
          <w:sz w:val="17"/>
          <w:szCs w:val="17"/>
        </w:rPr>
        <w:t>回分</w:t>
      </w:r>
      <w:r>
        <w:rPr>
          <w:sz w:val="17"/>
          <w:szCs w:val="17"/>
        </w:rPr>
        <w:t>)</w:t>
      </w:r>
    </w:p>
    <w:p w14:paraId="1A003865" w14:textId="755E71C1" w:rsidR="009930DC" w:rsidRDefault="00000000">
      <w:pPr>
        <w:keepNext/>
        <w:spacing w:before="40" w:line="280" w:lineRule="exact"/>
      </w:pPr>
      <w:r>
        <w:rPr>
          <w:rFonts w:eastAsia="MS ゴシック"/>
          <w:b/>
          <w:bCs/>
          <w:sz w:val="20"/>
          <w:szCs w:val="20"/>
        </w:rPr>
        <w:t>3</w:t>
      </w:r>
      <w:r w:rsidR="00914E3E">
        <w:rPr>
          <w:rFonts w:eastAsia="MS ゴシック"/>
          <w:b/>
          <w:bCs/>
          <w:sz w:val="20"/>
          <w:szCs w:val="20"/>
        </w:rPr>
        <w:t>.</w:t>
      </w:r>
      <w:r>
        <w:rPr>
          <w:rFonts w:eastAsia="MS ゴシック"/>
          <w:b/>
          <w:bCs/>
          <w:sz w:val="20"/>
          <w:szCs w:val="20"/>
        </w:rPr>
        <w:t>4</w:t>
      </w:r>
      <w:r>
        <w:rPr>
          <w:rFonts w:eastAsia="MS ゴシック"/>
          <w:b/>
          <w:bCs/>
          <w:sz w:val="20"/>
          <w:szCs w:val="20"/>
        </w:rPr>
        <w:t xml:space="preserve">　移動様態の判定の偏り</w:t>
      </w:r>
    </w:p>
    <w:p w14:paraId="1A003866" w14:textId="0E01C956" w:rsidR="009930DC" w:rsidRDefault="00000000">
      <w:pPr>
        <w:spacing w:line="280" w:lineRule="exact"/>
        <w:ind w:firstLine="190"/>
        <w:jc w:val="both"/>
      </w:pPr>
      <w:r>
        <w:t>実際の曲がり角は</w:t>
      </w:r>
      <w:r>
        <w:t>2</w:t>
      </w:r>
      <w:r>
        <w:t>か所だが，</w:t>
      </w:r>
      <w:r w:rsidR="003419A5">
        <w:rPr>
          <w:rFonts w:hint="eastAsia"/>
        </w:rPr>
        <w:t>歩行</w:t>
      </w:r>
      <w:r>
        <w:t>の</w:t>
      </w:r>
      <w:r>
        <w:t>82</w:t>
      </w:r>
      <w:r>
        <w:t>〜</w:t>
      </w:r>
      <w:r>
        <w:t>100%</w:t>
      </w:r>
      <w:r>
        <w:t>が「曲がり」と判定された．直進中も，歩行の揺れでヨーレートが</w:t>
      </w:r>
      <w:r>
        <w:t>15</w:t>
      </w:r>
      <w:r>
        <w:t>〜</w:t>
      </w:r>
      <w:r>
        <w:t>19</w:t>
      </w:r>
      <w:r>
        <w:t>度</w:t>
      </w:r>
      <w:r>
        <w:t>/</w:t>
      </w:r>
      <w:r>
        <w:t>秒あり，曲がりを終えるしきい値</w:t>
      </w:r>
      <w:r>
        <w:t>(10</w:t>
      </w:r>
      <w:r>
        <w:t>度</w:t>
      </w:r>
      <w:r>
        <w:t>/</w:t>
      </w:r>
      <w:r>
        <w:t>秒</w:t>
      </w:r>
      <w:r>
        <w:t>)</w:t>
      </w:r>
      <w:r>
        <w:t>を下回らないためである．そのため，方式</w:t>
      </w:r>
      <w:r>
        <w:t>B</w:t>
      </w:r>
      <w:r>
        <w:t>と</w:t>
      </w:r>
      <w:r>
        <w:t>C</w:t>
      </w:r>
      <w:r>
        <w:t>の差は，今のところ移動様態に合わせた効果を示していない．</w:t>
      </w:r>
    </w:p>
    <w:p w14:paraId="1A003867" w14:textId="77777777" w:rsidR="009930DC" w:rsidRDefault="00000000">
      <w:pPr>
        <w:keepNext/>
        <w:spacing w:before="120" w:after="20" w:line="300" w:lineRule="exact"/>
      </w:pPr>
      <w:r>
        <w:rPr>
          <w:rFonts w:eastAsia="MS ゴシック"/>
          <w:b/>
          <w:bCs/>
          <w:sz w:val="21"/>
          <w:szCs w:val="21"/>
        </w:rPr>
        <w:t>4</w:t>
      </w:r>
      <w:r>
        <w:rPr>
          <w:rFonts w:eastAsia="MS ゴシック"/>
          <w:b/>
          <w:bCs/>
          <w:sz w:val="21"/>
          <w:szCs w:val="21"/>
        </w:rPr>
        <w:t xml:space="preserve">　おわりに</w:t>
      </w:r>
      <w:r>
        <w:rPr>
          <w:rFonts w:eastAsia="MS ゴシック"/>
          <w:b/>
          <w:bCs/>
          <w:sz w:val="21"/>
          <w:szCs w:val="21"/>
        </w:rPr>
        <w:t>/</w:t>
      </w:r>
      <w:r>
        <w:rPr>
          <w:rFonts w:eastAsia="MS ゴシック"/>
          <w:b/>
          <w:bCs/>
          <w:sz w:val="21"/>
          <w:szCs w:val="21"/>
        </w:rPr>
        <w:t>今後の展望</w:t>
      </w:r>
    </w:p>
    <w:p w14:paraId="1A003868" w14:textId="77777777" w:rsidR="009930DC" w:rsidRDefault="00000000">
      <w:pPr>
        <w:spacing w:line="280" w:lineRule="exact"/>
        <w:ind w:firstLine="190"/>
        <w:jc w:val="both"/>
      </w:pPr>
      <w:r>
        <w:t>本研究では，</w:t>
      </w:r>
      <w:r>
        <w:t>SmartPDR</w:t>
      </w:r>
      <w:r>
        <w:t>と移動様態適応</w:t>
      </w:r>
      <w:r>
        <w:t>PF</w:t>
      </w:r>
      <w:r>
        <w:t>に，経路帯の自動抽出と不確実性適応粒子数を加えた屋内測位システムを実装し，実測データ</w:t>
      </w:r>
      <w:r>
        <w:t>2</w:t>
      </w:r>
      <w:r>
        <w:t>本で動作を確認した．現在の課題は次の</w:t>
      </w:r>
      <w:r>
        <w:t>3</w:t>
      </w:r>
      <w:r>
        <w:t>点である．</w:t>
      </w:r>
    </w:p>
    <w:p w14:paraId="1A003869" w14:textId="77777777" w:rsidR="009930DC" w:rsidRDefault="00000000">
      <w:pPr>
        <w:spacing w:line="280" w:lineRule="exact"/>
        <w:ind w:left="380" w:hanging="380"/>
        <w:jc w:val="both"/>
      </w:pPr>
      <w:r>
        <w:t xml:space="preserve">(1) </w:t>
      </w:r>
      <w:r>
        <w:t>時刻と対応した正解位置がなく，精度を</w:t>
      </w:r>
      <w:r>
        <w:t>RMSE</w:t>
      </w:r>
      <w:r>
        <w:t>で評価できていない．</w:t>
      </w:r>
    </w:p>
    <w:p w14:paraId="1A00386A" w14:textId="77777777" w:rsidR="009930DC" w:rsidRDefault="00000000">
      <w:pPr>
        <w:spacing w:line="280" w:lineRule="exact"/>
        <w:ind w:left="380" w:hanging="380"/>
        <w:jc w:val="both"/>
      </w:pPr>
      <w:r>
        <w:t xml:space="preserve">(2) </w:t>
      </w:r>
      <w:r>
        <w:t>歩幅の校正ゲイン</w:t>
      </w:r>
      <w:r>
        <w:t>(2.10)</w:t>
      </w:r>
      <w:r>
        <w:t>と曲がりを終えるしきい値</w:t>
      </w:r>
      <w:r>
        <w:t>(10</w:t>
      </w:r>
      <w:r>
        <w:t>度</w:t>
      </w:r>
      <w:r>
        <w:t>/</w:t>
      </w:r>
      <w:r>
        <w:t>秒</w:t>
      </w:r>
      <w:r>
        <w:t>)</w:t>
      </w:r>
      <w:r>
        <w:t>は暫定値である．評価に使ったのと同じデータから決めており，校正用のデータと分けられていない．</w:t>
      </w:r>
    </w:p>
    <w:p w14:paraId="1A00386B" w14:textId="77777777" w:rsidR="009930DC" w:rsidRDefault="00000000">
      <w:pPr>
        <w:spacing w:line="280" w:lineRule="exact"/>
        <w:ind w:left="380" w:hanging="380"/>
        <w:jc w:val="both"/>
      </w:pPr>
      <w:r>
        <w:t xml:space="preserve">(3) </w:t>
      </w:r>
      <w:r>
        <w:t>データは</w:t>
      </w:r>
      <w:r>
        <w:t>1</w:t>
      </w:r>
      <w:r>
        <w:t>つの地図・</w:t>
      </w:r>
      <w:r>
        <w:t>1</w:t>
      </w:r>
      <w:r>
        <w:t>人の歩行者の</w:t>
      </w:r>
      <w:r>
        <w:t>2</w:t>
      </w:r>
      <w:r>
        <w:t>本だけで，方式の優劣を論じるには足りない．</w:t>
      </w:r>
    </w:p>
    <w:p w14:paraId="1A00386C" w14:textId="77777777" w:rsidR="009930DC" w:rsidRDefault="00000000">
      <w:pPr>
        <w:spacing w:line="280" w:lineRule="exact"/>
        <w:ind w:firstLine="190"/>
        <w:jc w:val="both"/>
      </w:pPr>
      <w:r>
        <w:t>卒研本発表に向けて，校正用の直線歩行と，地点ごとに時刻を記録する評価用の歩行を追加で計測する．校正用データで歩幅の校正ゲインと曲がり判定のしきい値を決め直し，正解位置を用いた</w:t>
      </w:r>
      <w:r>
        <w:t>RMSE</w:t>
      </w:r>
      <w:r>
        <w:t>で</w:t>
      </w:r>
      <w:r>
        <w:t>4</w:t>
      </w:r>
      <w:r>
        <w:t>方式を比較して，提案</w:t>
      </w:r>
      <w:r>
        <w:t>1</w:t>
      </w:r>
      <w:r>
        <w:t>・</w:t>
      </w:r>
      <w:r>
        <w:t>2</w:t>
      </w:r>
      <w:r>
        <w:t>それぞれの効果を確かめる．実験は</w:t>
      </w:r>
      <w:r>
        <w:t>11</w:t>
      </w:r>
      <w:r>
        <w:t>月末までに終える予定である．</w:t>
      </w:r>
    </w:p>
    <w:p w14:paraId="1A00386D" w14:textId="77777777" w:rsidR="009930DC" w:rsidRDefault="00000000">
      <w:pPr>
        <w:keepNext/>
        <w:spacing w:before="140" w:after="20"/>
      </w:pPr>
      <w:r>
        <w:rPr>
          <w:rFonts w:eastAsia="MS ゴシック"/>
          <w:b/>
          <w:bCs/>
          <w:sz w:val="18"/>
          <w:szCs w:val="18"/>
        </w:rPr>
        <w:lastRenderedPageBreak/>
        <w:t>参考文献</w:t>
      </w:r>
    </w:p>
    <w:p w14:paraId="1A00386E" w14:textId="77777777" w:rsidR="009930DC" w:rsidRDefault="00000000">
      <w:pPr>
        <w:spacing w:line="220" w:lineRule="exact"/>
        <w:ind w:left="300" w:hanging="300"/>
      </w:pPr>
      <w:r>
        <w:rPr>
          <w:sz w:val="15"/>
          <w:szCs w:val="15"/>
        </w:rPr>
        <w:t xml:space="preserve">[1] </w:t>
      </w:r>
      <w:r>
        <w:rPr>
          <w:sz w:val="15"/>
          <w:szCs w:val="15"/>
        </w:rPr>
        <w:t>目黒淳一，竹内栄二朗，鈴木太郎：ロボティクスにおける</w:t>
      </w:r>
      <w:r>
        <w:rPr>
          <w:sz w:val="15"/>
          <w:szCs w:val="15"/>
        </w:rPr>
        <w:t>GNSS</w:t>
      </w:r>
      <w:r>
        <w:rPr>
          <w:sz w:val="15"/>
          <w:szCs w:val="15"/>
        </w:rPr>
        <w:t>失敗学，日本ロボット学会誌，</w:t>
      </w:r>
      <w:r>
        <w:rPr>
          <w:sz w:val="15"/>
          <w:szCs w:val="15"/>
        </w:rPr>
        <w:t>Vol.37</w:t>
      </w:r>
      <w:r>
        <w:rPr>
          <w:sz w:val="15"/>
          <w:szCs w:val="15"/>
        </w:rPr>
        <w:t>，</w:t>
      </w:r>
      <w:r>
        <w:rPr>
          <w:sz w:val="15"/>
          <w:szCs w:val="15"/>
        </w:rPr>
        <w:t>No.7</w:t>
      </w:r>
      <w:r>
        <w:rPr>
          <w:sz w:val="15"/>
          <w:szCs w:val="15"/>
        </w:rPr>
        <w:t>，</w:t>
      </w:r>
      <w:r>
        <w:rPr>
          <w:sz w:val="15"/>
          <w:szCs w:val="15"/>
        </w:rPr>
        <w:t>pp.585–592</w:t>
      </w:r>
      <w:r>
        <w:rPr>
          <w:sz w:val="15"/>
          <w:szCs w:val="15"/>
        </w:rPr>
        <w:t>，</w:t>
      </w:r>
      <w:r>
        <w:rPr>
          <w:sz w:val="15"/>
          <w:szCs w:val="15"/>
        </w:rPr>
        <w:t>2019</w:t>
      </w:r>
      <w:r>
        <w:rPr>
          <w:sz w:val="15"/>
          <w:szCs w:val="15"/>
        </w:rPr>
        <w:t>．</w:t>
      </w:r>
    </w:p>
    <w:p w14:paraId="1A00386F" w14:textId="77777777" w:rsidR="009930DC" w:rsidRDefault="00000000">
      <w:pPr>
        <w:spacing w:line="220" w:lineRule="exact"/>
        <w:ind w:left="300" w:hanging="300"/>
      </w:pPr>
      <w:r>
        <w:rPr>
          <w:sz w:val="15"/>
          <w:szCs w:val="15"/>
        </w:rPr>
        <w:t xml:space="preserve">[2] </w:t>
      </w:r>
      <w:r>
        <w:rPr>
          <w:sz w:val="15"/>
          <w:szCs w:val="15"/>
        </w:rPr>
        <w:t>西尾信彦：屋内測位技術の概要と動向，電気設備学会誌，</w:t>
      </w:r>
      <w:r>
        <w:rPr>
          <w:sz w:val="15"/>
          <w:szCs w:val="15"/>
        </w:rPr>
        <w:t>Vol.42</w:t>
      </w:r>
      <w:r>
        <w:rPr>
          <w:sz w:val="15"/>
          <w:szCs w:val="15"/>
        </w:rPr>
        <w:t>，</w:t>
      </w:r>
      <w:r>
        <w:rPr>
          <w:sz w:val="15"/>
          <w:szCs w:val="15"/>
        </w:rPr>
        <w:t>No.7</w:t>
      </w:r>
      <w:r>
        <w:rPr>
          <w:sz w:val="15"/>
          <w:szCs w:val="15"/>
        </w:rPr>
        <w:t>，</w:t>
      </w:r>
      <w:r>
        <w:rPr>
          <w:sz w:val="15"/>
          <w:szCs w:val="15"/>
        </w:rPr>
        <w:t>pp.393–396</w:t>
      </w:r>
      <w:r>
        <w:rPr>
          <w:sz w:val="15"/>
          <w:szCs w:val="15"/>
        </w:rPr>
        <w:t>，</w:t>
      </w:r>
      <w:r>
        <w:rPr>
          <w:sz w:val="15"/>
          <w:szCs w:val="15"/>
        </w:rPr>
        <w:t>2022</w:t>
      </w:r>
      <w:r>
        <w:rPr>
          <w:sz w:val="15"/>
          <w:szCs w:val="15"/>
        </w:rPr>
        <w:t>．</w:t>
      </w:r>
    </w:p>
    <w:p w14:paraId="1A003870" w14:textId="77777777" w:rsidR="009930DC" w:rsidRDefault="00000000">
      <w:pPr>
        <w:spacing w:line="220" w:lineRule="exact"/>
        <w:ind w:left="300" w:hanging="300"/>
      </w:pPr>
      <w:r>
        <w:rPr>
          <w:sz w:val="15"/>
          <w:szCs w:val="15"/>
        </w:rPr>
        <w:t>[3] W. Kang and Y. Han: SmartPDR: Smartphone-Based Pedestrian Dead Reckoning for Indoor Localization, IEEE Sensors Journal, Vol.15, No.5, pp.2906–2916, 2015.</w:t>
      </w:r>
    </w:p>
    <w:p w14:paraId="1A003871" w14:textId="77777777" w:rsidR="009930DC" w:rsidRDefault="00000000">
      <w:pPr>
        <w:spacing w:line="220" w:lineRule="exact"/>
        <w:ind w:left="300" w:hanging="300"/>
      </w:pPr>
      <w:r>
        <w:rPr>
          <w:sz w:val="15"/>
          <w:szCs w:val="15"/>
        </w:rPr>
        <w:t xml:space="preserve">[4] </w:t>
      </w:r>
      <w:r>
        <w:rPr>
          <w:sz w:val="15"/>
          <w:szCs w:val="15"/>
        </w:rPr>
        <w:t>秋山高行，中原豪，山崎勝也，大橋洋輝，佐藤暁子：移動様態に応じたパーティクルフィルタによる歩行者自律測位方式の提案と評価，</w:t>
      </w:r>
      <w:r>
        <w:rPr>
          <w:sz w:val="15"/>
          <w:szCs w:val="15"/>
        </w:rPr>
        <w:t xml:space="preserve">FIT2013 </w:t>
      </w:r>
      <w:r>
        <w:rPr>
          <w:sz w:val="15"/>
          <w:szCs w:val="15"/>
        </w:rPr>
        <w:t>第</w:t>
      </w:r>
      <w:r>
        <w:rPr>
          <w:sz w:val="15"/>
          <w:szCs w:val="15"/>
        </w:rPr>
        <w:t>12</w:t>
      </w:r>
      <w:r>
        <w:rPr>
          <w:sz w:val="15"/>
          <w:szCs w:val="15"/>
        </w:rPr>
        <w:t>回情報科学技術フォーラム，</w:t>
      </w:r>
      <w:r>
        <w:rPr>
          <w:sz w:val="15"/>
          <w:szCs w:val="15"/>
        </w:rPr>
        <w:t>RO-017</w:t>
      </w:r>
      <w:r>
        <w:rPr>
          <w:sz w:val="15"/>
          <w:szCs w:val="15"/>
        </w:rPr>
        <w:t>，</w:t>
      </w:r>
      <w:r>
        <w:rPr>
          <w:sz w:val="15"/>
          <w:szCs w:val="15"/>
        </w:rPr>
        <w:t>pp.165–171</w:t>
      </w:r>
      <w:r>
        <w:rPr>
          <w:sz w:val="15"/>
          <w:szCs w:val="15"/>
        </w:rPr>
        <w:t>，</w:t>
      </w:r>
      <w:r>
        <w:rPr>
          <w:sz w:val="15"/>
          <w:szCs w:val="15"/>
        </w:rPr>
        <w:t>2013</w:t>
      </w:r>
      <w:r>
        <w:rPr>
          <w:sz w:val="15"/>
          <w:szCs w:val="15"/>
        </w:rPr>
        <w:t>．</w:t>
      </w:r>
    </w:p>
    <w:p w14:paraId="1A003872" w14:textId="77777777" w:rsidR="009930DC" w:rsidRDefault="00000000">
      <w:pPr>
        <w:spacing w:line="220" w:lineRule="exact"/>
        <w:ind w:left="300" w:hanging="300"/>
      </w:pPr>
      <w:r>
        <w:rPr>
          <w:sz w:val="15"/>
          <w:szCs w:val="15"/>
        </w:rPr>
        <w:t xml:space="preserve">[5] M. S. </w:t>
      </w:r>
      <w:proofErr w:type="spellStart"/>
      <w:r>
        <w:rPr>
          <w:sz w:val="15"/>
          <w:szCs w:val="15"/>
        </w:rPr>
        <w:t>Arulampalam</w:t>
      </w:r>
      <w:proofErr w:type="spellEnd"/>
      <w:r>
        <w:rPr>
          <w:sz w:val="15"/>
          <w:szCs w:val="15"/>
        </w:rPr>
        <w:t>, S. Maskell, N. Gordon and T. Clapp: A Tutorial on Particle Filters for Online Nonlinear/Non-Gaussian Bayesian Tracking, IEEE Trans. Signal Processing, Vol.50, No.2, pp.174–188, 2002.</w:t>
      </w:r>
    </w:p>
    <w:sectPr w:rsidR="009930DC">
      <w:type w:val="continuous"/>
      <w:pgSz w:w="11906" w:h="16838"/>
      <w:pgMar w:top="1134" w:right="1020" w:bottom="1134" w:left="1020" w:header="708" w:footer="708" w:gutter="0"/>
      <w:cols w:num="2" w:space="397"/>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明朝">
    <w:altName w:val="Yu Gothic"/>
    <w:panose1 w:val="020B0604020202020204"/>
    <w:charset w:val="80"/>
    <w:family w:val="roman"/>
    <w:notTrueType/>
    <w:pitch w:val="default"/>
  </w:font>
  <w:font w:name="MS ゴシック">
    <w:altName w:val="Yu Gothic"/>
    <w:panose1 w:val="020B0604020202020204"/>
    <w:charset w:val="80"/>
    <w:family w:val="roman"/>
    <w:notTrueType/>
    <w:pitch w:val="default"/>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742641"/>
    <w:multiLevelType w:val="hybridMultilevel"/>
    <w:tmpl w:val="879029AE"/>
    <w:lvl w:ilvl="0" w:tplc="7CCC3502" w:tentative="1">
      <w:start w:val="1"/>
      <w:numFmt w:val="bullet"/>
      <w:lvlText w:val="●"/>
      <w:lvlJc w:val="left"/>
      <w:pPr>
        <w:ind w:left="720" w:hanging="360"/>
      </w:pPr>
    </w:lvl>
    <w:lvl w:ilvl="1" w:tplc="FA66A1F4" w:tentative="1">
      <w:start w:val="1"/>
      <w:numFmt w:val="bullet"/>
      <w:lvlText w:val="○"/>
      <w:lvlJc w:val="left"/>
      <w:pPr>
        <w:ind w:left="1440" w:hanging="360"/>
      </w:pPr>
    </w:lvl>
    <w:lvl w:ilvl="2" w:tplc="9796D708" w:tentative="1">
      <w:start w:val="1"/>
      <w:numFmt w:val="bullet"/>
      <w:lvlText w:val="■"/>
      <w:lvlJc w:val="left"/>
      <w:pPr>
        <w:ind w:left="2160" w:hanging="360"/>
      </w:pPr>
    </w:lvl>
    <w:lvl w:ilvl="3" w:tplc="F9B074E2" w:tentative="1">
      <w:start w:val="1"/>
      <w:numFmt w:val="bullet"/>
      <w:lvlText w:val="●"/>
      <w:lvlJc w:val="left"/>
      <w:pPr>
        <w:ind w:left="2880" w:hanging="360"/>
      </w:pPr>
    </w:lvl>
    <w:lvl w:ilvl="4" w:tplc="9D0E9650" w:tentative="1">
      <w:start w:val="1"/>
      <w:numFmt w:val="bullet"/>
      <w:lvlText w:val="○"/>
      <w:lvlJc w:val="left"/>
      <w:pPr>
        <w:ind w:left="3600" w:hanging="360"/>
      </w:pPr>
    </w:lvl>
    <w:lvl w:ilvl="5" w:tplc="04EA06FC" w:tentative="1">
      <w:start w:val="1"/>
      <w:numFmt w:val="bullet"/>
      <w:lvlText w:val="■"/>
      <w:lvlJc w:val="left"/>
      <w:pPr>
        <w:ind w:left="4320" w:hanging="360"/>
      </w:pPr>
    </w:lvl>
    <w:lvl w:ilvl="6" w:tplc="60200FD2" w:tentative="1">
      <w:start w:val="1"/>
      <w:numFmt w:val="bullet"/>
      <w:lvlText w:val="●"/>
      <w:lvlJc w:val="left"/>
      <w:pPr>
        <w:ind w:left="5040" w:hanging="360"/>
      </w:pPr>
    </w:lvl>
    <w:lvl w:ilvl="7" w:tplc="56C2A234" w:tentative="1">
      <w:start w:val="1"/>
      <w:numFmt w:val="bullet"/>
      <w:lvlText w:val="●"/>
      <w:lvlJc w:val="left"/>
      <w:pPr>
        <w:ind w:left="5760" w:hanging="360"/>
      </w:pPr>
    </w:lvl>
    <w:lvl w:ilvl="8" w:tplc="55260218" w:tentative="1">
      <w:start w:val="1"/>
      <w:numFmt w:val="bullet"/>
      <w:lvlText w:val="●"/>
      <w:lvlJc w:val="left"/>
      <w:pPr>
        <w:ind w:left="6480" w:hanging="360"/>
      </w:pPr>
    </w:lvl>
  </w:abstractNum>
  <w:num w:numId="1" w16cid:durableId="102047483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bordersDoNotSurroundHeader/>
  <w:bordersDoNotSurroundFooter/>
  <w:proofState w:spelling="clean" w:grammar="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0DC"/>
    <w:rsid w:val="002365FA"/>
    <w:rsid w:val="00265006"/>
    <w:rsid w:val="002E04EF"/>
    <w:rsid w:val="003419A5"/>
    <w:rsid w:val="003D3A28"/>
    <w:rsid w:val="0073463E"/>
    <w:rsid w:val="007D25CA"/>
    <w:rsid w:val="00914E3E"/>
    <w:rsid w:val="00967B5B"/>
    <w:rsid w:val="0097133D"/>
    <w:rsid w:val="009930DC"/>
    <w:rsid w:val="009A7C7E"/>
    <w:rsid w:val="00AE45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1A003815"/>
  <w15:docId w15:val="{B65A1BC7-74FF-7543-A14F-509DC6929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MS 明朝" w:hAnsi="Times New Roman" w:cs="Times New Roman"/>
        <w:sz w:val="19"/>
        <w:szCs w:val="19"/>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semiHidden/>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強調太字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72fe835d-5e95-4512-8ae0-a7b38af25fc8}" enabled="0" method="" siteId="{72fe835d-5e95-4512-8ae0-a7b38af25fc8}" removed="1"/>
</clbl:labelList>
</file>

<file path=docProps/app.xml><?xml version="1.0" encoding="utf-8"?>
<Properties xmlns="http://schemas.openxmlformats.org/officeDocument/2006/extended-properties" xmlns:vt="http://schemas.openxmlformats.org/officeDocument/2006/docPropsVTypes">
  <Template>Normal.dotm</Template>
  <TotalTime>19</TotalTime>
  <Pages>3</Pages>
  <Words>562</Words>
  <Characters>3208</Characters>
  <Application>Microsoft Office Word</Application>
  <DocSecurity>0</DocSecurity>
  <Lines>26</Lines>
  <Paragraphs>7</Paragraphs>
  <ScaleCrop>false</ScaleCrop>
  <Company/>
  <LinksUpToDate>false</LinksUpToDate>
  <CharactersWithSpaces>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佐藤 壮真＠徳山学生</cp:lastModifiedBy>
  <cp:revision>12</cp:revision>
  <dcterms:created xsi:type="dcterms:W3CDTF">2026-10-05T05:41:00Z</dcterms:created>
  <dcterms:modified xsi:type="dcterms:W3CDTF">2026-10-05T06:44:00Z</dcterms:modified>
</cp:coreProperties>
</file>