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2410C"/>
          <w:sz w:val="48"/>
        </w:rPr>
        <w:t>PROPUESTA DE KPIs TÉCNICOS</w:t>
      </w:r>
    </w:p>
    <w:p>
      <w:pPr>
        <w:jc w:val="center"/>
      </w:pPr>
      <w:r>
        <w:rPr>
          <w:b/>
        </w:rPr>
        <w:t>Sistema de Gestión Integral "Bendito Buffet"</w:t>
      </w:r>
    </w:p>
    <w:p>
      <w:pPr>
        <w:jc w:val="center"/>
      </w:pPr>
      <w:r>
        <w:rPr>
          <w:b w:val="0"/>
        </w:rPr>
        <w:t>5 KPIs de rentabilidad, caja, ventas, inventario y personal derivados de los datos reales del sistema (Flask + PostgreSQL/Supabase + Vue 3)</w:t>
      </w:r>
    </w:p>
    <w:p/>
    <w:p/>
    <w:p/>
    <w:p>
      <w:pPr>
        <w:jc w:val="center"/>
      </w:pPr>
      <w:r>
        <w:rPr>
          <w:b/>
        </w:rPr>
        <w:t xml:space="preserve">Proyecto: </w:t>
      </w:r>
      <w:r>
        <w:t>flask_benditobuffet</w:t>
      </w:r>
    </w:p>
    <w:p>
      <w:pPr>
        <w:jc w:val="center"/>
      </w:pPr>
      <w:r>
        <w:rPr>
          <w:b/>
        </w:rPr>
        <w:t xml:space="preserve">Alcance: </w:t>
      </w:r>
      <w:r>
        <w:t>5 KPIs · sin modificación de base de datos</w:t>
      </w:r>
    </w:p>
    <w:p>
      <w:pPr>
        <w:jc w:val="center"/>
      </w:pPr>
      <w:r>
        <w:rPr>
          <w:b/>
        </w:rPr>
        <w:t xml:space="preserve">Fecha: </w:t>
      </w:r>
      <w:r>
        <w:t>18 de septiembre de 2026</w:t>
      </w:r>
    </w:p>
    <w:p>
      <w:r>
        <w:br w:type="page"/>
      </w:r>
    </w:p>
    <w:p>
      <w:pPr>
        <w:pStyle w:val="Heading1"/>
      </w:pPr>
      <w:r>
        <w:rPr>
          <w:color w:val="C2410C"/>
        </w:rPr>
        <w:t>Parte 1 · Análisis inicial del proyecto</w:t>
      </w:r>
    </w:p>
    <w:p>
      <w:pPr>
        <w:pStyle w:val="Heading2"/>
      </w:pPr>
      <w:r>
        <w:rPr>
          <w:color w:val="64748B"/>
        </w:rPr>
        <w:t>1.1 Problemas del restaurante que pueden medirse</w:t>
      </w:r>
    </w:p>
    <w:p>
      <w:pPr>
        <w:pStyle w:val="ListBullet"/>
        <w:jc w:val="both"/>
      </w:pPr>
      <w:r>
        <w:t>Flujo de caja sin control: egresos que se acercan o superan a las ventas por apertura.</w:t>
      </w:r>
    </w:p>
    <w:p>
      <w:pPr>
        <w:pStyle w:val="ListBullet"/>
        <w:jc w:val="both"/>
      </w:pPr>
      <w:r>
        <w:t>Stock muerto o sobrestock: productos que no salen en semanas y compras de pánico.</w:t>
      </w:r>
    </w:p>
    <w:p>
      <w:pPr>
        <w:pStyle w:val="ListBullet"/>
        <w:jc w:val="both"/>
      </w:pPr>
      <w:r>
        <w:t>Desabastecimiento inesperado: productos en "Stock bajo"/"Agotado" sin aviso previo.</w:t>
      </w:r>
    </w:p>
    <w:p>
      <w:pPr>
        <w:pStyle w:val="ListBullet"/>
        <w:jc w:val="both"/>
      </w:pPr>
      <w:r>
        <w:t>Ventas sin tendencia conocida: no se anticipa cuándo reponer o ajustar personal.</w:t>
      </w:r>
    </w:p>
    <w:p>
      <w:pPr>
        <w:pStyle w:val="ListBullet"/>
        <w:jc w:val="both"/>
      </w:pPr>
      <w:r>
        <w:t>Planilla descontrolada: adelantos, bonos y descuentos que escapan del salario semanal.</w:t>
      </w:r>
    </w:p>
    <w:p>
      <w:pPr>
        <w:pStyle w:val="Heading2"/>
      </w:pPr>
      <w:r>
        <w:rPr>
          <w:color w:val="64748B"/>
        </w:rPr>
        <w:t>1.2 Información que ya existe en la base de datos</w:t>
      </w:r>
    </w:p>
    <w:p>
      <w:pPr>
        <w:pStyle w:val="ListBullet"/>
        <w:jc w:val="both"/>
      </w:pPr>
      <w:r>
        <w:t>transacciones_caja: tipo (Venta/Gasto), monto, metodo_pago, categoria, fecha.</w:t>
      </w:r>
    </w:p>
    <w:p>
      <w:pPr>
        <w:pStyle w:val="ListBullet"/>
        <w:jc w:val="both"/>
      </w:pPr>
      <w:r>
        <w:t>cierres_caja: monto_inicial, total_ventas, total_gastos, neto (computado), estado.</w:t>
      </w:r>
    </w:p>
    <w:p>
      <w:pPr>
        <w:pStyle w:val="ListBullet"/>
        <w:jc w:val="both"/>
      </w:pPr>
      <w:r>
        <w:t>productos: nombre, precio, stock, unidad_medida (Kg/Un/Lt), estado, id_categoria.</w:t>
      </w:r>
    </w:p>
    <w:p>
      <w:pPr>
        <w:pStyle w:val="ListBullet"/>
        <w:jc w:val="both"/>
      </w:pPr>
      <w:r>
        <w:t>inventario_movimientos: tipo (Entrada/Salida/Ajuste), cantidad con signo, stock_anterior, stock_posterior, motivo, fecha.</w:t>
      </w:r>
    </w:p>
    <w:p>
      <w:pPr>
        <w:pStyle w:val="ListBullet"/>
        <w:jc w:val="both"/>
      </w:pPr>
      <w:r>
        <w:t>compras_inventario + detalle_compras_inventario: total_compra, cantidad, precio_unitario, subtotal.</w:t>
      </w:r>
    </w:p>
    <w:p>
      <w:pPr>
        <w:pStyle w:val="ListBullet"/>
        <w:jc w:val="both"/>
      </w:pPr>
      <w:r>
        <w:t>usuarios/roles/documentos_identidad; pagos_empleados y pagos_personal (Salario semanal/Bono/Horas extra/Otros).</w:t>
      </w:r>
    </w:p>
    <w:p>
      <w:pPr>
        <w:pStyle w:val="ListBullet"/>
        <w:jc w:val="both"/>
      </w:pPr>
      <w:r>
        <w:t>sueldos_semanales, descuentos_semanales, adelantos (Pendiente/Aprobado).</w:t>
      </w:r>
    </w:p>
    <w:p>
      <w:pPr>
        <w:pStyle w:val="ListBullet"/>
        <w:jc w:val="both"/>
      </w:pPr>
      <w:r>
        <w:t>solicitudes_insumos y atenciones_insumos; intentos_login, actividad_usuario, notificaciones.</w:t>
      </w:r>
    </w:p>
    <w:p>
      <w:pPr>
        <w:jc w:val="both"/>
      </w:pPr>
      <w:r>
        <w:rPr>
          <w:b w:val="0"/>
        </w:rPr>
        <w:t>Conclusión para los 5 KPIs: los datos disponibles son suficientes. No se requiere modificar la BD.</w:t>
      </w:r>
    </w:p>
    <w:p>
      <w:pPr>
        <w:pStyle w:val="Heading2"/>
      </w:pPr>
      <w:r>
        <w:rPr>
          <w:color w:val="64748B"/>
        </w:rPr>
        <w:t>1.3 Módulos que generan datos para los KPIs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Endpoints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Datos que produce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Caja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/api/caja/transacciones, /reportes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Ventas, gastos, métodos de pago, cierres [KPI-01, 02]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Inventario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/api/inventario/movimientos, /resumen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Movimientos con trazabilidad, stock [KPI-03, 04]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Cocina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/api/cocina/dashboard, /alertas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Estados de stock y cobertura [KPI-04]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Personal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/api/personal/pagos, /adelantos, /salarios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Pagos, adelantos, sueldos [KPI-05]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RENIEC (futuro)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/api/dni/&lt;dni&gt;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Validación de DNI al contratar</w:t>
            </w:r>
          </w:p>
        </w:tc>
      </w:tr>
    </w:tbl>
    <w:p>
      <w:pPr>
        <w:pStyle w:val="Heading2"/>
      </w:pPr>
      <w:r>
        <w:rPr>
          <w:color w:val="64748B"/>
        </w:rPr>
        <w:t>1.4 Decisiones que podrá tomar el administrador</w:t>
      </w:r>
    </w:p>
    <w:p>
      <w:pPr>
        <w:pStyle w:val="ListBullet"/>
        <w:jc w:val="both"/>
      </w:pPr>
      <w:r>
        <w:t>Si los gastos se comen el flujo de caja (recortar, renegociar proveedores).</w:t>
      </w:r>
    </w:p>
    <w:p>
      <w:pPr>
        <w:pStyle w:val="ListBullet"/>
        <w:jc w:val="both"/>
      </w:pPr>
      <w:r>
        <w:t>Si las ventas crecen o caen (promocionar, abastecer, ajustar personal).</w:t>
      </w:r>
    </w:p>
    <w:p>
      <w:pPr>
        <w:pStyle w:val="ListBullet"/>
        <w:jc w:val="both"/>
      </w:pPr>
      <w:r>
        <w:t>Qué productos tienen stock muerto y cuáles se rotan bien (dónde poner/mover dinero).</w:t>
      </w:r>
    </w:p>
    <w:p>
      <w:pPr>
        <w:pStyle w:val="ListBullet"/>
        <w:jc w:val="both"/>
      </w:pPr>
      <w:r>
        <w:t>Cuándo y cuánto comprar de los productos de compra diaria (cantidad de pedido).</w:t>
      </w:r>
    </w:p>
    <w:p>
      <w:pPr>
        <w:pStyle w:val="ListBullet"/>
        <w:jc w:val="both"/>
      </w:pPr>
      <w:r>
        <w:t>Si la planilla cabe dentro de la venta del periodo.</w:t>
      </w:r>
    </w:p>
    <w:p>
      <w:pPr>
        <w:pStyle w:val="Heading2"/>
      </w:pPr>
      <w:r>
        <w:rPr>
          <w:color w:val="64748B"/>
        </w:rPr>
        <w:t>1.5 Datos adicionales necesarios</w:t>
      </w:r>
    </w:p>
    <w:p>
      <w:pPr>
        <w:jc w:val="both"/>
      </w:pPr>
      <w:r>
        <w:rPr>
          <w:b w:val="0"/>
        </w:rPr>
        <w:t>Para los 5 KPIs seleccionados: ninguno. Solo se documentan campos opcionales de mejora futura en la PARTE 4.</w:t>
      </w:r>
    </w:p>
    <w:p>
      <w:pPr>
        <w:pStyle w:val="Heading1"/>
      </w:pPr>
      <w:r>
        <w:rPr>
          <w:color w:val="C2410C"/>
        </w:rPr>
        <w:t>Parte 2 · Definición de los 5 KPIs seleccionados</w:t>
      </w:r>
    </w:p>
    <w:p>
      <w:pPr>
        <w:pStyle w:val="Heading2"/>
      </w:pPr>
      <w:r>
        <w:rPr>
          <w:color w:val="64748B"/>
        </w:rPr>
        <w:t>KPI-01 · Margen de flujo de caja (%)</w:t>
      </w:r>
    </w:p>
    <w:p>
      <w:pPr>
        <w:jc w:val="both"/>
      </w:pPr>
      <w:r>
        <w:rPr>
          <w:b/>
        </w:rPr>
        <w:t>Fórmula:</w:t>
      </w:r>
    </w:p>
    <w:p>
      <w:r>
        <w:rPr>
          <w:rFonts w:ascii="Consolas" w:hAnsi="Consolas"/>
          <w:sz w:val="19"/>
        </w:rPr>
        <w:t>((Σ Ventas − Σ Gastos) / Σ Ventas) × 100</w:t>
        <w:br/>
        <w:t>Ventas = SUM(monto) WHERE tipo='Venta' · Gastos = SUM(monto) WHERE tipo='Gasto'</w:t>
      </w:r>
    </w:p>
    <w:p>
      <w:pPr>
        <w:jc w:val="both"/>
      </w:pPr>
      <w:r>
        <w:rPr>
          <w:b/>
        </w:rPr>
        <w:t>Fuente de datos:</w:t>
      </w:r>
    </w:p>
    <w:p>
      <w:pPr>
        <w:pStyle w:val="ListBullet"/>
        <w:jc w:val="both"/>
      </w:pPr>
      <w:r>
        <w:t>Numerador: SUM(transacciones_caja.monto) para tipo='Venta' menos tipo='Gasto'. Denominador: SUM(transacciones_caja.monto) para tipo='Venta'. Tabla: transacciones_caja · Campos: tipo, monto, fecha · Módulo: Caja.</w:t>
      </w:r>
    </w:p>
    <w:p>
      <w:pPr>
        <w:jc w:val="both"/>
      </w:pPr>
      <w:r>
        <w:rPr>
          <w:b/>
        </w:rPr>
        <w:t>Interpretación:</w:t>
      </w:r>
    </w:p>
    <w:p>
      <w:pPr>
        <w:jc w:val="both"/>
      </w:pPr>
      <w:r>
        <w:rPr>
          <w:b w:val="0"/>
        </w:rPr>
        <w:t>Porcentaje del dinero ingresado por ventas que queda en caja tras los egresos de la misma apertura.</w:t>
      </w:r>
    </w:p>
    <w:p>
      <w:pPr>
        <w:jc w:val="both"/>
      </w:pPr>
      <w:r>
        <w:rPr>
          <w:b/>
        </w:rPr>
        <w:t>Utilidad para el negocio:</w:t>
      </w:r>
    </w:p>
    <w:p>
      <w:pPr>
        <w:jc w:val="both"/>
      </w:pPr>
      <w:r>
        <w:rPr>
          <w:b w:val="0"/>
        </w:rPr>
        <w:t>Detectar cierres "en rojo", recortar/renegociar gastos y dimensionar el monto inicial de caja.</w:t>
      </w:r>
    </w:p>
    <w:p>
      <w:pPr>
        <w:jc w:val="both"/>
      </w:pPr>
      <w:r>
        <w:rPr>
          <w:b/>
        </w:rPr>
        <w:t>Frecuencia de medición:</w:t>
      </w:r>
    </w:p>
    <w:p>
      <w:pPr>
        <w:jc w:val="both"/>
      </w:pPr>
      <w:r>
        <w:rPr>
          <w:b w:val="0"/>
        </w:rPr>
        <w:t>Diaria; acumulado semanal y mensual.</w:t>
      </w:r>
    </w:p>
    <w:p>
      <w:pPr>
        <w:jc w:val="both"/>
      </w:pPr>
      <w:r>
        <w:rPr>
          <w:b/>
        </w:rPr>
        <w:t>Meta o rango de referencia:</w:t>
      </w:r>
    </w:p>
    <w:p>
      <w:pPr>
        <w:jc w:val="both"/>
      </w:pPr>
      <w:r>
        <w:rPr>
          <w:b w:val="0"/>
        </w:rPr>
        <w:t>Industria orientativa: 15–30 % de margen de operación en efectivo. Calibrar con 8–12 semanas de datos reales.</w:t>
      </w:r>
    </w:p>
    <w:p>
      <w:pPr>
        <w:pStyle w:val="Heading2"/>
      </w:pPr>
      <w:r>
        <w:rPr>
          <w:color w:val="64748B"/>
        </w:rPr>
        <w:t>KPI-02 · Variación porcentual de ventas vs periodo anterior</w:t>
      </w:r>
    </w:p>
    <w:p>
      <w:pPr>
        <w:jc w:val="both"/>
      </w:pPr>
      <w:r>
        <w:rPr>
          <w:b/>
        </w:rPr>
        <w:t>Fórmula:</w:t>
      </w:r>
    </w:p>
    <w:p>
      <w:r>
        <w:rPr>
          <w:rFonts w:ascii="Consolas" w:hAnsi="Consolas"/>
          <w:sz w:val="19"/>
        </w:rPr>
        <w:t>((V(t) − V(t−1)) / V(t−1)) × 100</w:t>
      </w:r>
    </w:p>
    <w:p>
      <w:pPr>
        <w:jc w:val="both"/>
      </w:pPr>
      <w:r>
        <w:rPr>
          <w:b/>
        </w:rPr>
        <w:t>Fuente de datos:</w:t>
      </w:r>
    </w:p>
    <w:p>
      <w:pPr>
        <w:pStyle w:val="ListBullet"/>
        <w:jc w:val="both"/>
      </w:pPr>
      <w:r>
        <w:t>Numerador: SUM(transacciones_caja.monto) actual − anterior (tipo='Venta'). Denominador: SUM(transacciones_caja.monto) del periodo anterior. Tabla: transacciones_caja · Campos: tipo, monto, fecha · Módulo: Caja/Rendimiento.</w:t>
      </w:r>
    </w:p>
    <w:p>
      <w:pPr>
        <w:jc w:val="both"/>
      </w:pPr>
      <w:r>
        <w:rPr>
          <w:b/>
        </w:rPr>
        <w:t>Interpretación:</w:t>
      </w:r>
    </w:p>
    <w:p>
      <w:pPr>
        <w:jc w:val="both"/>
      </w:pPr>
      <w:r>
        <w:rPr>
          <w:b w:val="0"/>
        </w:rPr>
        <w:t>Crecimiento o caída de la venta frente al periodo equivalente anterior.</w:t>
      </w:r>
    </w:p>
    <w:p>
      <w:pPr>
        <w:jc w:val="both"/>
      </w:pPr>
      <w:r>
        <w:rPr>
          <w:b/>
        </w:rPr>
        <w:t>Utilidad para el negocio:</w:t>
      </w:r>
    </w:p>
    <w:p>
      <w:pPr>
        <w:jc w:val="both"/>
      </w:pPr>
      <w:r>
        <w:rPr>
          <w:b w:val="0"/>
        </w:rPr>
        <w:t>Decidir campañas/promociones, dimensionar personal y compras según la dirección de la tendencia.</w:t>
      </w:r>
    </w:p>
    <w:p>
      <w:pPr>
        <w:jc w:val="both"/>
      </w:pPr>
      <w:r>
        <w:rPr>
          <w:b/>
        </w:rPr>
        <w:t>Frecuencia de medición:</w:t>
      </w:r>
    </w:p>
    <w:p>
      <w:pPr>
        <w:jc w:val="both"/>
      </w:pPr>
      <w:r>
        <w:rPr>
          <w:b w:val="0"/>
        </w:rPr>
        <w:t>Semanal y mensual.</w:t>
      </w:r>
    </w:p>
    <w:p>
      <w:pPr>
        <w:jc w:val="both"/>
      </w:pPr>
      <w:r>
        <w:rPr>
          <w:b/>
        </w:rPr>
        <w:t>Meta o rango de referencia:</w:t>
      </w:r>
    </w:p>
    <w:p>
      <w:pPr>
        <w:jc w:val="both"/>
      </w:pPr>
      <w:r>
        <w:rPr>
          <w:b w:val="0"/>
        </w:rPr>
        <w:t>≥ 0 % (crecimiento continuo). Calibrar umbral por estacionalidad con histórico.</w:t>
      </w:r>
    </w:p>
    <w:p>
      <w:pPr>
        <w:pStyle w:val="Heading2"/>
      </w:pPr>
      <w:r>
        <w:rPr>
          <w:color w:val="64748B"/>
        </w:rPr>
        <w:t>KPI-03 · Rotación por producto y cadencia de compra</w:t>
      </w:r>
    </w:p>
    <w:p>
      <w:pPr>
        <w:jc w:val="both"/>
      </w:pPr>
      <w:r>
        <w:rPr>
          <w:b/>
        </w:rPr>
        <w:t>Fórmula:</w:t>
      </w:r>
    </w:p>
    <w:p>
      <w:r>
        <w:rPr>
          <w:rFonts w:ascii="Consolas" w:hAnsi="Consolas"/>
          <w:sz w:val="19"/>
        </w:rPr>
        <w:t>Rotación del producto = Σ |salidas en el periodo| / Stock promedio del producto</w:t>
        <w:br/>
        <w:t>Cadencia por días de cobertura: Alta ≤ 2 · Media 3-7 · Baja &gt; 7</w:t>
      </w:r>
    </w:p>
    <w:p>
      <w:pPr>
        <w:jc w:val="both"/>
      </w:pPr>
      <w:r>
        <w:rPr>
          <w:b/>
        </w:rPr>
        <w:t>Fuente de datos:</w:t>
      </w:r>
    </w:p>
    <w:p>
      <w:pPr>
        <w:pStyle w:val="ListBullet"/>
        <w:jc w:val="both"/>
      </w:pPr>
      <w:r>
        <w:t>Numerador: SUM(ABS(inventario_movimientos.cantidad)) con tipo='Salida' (o Ajuste con cantidad&lt;0) por id_producto. Denominador: AVG(inventario_movimientos.stock_posterior) o (stock inicial+final)/2. Tablas: inventario_movimientos (cantidad, tipo, stock_posterior, fecha, id_producto), productos (stock, unidad_medida) · Módulo: Inventario.</w:t>
      </w:r>
    </w:p>
    <w:p>
      <w:pPr>
        <w:jc w:val="both"/>
      </w:pPr>
      <w:r>
        <w:rPr>
          <w:b/>
        </w:rPr>
        <w:t>Interpretación:</w:t>
      </w:r>
    </w:p>
    <w:p>
      <w:pPr>
        <w:jc w:val="both"/>
      </w:pPr>
      <w:r>
        <w:rPr>
          <w:b w:val="0"/>
        </w:rPr>
        <w:t>Cuántas veces se consume el producto según su stock promedio. En productos de compra diaria (verduras, carnes) el número de rotación es muy alto y confuso, por eso se agrupa por cadencia y se reporta la señal útil de cada grupo.</w:t>
      </w:r>
    </w:p>
    <w:p>
      <w:pPr>
        <w:jc w:val="both"/>
      </w:pPr>
      <w:r>
        <w:rPr>
          <w:b/>
        </w:rPr>
        <w:t>Utilidad para el negocio:</w:t>
      </w:r>
    </w:p>
    <w:p>
      <w:pPr>
        <w:jc w:val="both"/>
      </w:pPr>
      <w:r>
        <w:rPr>
          <w:b w:val="0"/>
        </w:rPr>
        <w:t>Alta (diaria): consumo diario + cantidad de pedido = consumo × plazo del proveedor. Media: rotación semanal + punto de reorden. Baja: rotación mensual + alerta de stock muerto (sin salidas en 30/60/90 días). No requiere costo unitario ni mezcla unidades.</w:t>
      </w:r>
    </w:p>
    <w:p>
      <w:pPr>
        <w:jc w:val="both"/>
      </w:pPr>
      <w:r>
        <w:rPr>
          <w:b/>
        </w:rPr>
        <w:t>Frecuencia de medición:</w:t>
      </w:r>
    </w:p>
    <w:p>
      <w:pPr>
        <w:jc w:val="both"/>
      </w:pPr>
      <w:r>
        <w:rPr>
          <w:b w:val="0"/>
        </w:rPr>
        <w:t>Cálculo diario por producto; reporte semanal de tendencia.</w:t>
      </w:r>
    </w:p>
    <w:p>
      <w:pPr>
        <w:jc w:val="both"/>
      </w:pPr>
      <w:r>
        <w:rPr>
          <w:b/>
        </w:rPr>
        <w:t>Meta o rango de referencia:</w:t>
      </w:r>
    </w:p>
    <w:p>
      <w:pPr>
        <w:jc w:val="both"/>
      </w:pPr>
      <w:r>
        <w:rPr>
          <w:b w:val="0"/>
        </w:rPr>
        <w:t>Almacén/secos: rotación mensual ≥ 1; stock muerto: sin salidas en 30/60/90 días. Calibrar con histórico.</w:t>
      </w:r>
    </w:p>
    <w:p>
      <w:pPr>
        <w:pStyle w:val="Heading2"/>
      </w:pPr>
      <w:r>
        <w:rPr>
          <w:color w:val="64748B"/>
        </w:rPr>
        <w:t>KPI-04 · Días de cobertura de inventario (run-out)</w:t>
      </w:r>
    </w:p>
    <w:p>
      <w:pPr>
        <w:jc w:val="both"/>
      </w:pPr>
      <w:r>
        <w:rPr>
          <w:b/>
        </w:rPr>
        <w:t>Fórmula:</w:t>
      </w:r>
    </w:p>
    <w:p>
      <w:r>
        <w:rPr>
          <w:rFonts w:ascii="Consolas" w:hAnsi="Consolas"/>
          <w:sz w:val="19"/>
        </w:rPr>
        <w:t>Días de cobertura = Stock actual / Consumo diario promedio (últimos 30 días)</w:t>
      </w:r>
    </w:p>
    <w:p>
      <w:pPr>
        <w:jc w:val="both"/>
      </w:pPr>
      <w:r>
        <w:rPr>
          <w:b/>
        </w:rPr>
        <w:t>Fuente de datos:</w:t>
      </w:r>
    </w:p>
    <w:p>
      <w:pPr>
        <w:pStyle w:val="ListBullet"/>
        <w:jc w:val="both"/>
      </w:pPr>
      <w:r>
        <w:t>Numerador: productos.stock. Denominador: inventario_movimientos.cantidad (Salida/Ajuste negativo) de los últimos 30 días. Tablas: productos (stock), inventario_movimientos (tipo, cantidad, fecha, id_producto). Módulos: Inventario/Cocina.</w:t>
      </w:r>
    </w:p>
    <w:p>
      <w:pPr>
        <w:jc w:val="both"/>
      </w:pPr>
      <w:r>
        <w:rPr>
          <w:b/>
        </w:rPr>
        <w:t>Interpretación:</w:t>
      </w:r>
    </w:p>
    <w:p>
      <w:pPr>
        <w:jc w:val="both"/>
      </w:pPr>
      <w:r>
        <w:rPr>
          <w:b w:val="0"/>
        </w:rPr>
        <w:t>Cuántos días opera la cocina con el stock actual al ritmo promedio de consumo; predice el desabastecimiento antes de llegar a "Agotado".</w:t>
      </w:r>
    </w:p>
    <w:p>
      <w:pPr>
        <w:jc w:val="both"/>
      </w:pPr>
      <w:r>
        <w:rPr>
          <w:b/>
        </w:rPr>
        <w:t>Utilidad para el negocio:</w:t>
      </w:r>
    </w:p>
    <w:p>
      <w:pPr>
        <w:jc w:val="both"/>
      </w:pPr>
      <w:r>
        <w:rPr>
          <w:b w:val="0"/>
        </w:rPr>
        <w:t>Fechas y volúmenes de compra sugeridos; base de la clasificación de cadencia del KPI-03.</w:t>
      </w:r>
    </w:p>
    <w:p>
      <w:pPr>
        <w:jc w:val="both"/>
      </w:pPr>
      <w:r>
        <w:rPr>
          <w:b/>
        </w:rPr>
        <w:t>Frecuencia de medición:</w:t>
      </w:r>
    </w:p>
    <w:p>
      <w:pPr>
        <w:jc w:val="both"/>
      </w:pPr>
      <w:r>
        <w:rPr>
          <w:b w:val="0"/>
        </w:rPr>
        <w:t>Diaria (en la práctica, tiempo real).</w:t>
      </w:r>
    </w:p>
    <w:p>
      <w:pPr>
        <w:jc w:val="both"/>
      </w:pPr>
      <w:r>
        <w:rPr>
          <w:b/>
        </w:rPr>
        <w:t>Meta o rango de referencia:</w:t>
      </w:r>
    </w:p>
    <w:p>
      <w:pPr>
        <w:jc w:val="both"/>
      </w:pPr>
      <w:r>
        <w:rPr>
          <w:b w:val="0"/>
        </w:rPr>
        <w:t>Perecederos 3–7 días; secos 14–30 días (orientativo). Calibrar con el ciclo de compra real.</w:t>
      </w:r>
    </w:p>
    <w:p>
      <w:pPr>
        <w:pStyle w:val="Heading2"/>
      </w:pPr>
      <w:r>
        <w:rPr>
          <w:color w:val="64748B"/>
        </w:rPr>
        <w:t>KPI-05 · Ratio de costo laboral sobre ventas</w:t>
      </w:r>
    </w:p>
    <w:p>
      <w:pPr>
        <w:jc w:val="both"/>
      </w:pPr>
      <w:r>
        <w:rPr>
          <w:b/>
        </w:rPr>
        <w:t>Fórmula:</w:t>
      </w:r>
    </w:p>
    <w:p>
      <w:r>
        <w:rPr>
          <w:rFonts w:ascii="Consolas" w:hAnsi="Consolas"/>
          <w:sz w:val="19"/>
        </w:rPr>
        <w:t>((Σ Pagos pagados + Σ Adelantos aprobados) / Σ Ventas) × 100</w:t>
      </w:r>
    </w:p>
    <w:p>
      <w:pPr>
        <w:jc w:val="both"/>
      </w:pPr>
      <w:r>
        <w:rPr>
          <w:b/>
        </w:rPr>
        <w:t>Fuente de datos:</w:t>
      </w:r>
    </w:p>
    <w:p>
      <w:pPr>
        <w:pStyle w:val="ListBullet"/>
        <w:jc w:val="both"/>
      </w:pPr>
      <w:r>
        <w:t>Numerador: pagos_empleados.monto (estado='Pagado') + adelantos.monto (estado='Aprobado', fecha_gestion). Denominador: transacciones_caja.monto (tipo='Venta'). Tablas: pagos_empleados, adelantos, transacciones_caja · Módulos: Personal + Caja.</w:t>
      </w:r>
    </w:p>
    <w:p>
      <w:pPr>
        <w:jc w:val="both"/>
      </w:pPr>
      <w:r>
        <w:rPr>
          <w:b/>
        </w:rPr>
        <w:t>Interpretación:</w:t>
      </w:r>
    </w:p>
    <w:p>
      <w:pPr>
        <w:jc w:val="both"/>
      </w:pPr>
      <w:r>
        <w:rPr>
          <w:b w:val="0"/>
        </w:rPr>
        <w:t>Porcentaje de la venta destinado a la planilla (sueldos + adelantos entregados).</w:t>
      </w:r>
    </w:p>
    <w:p>
      <w:pPr>
        <w:jc w:val="both"/>
      </w:pPr>
      <w:r>
        <w:rPr>
          <w:b/>
        </w:rPr>
        <w:t>Utilidad para el negocio:</w:t>
      </w:r>
    </w:p>
    <w:p>
      <w:pPr>
        <w:jc w:val="both"/>
      </w:pPr>
      <w:r>
        <w:rPr>
          <w:b w:val="0"/>
        </w:rPr>
        <w:t>Dimensionar turnos, decidir contrataciones/recortes y controlar que los adelantos no inflen el costo laboral.</w:t>
      </w:r>
    </w:p>
    <w:p>
      <w:pPr>
        <w:jc w:val="both"/>
      </w:pPr>
      <w:r>
        <w:rPr>
          <w:b/>
        </w:rPr>
        <w:t>Frecuencia de medición:</w:t>
      </w:r>
    </w:p>
    <w:p>
      <w:pPr>
        <w:jc w:val="both"/>
      </w:pPr>
      <w:r>
        <w:rPr>
          <w:b w:val="0"/>
        </w:rPr>
        <w:t>Semanal y mensual.</w:t>
      </w:r>
    </w:p>
    <w:p>
      <w:pPr>
        <w:jc w:val="both"/>
      </w:pPr>
      <w:r>
        <w:rPr>
          <w:b/>
        </w:rPr>
        <w:t>Meta o rango de referencia:</w:t>
      </w:r>
    </w:p>
    <w:p>
      <w:pPr>
        <w:jc w:val="both"/>
      </w:pPr>
      <w:r>
        <w:rPr>
          <w:b w:val="0"/>
        </w:rPr>
        <w:t>Rango habitual de mano de obra: 25–35 % (orientativo). Calibrar con la estructura real.</w:t>
      </w:r>
    </w:p>
    <w:p>
      <w:pPr>
        <w:pStyle w:val="Heading2"/>
      </w:pPr>
      <w:r>
        <w:rPr>
          <w:color w:val="64748B"/>
        </w:rPr>
        <w:t>KPIs complementarios evaluados y descartados (decisión)</w:t>
      </w:r>
    </w:p>
    <w:p>
      <w:pPr>
        <w:pStyle w:val="ListBullet"/>
        <w:jc w:val="both"/>
      </w:pPr>
      <w:r>
        <w:t>Tasa de pérdidas y mermas → requiere campo opcional inventario_movimientos.tipo_salida.</w:t>
      </w:r>
    </w:p>
    <w:p>
      <w:pPr>
        <w:pStyle w:val="ListBullet"/>
        <w:jc w:val="both"/>
      </w:pPr>
      <w:r>
        <w:t>Incidencia de adelantos en la planilla → calculable hoy (adelantos / pagos).</w:t>
      </w:r>
    </w:p>
    <w:p>
      <w:pPr>
        <w:pStyle w:val="ListBullet"/>
        <w:jc w:val="both"/>
      </w:pPr>
      <w:r>
        <w:t>Ticket promedio por transacción → calculable hoy (transacciones_caja).</w:t>
      </w:r>
    </w:p>
    <w:p>
      <w:pPr>
        <w:pStyle w:val="ListBullet"/>
        <w:jc w:val="both"/>
      </w:pPr>
      <w:r>
        <w:t>Composición de ventas por método de pago → calculable hoy (transacciones_caja.metodo_pago).</w:t>
      </w:r>
    </w:p>
    <w:p>
      <w:pPr>
        <w:pStyle w:val="ListBullet"/>
        <w:jc w:val="both"/>
      </w:pPr>
      <w:r>
        <w:t>Índice de atención de solicitudes de insumos → calculable hoy (solicitudes_insumos, atenciones_insumos).</w:t>
      </w:r>
    </w:p>
    <w:p>
      <w:pPr>
        <w:pStyle w:val="ListBullet"/>
        <w:jc w:val="both"/>
      </w:pPr>
      <w:r>
        <w:t>Tasa de intentos de acceso fallidos → calculable hoy (intentos_login).</w:t>
      </w:r>
    </w:p>
    <w:p>
      <w:pPr>
        <w:pStyle w:val="Heading1"/>
      </w:pPr>
      <w:r>
        <w:rPr>
          <w:color w:val="C2410C"/>
        </w:rPr>
        <w:t>Parte 3 · KPI, métricas y datos a utilizar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KPI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Métrica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Dato requerido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Tabla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Módulo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Periodicidad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KPI-01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Suma de ventas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Monto por movimiento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transacciones_caja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monto/tipo/fecha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NUMERIC/VARCHAR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Caja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Diaria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KPI-01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Suma de gastos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Monto por movimiento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transacciones_caja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monto/tipo/fecha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NUMERIC/VARCHAR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Caja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Diaria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KPI-02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Suma de ventas por periodo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Monto y fecha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transacciones_caja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monto/tipo/fecha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Caja/Rendimiento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Semanal-Mensual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KPI-03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Salidas del producto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Cantidad por movimiento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inventario_movimientos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cantidad/tipo/fecha/id_producto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NUMERIC/VARCHAR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Inventario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Diaria (reporte semanal)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KPI-03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Stock promedio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Cierre diario de stock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inventario_movimientos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stock_posterior/id_producto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Inventario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Diaria (reporte semanal)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KPI-03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Unidad de medida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Unidad del producto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unidad_medida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VARCHAR(10)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Inventario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KPI-04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Stock actual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Cantidad en stock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stock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Inventario/Cocina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Diaria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KPI-04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Consumo diario promedio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Salidas 30 días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inventario_movimientos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cantidad/tipo/fecha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Inventario/Cocina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Diaria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KPI-05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Pagos y adelantos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Montos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pagos_empleados / adelantos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monto/estado/fecha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Personal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Semanal-Mensual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KPI-05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Ventas periodo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Monto de ventas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transacciones_caja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monto/tipo/fecha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Caja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Semanal-Mensual</w:t>
            </w:r>
          </w:p>
        </w:tc>
      </w:tr>
    </w:tbl>
    <w:p>
      <w:pPr>
        <w:pStyle w:val="Heading1"/>
      </w:pPr>
      <w:r>
        <w:rPr>
          <w:color w:val="C2410C"/>
        </w:rPr>
        <w:t>Parte 4 · Modificación de la base de datos</w:t>
      </w:r>
    </w:p>
    <w:p>
      <w:pPr>
        <w:jc w:val="both"/>
      </w:pPr>
      <w:r>
        <w:rPr>
          <w:b w:val="0"/>
        </w:rPr>
        <w:t>Conclusión: los 5 KPIs se calculan con los datos actuales. No se requiere modificar la base de datos.</w:t>
      </w:r>
    </w:p>
    <w:p>
      <w:pPr>
        <w:jc w:val="both"/>
      </w:pPr>
      <w:r>
        <w:rPr>
          <w:b w:val="0"/>
        </w:rPr>
        <w:t>Antes se consideró productos.costo_promedio para una rotación valorizada en dinero; al reformular el KPI-03 por producto y en unidades, el costeo dejó de ser necesario (y no se mezclan unidades entre productos).</w:t>
      </w:r>
    </w:p>
    <w:p>
      <w:pPr>
        <w:pStyle w:val="Heading2"/>
      </w:pPr>
      <w:r>
        <w:rPr>
          <w:color w:val="64748B"/>
        </w:rPr>
        <w:t>Campos opcionales de mejora futura (NO requeridos)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Tabla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Campo nuevo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Tipo de dato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Propósito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KPI futuro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costo_promedio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NUMERIC(12,2) NOT NULL DEFAULT 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Rotación global valorizada en soles y costeo de consumo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Rotación monetaria / mermas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inventario_movimientos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tipo_salida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VARCHAR(30) NULL (CHECK)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Clasificar mermas/pérdidas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Tasa de pérdidas y mermas</w:t>
            </w:r>
          </w:p>
        </w:tc>
      </w:tr>
    </w:tbl>
    <w:p>
      <w:pPr>
        <w:pStyle w:val="Heading1"/>
      </w:pPr>
      <w:r>
        <w:rPr>
          <w:color w:val="C2410C"/>
        </w:rPr>
        <w:t>Parte 5 · Propuesta técnica de implementación</w:t>
      </w:r>
    </w:p>
    <w:p>
      <w:pPr>
        <w:pStyle w:val="Heading2"/>
      </w:pPr>
      <w:r>
        <w:rPr>
          <w:color w:val="64748B"/>
        </w:rPr>
        <w:t>Backend (Flask + PostgreSQL)</w:t>
      </w:r>
    </w:p>
    <w:p>
      <w:pPr>
        <w:pStyle w:val="ListBullet"/>
        <w:jc w:val="both"/>
      </w:pPr>
      <w:r>
        <w:t>Nuevo blueprint /api/kpis: GET /api/kpis/dashboard (tiempo real: KPI-01, KPI-04, cadencia KPI-03) y GET /api/kpis/analisis?periodo=&amp;fecha= (KPI-01, 02, 03, 05 por periodo).</w:t>
      </w:r>
    </w:p>
    <w:p>
      <w:pPr>
        <w:pStyle w:val="ListBullet"/>
        <w:jc w:val="both"/>
      </w:pPr>
      <w:r>
        <w:t>Consultas con SUM/COUNT/AVG reutilizando api/fechas.py (periodo_financiero) para buckets día/semana/mes/año.</w:t>
      </w:r>
    </w:p>
    <w:p>
      <w:pPr>
        <w:pStyle w:val="ListBullet"/>
        <w:jc w:val="both"/>
      </w:pPr>
      <w:r>
        <w:t>Cadencia (KPI-03) en SQL desde la cobertura: CASE WHEN cobertura &lt;= 2 THEN 'Alta' WHEN &lt;=7 THEN 'Media' ELSE 'Baja'.</w:t>
      </w:r>
    </w:p>
    <w:p>
      <w:pPr>
        <w:pStyle w:val="ListBullet"/>
        <w:jc w:val="both"/>
      </w:pPr>
      <w:r>
        <w:t>Filtros opcionales: producto, categoria, empleado, umbral.</w:t>
      </w:r>
    </w:p>
    <w:p>
      <w:pPr>
        <w:pStyle w:val="Heading2"/>
      </w:pPr>
      <w:r>
        <w:rPr>
          <w:color w:val="64748B"/>
        </w:rPr>
        <w:t>Frontend (Vue 3 + PrimeVue)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Dónde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KPIs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Gráfico sugerido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Filtros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 admin (PanelAdminView)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KPI-01, 02, 04, 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Tarjetas + Gauge + DataTable top-10 cobertura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día/semana/mes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Caja → Reportes financieros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KPI-01, KPI-02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Línea ventas/margen + media móvil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fecha, periodo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Inventario → Reportes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KPI-03, KPI-04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Tabs por cadencia; barras de consumo; ranking stock muerto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producto, categoría, rango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Personal → Reportes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KPI-05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Barras costo laboral vs ventas por mes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mes, empleado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IA Predictiva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KPI-04 proyectado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Línea reales vs proyección; cantidad de pedido sugerida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periodo</w:t>
            </w:r>
          </w:p>
        </w:tc>
      </w:tr>
    </w:tbl>
    <w:p>
      <w:pPr>
        <w:pStyle w:val="Heading2"/>
      </w:pPr>
      <w:r>
        <w:rPr>
          <w:color w:val="64748B"/>
        </w:rPr>
        <w:t>Comportamiento de actualización</w:t>
      </w:r>
    </w:p>
    <w:p>
      <w:pPr>
        <w:pStyle w:val="ListBullet"/>
        <w:jc w:val="both"/>
      </w:pPr>
      <w:r>
        <w:t>Tiempo real: margen (KPI-01) y cobertura (KPI-04) al abrir las vistas.</w:t>
      </w:r>
    </w:p>
    <w:p>
      <w:pPr>
        <w:pStyle w:val="ListBullet"/>
        <w:jc w:val="both"/>
      </w:pPr>
      <w:r>
        <w:t>Por periodo: variación (02), rotación/cadencia (03) y costo laboral (05) en /api/kpis/analisis.</w:t>
      </w:r>
    </w:p>
    <w:p>
      <w:pPr>
        <w:pStyle w:val="ListBullet"/>
        <w:jc w:val="both"/>
      </w:pPr>
      <w:r>
        <w:t>Predicción: cantidad de pedido (KPI-03/04) desde la primera semana; tendencia de ventas (02) requiere ≥ 8–12 semanas.</w:t>
      </w:r>
    </w:p>
    <w:p>
      <w:pPr>
        <w:pStyle w:val="Heading2"/>
      </w:pPr>
      <w:r>
        <w:rPr>
          <w:color w:val="64748B"/>
        </w:rPr>
        <w:t>Preguntas que podrá responder el administrador</w:t>
      </w:r>
    </w:p>
    <w:p>
      <w:pPr>
        <w:pStyle w:val="ListBullet"/>
        <w:jc w:val="both"/>
      </w:pPr>
      <w:r>
        <w:t>¿Las ventas aumentan o disminuyen? → KPI-01, KPI-02.</w:t>
      </w:r>
    </w:p>
    <w:p>
      <w:pPr>
        <w:pStyle w:val="ListBullet"/>
        <w:jc w:val="both"/>
      </w:pPr>
      <w:r>
        <w:t>¿Cuánto de cada sol de venta queda en caja? → KPI-01.</w:t>
      </w:r>
    </w:p>
    <w:p>
      <w:pPr>
        <w:pStyle w:val="ListBullet"/>
        <w:jc w:val="both"/>
      </w:pPr>
      <w:r>
        <w:t>¿Qué productos tienen stock muerto y cuáles rotan bien? → KPI-03.</w:t>
      </w:r>
    </w:p>
    <w:p>
      <w:pPr>
        <w:pStyle w:val="ListBullet"/>
        <w:jc w:val="both"/>
      </w:pPr>
      <w:r>
        <w:t>¿Cuánto comprar de los productos de compra diaria y cuándo? → KPI-03, KPI-04.</w:t>
      </w:r>
    </w:p>
    <w:p>
      <w:pPr>
        <w:pStyle w:val="ListBullet"/>
        <w:jc w:val="both"/>
      </w:pPr>
      <w:r>
        <w:t>¿La planilla cabe dentro de la venta? → KPI-05.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