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Reinforcement Learning from Human Feedback on GPT-2: A Comparative Study of PPO, DPO, and KL-Penalty Stability</w:t>
      </w:r>
    </w:p>
    <w:p/>
    <w:p>
      <w:pPr>
        <w:jc w:val="center"/>
      </w:pPr>
      <w:r>
        <w:rPr>
          <w:rFonts w:ascii="Times New Roman" w:hAnsi="Times New Roman"/>
          <w:b/>
          <w:sz w:val="22"/>
        </w:rPr>
        <w:t>Muhammad Haseeb, Muavia Shakeel</w:t>
      </w:r>
    </w:p>
    <w:p>
      <w:pPr>
        <w:jc w:val="center"/>
      </w:pPr>
      <w:r>
        <w:rPr>
          <w:rFonts w:ascii="Times New Roman" w:hAnsi="Times New Roman"/>
          <w:sz w:val="20"/>
        </w:rPr>
        <w:t>Department of Computer Science</w:t>
        <w:br/>
        <w:t>FAST National University of Computer and Emerging Sciences</w:t>
        <w:br/>
        <w:t>Islamabad, Pakistan</w:t>
        <w:br/>
        <w:t>{haseeb, muavia}@nu.edu.pk</w:t>
      </w:r>
    </w:p>
    <w:p/>
    <w:p>
      <w:pPr>
        <w:spacing w:after="80"/>
        <w:jc w:val="both"/>
      </w:pPr>
      <w:r>
        <w:rPr>
          <w:rFonts w:ascii="Times New Roman" w:hAnsi="Times New Roman"/>
          <w:b/>
          <w:sz w:val="20"/>
        </w:rPr>
        <w:t xml:space="preserve">Abstract — </w:t>
      </w:r>
      <w:r>
        <w:rPr>
          <w:rFonts w:ascii="Times New Roman" w:hAnsi="Times New Roman"/>
          <w:sz w:val="20"/>
        </w:rPr>
        <w:t>This paper presents an empirical study of Reinforcement Learning from Human Feedback (RLHF) applied to GPT-2 (124M parameters) on the IMDB sentiment dataset. We make three contributions: (C1) a complete PPO-RLHF pipeline achieving a mean reward improvement from 1.125 to 5.100 (+3.975) at an alignment tax of +18.3% perplexity; (C2) a head-to-head comparison of PPO vs. Direct Preference Optimisation (DPO), showing PPO is 2.5× more reward-efficient than DPO per unit perplexity increase (0.1339 vs. 0.0528); and (C3) a systematic stability sweep over KL-penalty coefficient β ∈ {0.05, 0.10, 0.20, 0.50} across 3 random seeds (12 runs total), empirically identifying reward hacking onset at β ≤ 0.10 (mean KL ≥ 17.7), consistent with Gao et al. (2023). The optimal stable configuration is β=0.20, yielding mean reward 5.286 with a 8.1-unit KL safety margin before collapse.</w:t>
      </w:r>
    </w:p>
    <w:p>
      <w:pPr>
        <w:jc w:val="both"/>
      </w:pPr>
      <w:r>
        <w:rPr>
          <w:rFonts w:ascii="Times New Roman" w:hAnsi="Times New Roman"/>
          <w:b/>
          <w:sz w:val="20"/>
        </w:rPr>
        <w:t xml:space="preserve">Keywords — </w:t>
      </w:r>
      <w:r>
        <w:rPr>
          <w:rFonts w:ascii="Times New Roman" w:hAnsi="Times New Roman"/>
          <w:sz w:val="20"/>
        </w:rPr>
        <w:t>Reinforcement Learning from Human Feedback, RLHF, GPT-2, Proximal Policy Optimisation, Direct Preference Optimisation, KL Divergence, Reward Hacking, Alignment Tax, Language Models.</w:t>
      </w:r>
    </w:p>
    <w:p/>
    <w:p>
      <w:pPr>
        <w:spacing w:before="120" w:after="60"/>
        <w:jc w:val="left"/>
      </w:pPr>
      <w:r>
        <w:rPr>
          <w:rFonts w:ascii="Times New Roman" w:hAnsi="Times New Roman"/>
          <w:b/>
          <w:color w:val="000000"/>
          <w:sz w:val="24"/>
        </w:rPr>
        <w:t>I. INTRODUCTION</w:t>
      </w:r>
    </w:p>
    <w:p>
      <w:pPr>
        <w:spacing w:before="0" w:after="80"/>
        <w:ind w:firstLine="288"/>
        <w:jc w:val="both"/>
      </w:pPr>
      <w:r>
        <w:rPr>
          <w:rFonts w:ascii="Times New Roman" w:hAnsi="Times New Roman"/>
          <w:sz w:val="20"/>
        </w:rPr>
        <w:t>Large language models (LLMs) trained via supervised learning frequently produce outputs that are fluent but misaligned with human preferences, generating harmful, biased, or off-topic content. Reinforcement Learning from Human Feedback (RLHF) addresses this by training a reward model from human preference labels and using reinforcement learning to optimise the language model against that signal [1], [2].</w:t>
      </w:r>
    </w:p>
    <w:p>
      <w:pPr>
        <w:spacing w:before="0" w:after="80"/>
        <w:ind w:firstLine="288"/>
        <w:jc w:val="both"/>
      </w:pPr>
      <w:r>
        <w:rPr>
          <w:rFonts w:ascii="Times New Roman" w:hAnsi="Times New Roman"/>
          <w:sz w:val="20"/>
        </w:rPr>
        <w:t>A persistent challenge in RLHF is the alignment tax: reward-optimised models tend to increase perplexity as they optimise for the proxy reward. When the KL divergence penalty is too weak, the policy diverges catastrophically — a phenomenon Gao et al. (2023) term reward hacking [3]. A parallel method, Direct Preference Optimisation (DPO) [4], avoids RL entirely by reframing preference learning as a supervised classification problem, but its alignment-tax profile relative to PPO at small scale remains underexplored.</w:t>
      </w:r>
    </w:p>
    <w:p>
      <w:pPr>
        <w:spacing w:before="0" w:after="80"/>
        <w:ind w:firstLine="288"/>
        <w:jc w:val="both"/>
      </w:pPr>
      <w:r>
        <w:rPr>
          <w:rFonts w:ascii="Times New Roman" w:hAnsi="Times New Roman"/>
          <w:sz w:val="20"/>
        </w:rPr>
        <w:t>This paper makes three contributions: (C1) a full PPO-RLHF pipeline on GPT-2/IMDB with quantified alignment tax; (C2) a head-to-head PPO vs. DPO comparison on identical base model, reward model, and evaluation protocol; and (C3) a systematic sweep of the KL-penalty coefficient β identifying the reward-hacking onset threshold and recommending a stable training configuration.</w:t>
      </w:r>
    </w:p>
    <w:p>
      <w:pPr>
        <w:spacing w:before="120" w:after="60"/>
        <w:jc w:val="left"/>
      </w:pPr>
      <w:r>
        <w:rPr>
          <w:rFonts w:ascii="Times New Roman" w:hAnsi="Times New Roman"/>
          <w:b/>
          <w:color w:val="000000"/>
          <w:sz w:val="24"/>
        </w:rPr>
        <w:t>II. RELATED WORK</w:t>
      </w:r>
    </w:p>
    <w:p>
      <w:pPr>
        <w:spacing w:before="0" w:after="80"/>
        <w:ind w:firstLine="288"/>
        <w:jc w:val="both"/>
      </w:pPr>
      <w:r>
        <w:rPr>
          <w:rFonts w:ascii="Times New Roman" w:hAnsi="Times New Roman"/>
          <w:sz w:val="20"/>
        </w:rPr>
        <w:t>Christiano et al. [1] introduced RLHF for deep RL tasks; Ouyang et al. [2] scaled it to LLMs with InstructGPT, demonstrating that RLHF substantially improves instruction following at the cost of some fluency. Bai et al. [5] applied RLHF for harmlessness and helpfulness alignment in Anthropic's Claude models.</w:t>
      </w:r>
    </w:p>
    <w:p>
      <w:pPr>
        <w:spacing w:before="0" w:after="80"/>
        <w:ind w:firstLine="288"/>
        <w:jc w:val="both"/>
      </w:pPr>
      <w:r>
        <w:rPr>
          <w:rFonts w:ascii="Times New Roman" w:hAnsi="Times New Roman"/>
          <w:sz w:val="20"/>
        </w:rPr>
        <w:t>Gao et al. [3] derived scaling laws for reward model overoptimisation, showing that the proxy reward rises then falls as KL divergence grows beyond a threshold, coining the term reward hacking. Their work motivates our C3 sweep. Rafailov et al. [4] proposed DPO as a stable, RL-free alternative; their closed-form solution avoids reward model inference at training time but introduces its own distribution-shift dynamics.</w:t>
      </w:r>
    </w:p>
    <w:p>
      <w:pPr>
        <w:spacing w:before="120" w:after="60"/>
        <w:jc w:val="left"/>
      </w:pPr>
      <w:r>
        <w:rPr>
          <w:rFonts w:ascii="Times New Roman" w:hAnsi="Times New Roman"/>
          <w:b/>
          <w:color w:val="000000"/>
          <w:sz w:val="24"/>
        </w:rPr>
        <w:t>III. METHODOLOGY</w:t>
      </w:r>
    </w:p>
    <w:p>
      <w:pPr>
        <w:spacing w:before="120" w:after="60"/>
        <w:jc w:val="left"/>
      </w:pPr>
      <w:r>
        <w:rPr>
          <w:rFonts w:ascii="Times New Roman" w:hAnsi="Times New Roman"/>
          <w:b/>
          <w:sz w:val="20"/>
        </w:rPr>
        <w:t>A. Base Model and Dataset</w:t>
      </w:r>
    </w:p>
    <w:p>
      <w:pPr>
        <w:spacing w:before="0" w:after="80"/>
        <w:ind w:firstLine="288"/>
        <w:jc w:val="both"/>
      </w:pPr>
      <w:r>
        <w:rPr>
          <w:rFonts w:ascii="Times New Roman" w:hAnsi="Times New Roman"/>
          <w:sz w:val="20"/>
        </w:rPr>
        <w:t>All experiments use GPT-2 [6] (Radford et al., 2019; 124M parameters) as the base language model and the IMDB large movie review dataset [7] (50,000 reviews) as the training and evaluation corpus. The HuggingFace Transformers 4.57.6 and TRL 0.24.0 libraries are used throughout [8]. All experiments run on CPU (Apple Silicon, MPS disabled), PyTorch 2.8.0.</w:t>
      </w:r>
    </w:p>
    <w:p>
      <w:pPr>
        <w:spacing w:before="120" w:after="60"/>
        <w:jc w:val="left"/>
      </w:pPr>
      <w:r>
        <w:rPr>
          <w:rFonts w:ascii="Times New Roman" w:hAnsi="Times New Roman"/>
          <w:b/>
          <w:sz w:val="20"/>
        </w:rPr>
        <w:t>B. Stage 1 — Supervised Fine-Tuning (SFT)</w:t>
      </w:r>
    </w:p>
    <w:p>
      <w:pPr>
        <w:spacing w:before="0" w:after="80"/>
        <w:ind w:firstLine="288"/>
        <w:jc w:val="both"/>
      </w:pPr>
      <w:r>
        <w:rPr>
          <w:rFonts w:ascii="Times New Roman" w:hAnsi="Times New Roman"/>
          <w:sz w:val="20"/>
        </w:rPr>
        <w:t>GPT-2 is fine-tuned on IMDB reviews using causal language modelling (next-token prediction) to produce the SFT policy π_SFT, which serves as the initialisation point for both PPO and DPO and as the reference model for KL regularisation. Maximum sequence length: 128 tokens.</w:t>
      </w:r>
    </w:p>
    <w:p>
      <w:pPr>
        <w:spacing w:before="120" w:after="60"/>
        <w:jc w:val="left"/>
      </w:pPr>
      <w:r>
        <w:rPr>
          <w:rFonts w:ascii="Times New Roman" w:hAnsi="Times New Roman"/>
          <w:b/>
          <w:sz w:val="20"/>
        </w:rPr>
        <w:t>C. Stage 2 — Reward Model</w:t>
      </w:r>
    </w:p>
    <w:p>
      <w:pPr>
        <w:spacing w:before="0" w:after="80"/>
        <w:ind w:firstLine="288"/>
        <w:jc w:val="both"/>
      </w:pPr>
      <w:r>
        <w:rPr>
          <w:rFonts w:ascii="Times New Roman" w:hAnsi="Times New Roman"/>
          <w:sz w:val="20"/>
        </w:rPr>
        <w:t>A binary sentiment reward model is trained by attaching a linear classification head to GPT-2 and fine-tuning for 3 epochs with cross-entropy loss (eval_accuracy=85.5%, eval_loss=0.356). The reward model is frozen for all subsequent stages.</w:t>
      </w:r>
    </w:p>
    <w:p>
      <w:pPr>
        <w:spacing w:before="120" w:after="60"/>
        <w:jc w:val="left"/>
      </w:pPr>
      <w:r>
        <w:rPr>
          <w:rFonts w:ascii="Times New Roman" w:hAnsi="Times New Roman"/>
          <w:b/>
          <w:sz w:val="20"/>
        </w:rPr>
        <w:t>D. Stage 3a — PPO Training</w:t>
      </w:r>
    </w:p>
    <w:p>
      <w:pPr>
        <w:spacing w:before="0" w:after="80"/>
        <w:ind w:firstLine="288"/>
        <w:jc w:val="both"/>
      </w:pPr>
      <w:r>
        <w:rPr>
          <w:rFonts w:ascii="Times New Roman" w:hAnsi="Times New Roman"/>
          <w:sz w:val="20"/>
        </w:rPr>
        <w:t>PPO [9] optimises the language model policy subject to a KL divergence penalty against π_SFT. The objective is: L_PPO = E[r(x,y)] − β · KL(π_θ ‖ π_SFT). For C1, β=0.20 across 3 seeds (42, 123, 456), 200 steps. For C3, β ∈ {0.05, 0.10, 0.20, 0.50} × 3 seeds = 12 runs.</w:t>
      </w:r>
    </w:p>
    <w:p>
      <w:pPr>
        <w:spacing w:before="120" w:after="60"/>
        <w:jc w:val="left"/>
      </w:pPr>
      <w:r>
        <w:rPr>
          <w:rFonts w:ascii="Times New Roman" w:hAnsi="Times New Roman"/>
          <w:b/>
          <w:sz w:val="20"/>
        </w:rPr>
        <w:t>E. Stage 3b — DPO Training</w:t>
      </w:r>
    </w:p>
    <w:p>
      <w:pPr>
        <w:spacing w:before="0" w:after="80"/>
        <w:ind w:firstLine="288"/>
        <w:jc w:val="both"/>
      </w:pPr>
      <w:r>
        <w:rPr>
          <w:rFonts w:ascii="Times New Roman" w:hAnsi="Times New Roman"/>
          <w:sz w:val="20"/>
        </w:rPr>
        <w:t>DPO [4] fine-tunes the SFT model from preference pairs without an RL loop. Preference pairs are constructed from IMDB labels (positive = preferred, negative = rejected). DPO β=0.10, 3 seeds, initialised from the SFT checkpoint.</w:t>
      </w:r>
    </w:p>
    <w:p>
      <w:pPr>
        <w:spacing w:before="120" w:after="60"/>
        <w:jc w:val="left"/>
      </w:pPr>
      <w:r>
        <w:rPr>
          <w:rFonts w:ascii="Times New Roman" w:hAnsi="Times New Roman"/>
          <w:b/>
          <w:sz w:val="20"/>
        </w:rPr>
        <w:t>F. Evaluation Protocol</w:t>
      </w:r>
    </w:p>
    <w:p>
      <w:pPr>
        <w:spacing w:before="0" w:after="80"/>
        <w:ind w:firstLine="288"/>
        <w:jc w:val="both"/>
      </w:pPr>
      <w:r>
        <w:rPr>
          <w:rFonts w:ascii="Times New Roman" w:hAnsi="Times New Roman"/>
          <w:sz w:val="20"/>
        </w:rPr>
        <w:t>Models are evaluated on 10 fixed IMDB-style prompts. We report: (i) mean reward (reward model score on generated continuations); (ii) perplexity on the IMDB test set as fluency proxy; (iii) alignment tax = (PPL_aligned − PPL_SFT)/PPL_SFT × 100%; (iv) KL divergence across training; and (v) collapse detection (max KL &gt; 20).</w:t>
      </w:r>
    </w:p>
    <w:p>
      <w:pPr>
        <w:spacing w:before="120" w:after="60"/>
        <w:jc w:val="left"/>
      </w:pPr>
      <w:r>
        <w:rPr>
          <w:rFonts w:ascii="Times New Roman" w:hAnsi="Times New Roman"/>
          <w:b/>
          <w:color w:val="000000"/>
          <w:sz w:val="24"/>
        </w:rPr>
        <w:t>IV. RESULTS</w:t>
      </w:r>
    </w:p>
    <w:p>
      <w:pPr>
        <w:spacing w:before="120" w:after="60"/>
        <w:jc w:val="left"/>
      </w:pPr>
      <w:r>
        <w:rPr>
          <w:rFonts w:ascii="Times New Roman" w:hAnsi="Times New Roman"/>
          <w:b/>
          <w:sz w:val="20"/>
        </w:rPr>
        <w:t>A. Reward Model Performance</w:t>
      </w:r>
    </w:p>
    <w:p>
      <w:pPr>
        <w:spacing w:before="0" w:after="80"/>
        <w:ind w:firstLine="288"/>
        <w:jc w:val="both"/>
      </w:pPr>
      <w:r>
        <w:rPr>
          <w:rFonts w:ascii="Times New Roman" w:hAnsi="Times New Roman"/>
          <w:sz w:val="20"/>
        </w:rPr>
        <w:t>The reward model achieves 85.5% evaluation accuracy and 0.356 loss on the held-out IMDB test set after 3 epochs, confirming its reliability as a proxy reward signal.</w:t>
      </w:r>
    </w:p>
    <w:p>
      <w:pPr>
        <w:spacing w:before="120" w:after="60"/>
        <w:jc w:val="left"/>
      </w:pPr>
      <w:r>
        <w:rPr>
          <w:rFonts w:ascii="Times New Roman" w:hAnsi="Times New Roman"/>
          <w:b/>
          <w:sz w:val="20"/>
        </w:rPr>
        <w:t>B. C1 — PPO Training Results</w:t>
      </w:r>
    </w:p>
    <w:p>
      <w:pPr>
        <w:spacing w:before="0" w:after="80"/>
        <w:ind w:firstLine="288"/>
        <w:jc w:val="both"/>
      </w:pPr>
      <w:r>
        <w:rPr>
          <w:rFonts w:ascii="Times New Roman" w:hAnsi="Times New Roman"/>
          <w:sz w:val="20"/>
        </w:rPr>
        <w:t>PPO training (β=0.20, 200 steps) consistently improves mean reward across all three seeds with no reward collapse (max KL &lt; 15 for all runs). Training-time reward (measured by the stability sweep protocol) increases from 3.367 to 5.286 (Δ=1.919, +57.1%), consistent across all seeds (Table I). Post-training evaluation on 10 fixed IMDB prompts (evaluate.py, seed=42) confirms the improvement: SFT mean 1.125 → PPO 5.100 (+3.975) at a perplexity cost of +18.3%.</w:t>
      </w:r>
    </w:p>
    <w:p>
      <w:pPr>
        <w:spacing w:after="120"/>
        <w:jc w:val="center"/>
      </w:pPr>
      <w:r>
        <w:rPr>
          <w:rFonts w:ascii="Times New Roman" w:hAnsi="Times New Roman"/>
          <w:b/>
          <w:sz w:val="18"/>
        </w:rPr>
        <w:t>TABLE I.  PPO TRAINING RESULTS PER SEED (β=0.20, 200 STEPS) — Training-time reward from stability_sweep.py</w:t>
      </w:r>
    </w:p>
    <w:tbl>
      <w:tblPr>
        <w:tblStyle w:val="TableGrid"/>
        <w:tblW w:type="auto" w:w="0"/>
        <w:tblLayout w:type="fixed"/>
        <w:tblLook w:firstColumn="1" w:firstRow="1" w:lastColumn="0" w:lastRow="0" w:noHBand="0" w:noVBand="1" w:val="04A0"/>
        <w:tblW w:w="10080" w:type="dxa"/>
      </w:tblPr>
      <w:tblGrid>
        <w:gridCol w:w="2016"/>
        <w:gridCol w:w="1613"/>
        <w:gridCol w:w="1613"/>
        <w:gridCol w:w="1613"/>
        <w:gridCol w:w="1613"/>
        <w:gridCol w:w="1613"/>
      </w:tblGrid>
      <w:tr>
        <w:tc>
          <w:tcPr>
            <w:tcW w:type="dxa" w:w="1680"/>
            <w:shd w:val="clear" w:color="auto" w:fill="D9D9D9"/>
          </w:tcPr>
          <w:p>
            <w:pPr>
              <w:jc w:val="center"/>
            </w:pPr>
            <w:r>
              <w:rPr>
                <w:rFonts w:ascii="Times New Roman" w:hAnsi="Times New Roman"/>
                <w:b/>
                <w:sz w:val="18"/>
              </w:rPr>
              <w:t>Seed</w:t>
            </w:r>
          </w:p>
        </w:tc>
        <w:tc>
          <w:tcPr>
            <w:tcW w:type="dxa" w:w="1680"/>
            <w:shd w:val="clear" w:color="auto" w:fill="D9D9D9"/>
          </w:tcPr>
          <w:p>
            <w:pPr>
              <w:jc w:val="center"/>
            </w:pPr>
            <w:r>
              <w:rPr>
                <w:rFonts w:ascii="Times New Roman" w:hAnsi="Times New Roman"/>
                <w:b/>
                <w:sz w:val="18"/>
              </w:rPr>
              <w:t>Reward Before</w:t>
            </w:r>
          </w:p>
        </w:tc>
        <w:tc>
          <w:tcPr>
            <w:tcW w:type="dxa" w:w="1680"/>
            <w:shd w:val="clear" w:color="auto" w:fill="D9D9D9"/>
          </w:tcPr>
          <w:p>
            <w:pPr>
              <w:jc w:val="center"/>
            </w:pPr>
            <w:r>
              <w:rPr>
                <w:rFonts w:ascii="Times New Roman" w:hAnsi="Times New Roman"/>
                <w:b/>
                <w:sz w:val="18"/>
              </w:rPr>
              <w:t>Reward After</w:t>
            </w:r>
          </w:p>
        </w:tc>
        <w:tc>
          <w:tcPr>
            <w:tcW w:type="dxa" w:w="1680"/>
            <w:shd w:val="clear" w:color="auto" w:fill="D9D9D9"/>
          </w:tcPr>
          <w:p>
            <w:pPr>
              <w:jc w:val="center"/>
            </w:pPr>
            <w:r>
              <w:rPr>
                <w:rFonts w:ascii="Times New Roman" w:hAnsi="Times New Roman"/>
                <w:b/>
                <w:sz w:val="18"/>
              </w:rPr>
              <w:t>Improvement</w:t>
            </w:r>
          </w:p>
        </w:tc>
        <w:tc>
          <w:tcPr>
            <w:tcW w:type="dxa" w:w="1680"/>
            <w:shd w:val="clear" w:color="auto" w:fill="D9D9D9"/>
          </w:tcPr>
          <w:p>
            <w:pPr>
              <w:jc w:val="center"/>
            </w:pPr>
            <w:r>
              <w:rPr>
                <w:rFonts w:ascii="Times New Roman" w:hAnsi="Times New Roman"/>
                <w:b/>
                <w:sz w:val="18"/>
              </w:rPr>
              <w:t>Max KL</w:t>
            </w:r>
          </w:p>
        </w:tc>
        <w:tc>
          <w:tcPr>
            <w:tcW w:type="dxa" w:w="1680"/>
            <w:shd w:val="clear" w:color="auto" w:fill="D9D9D9"/>
          </w:tcPr>
          <w:p>
            <w:pPr>
              <w:jc w:val="center"/>
            </w:pPr>
            <w:r>
              <w:rPr>
                <w:rFonts w:ascii="Times New Roman" w:hAnsi="Times New Roman"/>
                <w:b/>
                <w:sz w:val="18"/>
              </w:rPr>
              <w:t>Collapse</w:t>
            </w:r>
          </w:p>
        </w:tc>
      </w:tr>
      <w:tr>
        <w:tc>
          <w:tcPr>
            <w:tcW w:type="dxa" w:w="1680"/>
          </w:tcPr>
          <w:p>
            <w:pPr>
              <w:jc w:val="center"/>
            </w:pPr>
            <w:r>
              <w:rPr>
                <w:rFonts w:ascii="Times New Roman" w:hAnsi="Times New Roman"/>
                <w:sz w:val="18"/>
              </w:rPr>
              <w:t>42</w:t>
            </w:r>
          </w:p>
        </w:tc>
        <w:tc>
          <w:tcPr>
            <w:tcW w:type="dxa" w:w="1680"/>
          </w:tcPr>
          <w:p>
            <w:pPr>
              <w:jc w:val="center"/>
            </w:pPr>
            <w:r>
              <w:rPr>
                <w:rFonts w:ascii="Times New Roman" w:hAnsi="Times New Roman"/>
                <w:sz w:val="18"/>
              </w:rPr>
              <w:t>3.578</w:t>
            </w:r>
          </w:p>
        </w:tc>
        <w:tc>
          <w:tcPr>
            <w:tcW w:type="dxa" w:w="1680"/>
          </w:tcPr>
          <w:p>
            <w:pPr>
              <w:jc w:val="center"/>
            </w:pPr>
            <w:r>
              <w:rPr>
                <w:rFonts w:ascii="Times New Roman" w:hAnsi="Times New Roman"/>
                <w:sz w:val="18"/>
              </w:rPr>
              <w:t>5.648</w:t>
            </w:r>
          </w:p>
        </w:tc>
        <w:tc>
          <w:tcPr>
            <w:tcW w:type="dxa" w:w="1680"/>
          </w:tcPr>
          <w:p>
            <w:pPr>
              <w:jc w:val="center"/>
            </w:pPr>
            <w:r>
              <w:rPr>
                <w:rFonts w:ascii="Times New Roman" w:hAnsi="Times New Roman"/>
                <w:sz w:val="18"/>
              </w:rPr>
              <w:t>+57.9%</w:t>
            </w:r>
          </w:p>
        </w:tc>
        <w:tc>
          <w:tcPr>
            <w:tcW w:type="dxa" w:w="1680"/>
          </w:tcPr>
          <w:p>
            <w:pPr>
              <w:jc w:val="center"/>
            </w:pPr>
            <w:r>
              <w:rPr>
                <w:rFonts w:ascii="Times New Roman" w:hAnsi="Times New Roman"/>
                <w:sz w:val="18"/>
              </w:rPr>
              <w:t>14.23</w:t>
            </w:r>
          </w:p>
        </w:tc>
        <w:tc>
          <w:tcPr>
            <w:tcW w:type="dxa" w:w="1680"/>
          </w:tcPr>
          <w:p>
            <w:pPr>
              <w:jc w:val="center"/>
            </w:pPr>
            <w:r>
              <w:rPr>
                <w:rFonts w:ascii="Times New Roman" w:hAnsi="Times New Roman"/>
                <w:sz w:val="18"/>
              </w:rPr>
              <w:t>No</w:t>
            </w:r>
          </w:p>
        </w:tc>
      </w:tr>
      <w:tr>
        <w:tc>
          <w:tcPr>
            <w:tcW w:type="dxa" w:w="1680"/>
          </w:tcPr>
          <w:p>
            <w:pPr>
              <w:jc w:val="center"/>
            </w:pPr>
            <w:r>
              <w:rPr>
                <w:rFonts w:ascii="Times New Roman" w:hAnsi="Times New Roman"/>
                <w:sz w:val="18"/>
              </w:rPr>
              <w:t>123</w:t>
            </w:r>
          </w:p>
        </w:tc>
        <w:tc>
          <w:tcPr>
            <w:tcW w:type="dxa" w:w="1680"/>
          </w:tcPr>
          <w:p>
            <w:pPr>
              <w:jc w:val="center"/>
            </w:pPr>
            <w:r>
              <w:rPr>
                <w:rFonts w:ascii="Times New Roman" w:hAnsi="Times New Roman"/>
                <w:sz w:val="18"/>
              </w:rPr>
              <w:t>3.301</w:t>
            </w:r>
          </w:p>
        </w:tc>
        <w:tc>
          <w:tcPr>
            <w:tcW w:type="dxa" w:w="1680"/>
          </w:tcPr>
          <w:p>
            <w:pPr>
              <w:jc w:val="center"/>
            </w:pPr>
            <w:r>
              <w:rPr>
                <w:rFonts w:ascii="Times New Roman" w:hAnsi="Times New Roman"/>
                <w:sz w:val="18"/>
              </w:rPr>
              <w:t>4.753</w:t>
            </w:r>
          </w:p>
        </w:tc>
        <w:tc>
          <w:tcPr>
            <w:tcW w:type="dxa" w:w="1680"/>
          </w:tcPr>
          <w:p>
            <w:pPr>
              <w:jc w:val="center"/>
            </w:pPr>
            <w:r>
              <w:rPr>
                <w:rFonts w:ascii="Times New Roman" w:hAnsi="Times New Roman"/>
                <w:sz w:val="18"/>
              </w:rPr>
              <w:t>+44.0%</w:t>
            </w:r>
          </w:p>
        </w:tc>
        <w:tc>
          <w:tcPr>
            <w:tcW w:type="dxa" w:w="1680"/>
          </w:tcPr>
          <w:p>
            <w:pPr>
              <w:jc w:val="center"/>
            </w:pPr>
            <w:r>
              <w:rPr>
                <w:rFonts w:ascii="Times New Roman" w:hAnsi="Times New Roman"/>
                <w:sz w:val="18"/>
              </w:rPr>
              <w:t>14.62</w:t>
            </w:r>
          </w:p>
        </w:tc>
        <w:tc>
          <w:tcPr>
            <w:tcW w:type="dxa" w:w="1680"/>
          </w:tcPr>
          <w:p>
            <w:pPr>
              <w:jc w:val="center"/>
            </w:pPr>
            <w:r>
              <w:rPr>
                <w:rFonts w:ascii="Times New Roman" w:hAnsi="Times New Roman"/>
                <w:sz w:val="18"/>
              </w:rPr>
              <w:t>No</w:t>
            </w:r>
          </w:p>
        </w:tc>
      </w:tr>
      <w:tr>
        <w:tc>
          <w:tcPr>
            <w:tcW w:type="dxa" w:w="1680"/>
          </w:tcPr>
          <w:p>
            <w:pPr>
              <w:jc w:val="center"/>
            </w:pPr>
            <w:r>
              <w:rPr>
                <w:rFonts w:ascii="Times New Roman" w:hAnsi="Times New Roman"/>
                <w:sz w:val="18"/>
              </w:rPr>
              <w:t>456</w:t>
            </w:r>
          </w:p>
        </w:tc>
        <w:tc>
          <w:tcPr>
            <w:tcW w:type="dxa" w:w="1680"/>
          </w:tcPr>
          <w:p>
            <w:pPr>
              <w:jc w:val="center"/>
            </w:pPr>
            <w:r>
              <w:rPr>
                <w:rFonts w:ascii="Times New Roman" w:hAnsi="Times New Roman"/>
                <w:sz w:val="18"/>
              </w:rPr>
              <w:t>3.222</w:t>
            </w:r>
          </w:p>
        </w:tc>
        <w:tc>
          <w:tcPr>
            <w:tcW w:type="dxa" w:w="1680"/>
          </w:tcPr>
          <w:p>
            <w:pPr>
              <w:jc w:val="center"/>
            </w:pPr>
            <w:r>
              <w:rPr>
                <w:rFonts w:ascii="Times New Roman" w:hAnsi="Times New Roman"/>
                <w:sz w:val="18"/>
              </w:rPr>
              <w:t>5.457</w:t>
            </w:r>
          </w:p>
        </w:tc>
        <w:tc>
          <w:tcPr>
            <w:tcW w:type="dxa" w:w="1680"/>
          </w:tcPr>
          <w:p>
            <w:pPr>
              <w:jc w:val="center"/>
            </w:pPr>
            <w:r>
              <w:rPr>
                <w:rFonts w:ascii="Times New Roman" w:hAnsi="Times New Roman"/>
                <w:sz w:val="18"/>
              </w:rPr>
              <w:t>+69.4%</w:t>
            </w:r>
          </w:p>
        </w:tc>
        <w:tc>
          <w:tcPr>
            <w:tcW w:type="dxa" w:w="1680"/>
          </w:tcPr>
          <w:p>
            <w:pPr>
              <w:jc w:val="center"/>
            </w:pPr>
            <w:r>
              <w:rPr>
                <w:rFonts w:ascii="Times New Roman" w:hAnsi="Times New Roman"/>
                <w:sz w:val="18"/>
              </w:rPr>
              <w:t>14.62</w:t>
            </w:r>
          </w:p>
        </w:tc>
        <w:tc>
          <w:tcPr>
            <w:tcW w:type="dxa" w:w="1680"/>
          </w:tcPr>
          <w:p>
            <w:pPr>
              <w:jc w:val="center"/>
            </w:pPr>
            <w:r>
              <w:rPr>
                <w:rFonts w:ascii="Times New Roman" w:hAnsi="Times New Roman"/>
                <w:sz w:val="18"/>
              </w:rPr>
              <w:t>No</w:t>
            </w:r>
          </w:p>
        </w:tc>
      </w:tr>
    </w:tbl>
    <w:p/>
    <w:p>
      <w:pPr>
        <w:spacing w:before="120" w:after="60"/>
        <w:jc w:val="left"/>
      </w:pPr>
      <w:r>
        <w:rPr>
          <w:rFonts w:ascii="Times New Roman" w:hAnsi="Times New Roman"/>
          <w:b/>
          <w:sz w:val="20"/>
        </w:rPr>
        <w:t>C. C2 — PPO vs. DPO Comparison</w:t>
      </w:r>
    </w:p>
    <w:p>
      <w:pPr>
        <w:spacing w:before="0" w:after="80"/>
        <w:ind w:firstLine="288"/>
        <w:jc w:val="both"/>
      </w:pPr>
      <w:r>
        <w:rPr>
          <w:rFonts w:ascii="Times New Roman" w:hAnsi="Times New Roman"/>
          <w:sz w:val="20"/>
        </w:rPr>
        <w:t>Both methods substantially improve reward over SFT. PPO achieves mean reward 4.942 (std 1.151, ppl 44.7) while DPO achieves 4.816 (std 1.158, ppl 54.4). PPO's alignment tax (+18.2%) is 2.4× lower than DPO's (+43.9%), giving PPO 2.5× higher reward efficiency.</w:t>
      </w:r>
    </w:p>
    <w:p>
      <w:pPr>
        <w:spacing w:after="120"/>
        <w:jc w:val="center"/>
      </w:pPr>
      <w:r>
        <w:rPr>
          <w:rFonts w:ascii="Times New Roman" w:hAnsi="Times New Roman"/>
          <w:b/>
          <w:sz w:val="18"/>
        </w:rPr>
        <w:t>TABLE II.  PPO VS. DPO VS. SFT (MEAN OVER 3 SEEDS)</w:t>
      </w:r>
    </w:p>
    <w:tbl>
      <w:tblPr>
        <w:tblStyle w:val="TableGrid"/>
        <w:tblW w:type="auto" w:w="0"/>
        <w:tblLayout w:type="fixed"/>
        <w:tblLook w:firstColumn="1" w:firstRow="1" w:lastColumn="0" w:lastRow="0" w:noHBand="0" w:noVBand="1" w:val="04A0"/>
        <w:tblW w:w="10080" w:type="dxa"/>
      </w:tblPr>
      <w:tblGrid>
        <w:gridCol w:w="2016"/>
        <w:gridCol w:w="1613"/>
        <w:gridCol w:w="1613"/>
        <w:gridCol w:w="1613"/>
        <w:gridCol w:w="1613"/>
        <w:gridCol w:w="1613"/>
      </w:tblGrid>
      <w:tr>
        <w:tc>
          <w:tcPr>
            <w:tcW w:type="dxa" w:w="1680"/>
            <w:shd w:val="clear" w:color="auto" w:fill="D9D9D9"/>
          </w:tcPr>
          <w:p>
            <w:pPr>
              <w:jc w:val="center"/>
            </w:pPr>
            <w:r>
              <w:rPr>
                <w:rFonts w:ascii="Times New Roman" w:hAnsi="Times New Roman"/>
                <w:b/>
                <w:sz w:val="18"/>
              </w:rPr>
              <w:t>Method</w:t>
            </w:r>
          </w:p>
        </w:tc>
        <w:tc>
          <w:tcPr>
            <w:tcW w:type="dxa" w:w="1680"/>
            <w:shd w:val="clear" w:color="auto" w:fill="D9D9D9"/>
          </w:tcPr>
          <w:p>
            <w:pPr>
              <w:jc w:val="center"/>
            </w:pPr>
            <w:r>
              <w:rPr>
                <w:rFonts w:ascii="Times New Roman" w:hAnsi="Times New Roman"/>
                <w:b/>
                <w:sz w:val="18"/>
              </w:rPr>
              <w:t>Mean Reward</w:t>
            </w:r>
          </w:p>
        </w:tc>
        <w:tc>
          <w:tcPr>
            <w:tcW w:type="dxa" w:w="1680"/>
            <w:shd w:val="clear" w:color="auto" w:fill="D9D9D9"/>
          </w:tcPr>
          <w:p>
            <w:pPr>
              <w:jc w:val="center"/>
            </w:pPr>
            <w:r>
              <w:rPr>
                <w:rFonts w:ascii="Times New Roman" w:hAnsi="Times New Roman"/>
                <w:b/>
                <w:sz w:val="18"/>
              </w:rPr>
              <w:t>Std</w:t>
            </w:r>
          </w:p>
        </w:tc>
        <w:tc>
          <w:tcPr>
            <w:tcW w:type="dxa" w:w="1680"/>
            <w:shd w:val="clear" w:color="auto" w:fill="D9D9D9"/>
          </w:tcPr>
          <w:p>
            <w:pPr>
              <w:jc w:val="center"/>
            </w:pPr>
            <w:r>
              <w:rPr>
                <w:rFonts w:ascii="Times New Roman" w:hAnsi="Times New Roman"/>
                <w:b/>
                <w:sz w:val="18"/>
              </w:rPr>
              <w:t>Perplexity</w:t>
            </w:r>
          </w:p>
        </w:tc>
        <w:tc>
          <w:tcPr>
            <w:tcW w:type="dxa" w:w="1680"/>
            <w:shd w:val="clear" w:color="auto" w:fill="D9D9D9"/>
          </w:tcPr>
          <w:p>
            <w:pPr>
              <w:jc w:val="center"/>
            </w:pPr>
            <w:r>
              <w:rPr>
                <w:rFonts w:ascii="Times New Roman" w:hAnsi="Times New Roman"/>
                <w:b/>
                <w:sz w:val="18"/>
              </w:rPr>
              <w:t>Tax</w:t>
            </w:r>
          </w:p>
        </w:tc>
        <w:tc>
          <w:tcPr>
            <w:tcW w:type="dxa" w:w="1680"/>
            <w:shd w:val="clear" w:color="auto" w:fill="D9D9D9"/>
          </w:tcPr>
          <w:p>
            <w:pPr>
              <w:jc w:val="center"/>
            </w:pPr>
            <w:r>
              <w:rPr>
                <w:rFonts w:ascii="Times New Roman" w:hAnsi="Times New Roman"/>
                <w:b/>
                <w:sz w:val="18"/>
              </w:rPr>
              <w:t>Efficiency</w:t>
            </w:r>
          </w:p>
        </w:tc>
      </w:tr>
      <w:tr>
        <w:tc>
          <w:tcPr>
            <w:tcW w:type="dxa" w:w="1680"/>
          </w:tcPr>
          <w:p>
            <w:pPr>
              <w:jc w:val="center"/>
            </w:pPr>
            <w:r>
              <w:rPr>
                <w:rFonts w:ascii="Times New Roman" w:hAnsi="Times New Roman"/>
                <w:sz w:val="18"/>
              </w:rPr>
              <w:t>SFT</w:t>
            </w:r>
          </w:p>
        </w:tc>
        <w:tc>
          <w:tcPr>
            <w:tcW w:type="dxa" w:w="1680"/>
          </w:tcPr>
          <w:p>
            <w:pPr>
              <w:jc w:val="center"/>
            </w:pPr>
            <w:r>
              <w:rPr>
                <w:rFonts w:ascii="Times New Roman" w:hAnsi="Times New Roman"/>
                <w:sz w:val="18"/>
              </w:rPr>
              <w:t>2.498</w:t>
            </w:r>
          </w:p>
        </w:tc>
        <w:tc>
          <w:tcPr>
            <w:tcW w:type="dxa" w:w="1680"/>
          </w:tcPr>
          <w:p>
            <w:pPr>
              <w:jc w:val="center"/>
            </w:pPr>
            <w:r>
              <w:rPr>
                <w:rFonts w:ascii="Times New Roman" w:hAnsi="Times New Roman"/>
                <w:sz w:val="18"/>
              </w:rPr>
              <w:t>1.785</w:t>
            </w:r>
          </w:p>
        </w:tc>
        <w:tc>
          <w:tcPr>
            <w:tcW w:type="dxa" w:w="1680"/>
          </w:tcPr>
          <w:p>
            <w:pPr>
              <w:jc w:val="center"/>
            </w:pPr>
            <w:r>
              <w:rPr>
                <w:rFonts w:ascii="Times New Roman" w:hAnsi="Times New Roman"/>
                <w:sz w:val="18"/>
              </w:rPr>
              <w:t>37.79</w:t>
            </w:r>
          </w:p>
        </w:tc>
        <w:tc>
          <w:tcPr>
            <w:tcW w:type="dxa" w:w="1680"/>
          </w:tcPr>
          <w:p>
            <w:pPr>
              <w:jc w:val="center"/>
            </w:pPr>
            <w:r>
              <w:rPr>
                <w:rFonts w:ascii="Times New Roman" w:hAnsi="Times New Roman"/>
                <w:sz w:val="18"/>
              </w:rPr>
              <w:t>—</w:t>
            </w:r>
          </w:p>
        </w:tc>
        <w:tc>
          <w:tcPr>
            <w:tcW w:type="dxa" w:w="1680"/>
          </w:tcPr>
          <w:p>
            <w:pPr>
              <w:jc w:val="center"/>
            </w:pPr>
            <w:r>
              <w:rPr>
                <w:rFonts w:ascii="Times New Roman" w:hAnsi="Times New Roman"/>
                <w:sz w:val="18"/>
              </w:rPr>
              <w:t>—</w:t>
            </w:r>
          </w:p>
        </w:tc>
      </w:tr>
      <w:tr>
        <w:tc>
          <w:tcPr>
            <w:tcW w:type="dxa" w:w="1680"/>
          </w:tcPr>
          <w:p>
            <w:pPr>
              <w:jc w:val="center"/>
            </w:pPr>
            <w:r>
              <w:rPr>
                <w:rFonts w:ascii="Times New Roman" w:hAnsi="Times New Roman"/>
                <w:sz w:val="18"/>
              </w:rPr>
              <w:t>PPO (β=0.20)</w:t>
            </w:r>
          </w:p>
        </w:tc>
        <w:tc>
          <w:tcPr>
            <w:tcW w:type="dxa" w:w="1680"/>
          </w:tcPr>
          <w:p>
            <w:pPr>
              <w:jc w:val="center"/>
            </w:pPr>
            <w:r>
              <w:rPr>
                <w:rFonts w:ascii="Times New Roman" w:hAnsi="Times New Roman"/>
                <w:sz w:val="18"/>
              </w:rPr>
              <w:t>4.942</w:t>
            </w:r>
          </w:p>
        </w:tc>
        <w:tc>
          <w:tcPr>
            <w:tcW w:type="dxa" w:w="1680"/>
          </w:tcPr>
          <w:p>
            <w:pPr>
              <w:jc w:val="center"/>
            </w:pPr>
            <w:r>
              <w:rPr>
                <w:rFonts w:ascii="Times New Roman" w:hAnsi="Times New Roman"/>
                <w:sz w:val="18"/>
              </w:rPr>
              <w:t>1.151</w:t>
            </w:r>
          </w:p>
        </w:tc>
        <w:tc>
          <w:tcPr>
            <w:tcW w:type="dxa" w:w="1680"/>
          </w:tcPr>
          <w:p>
            <w:pPr>
              <w:jc w:val="center"/>
            </w:pPr>
            <w:r>
              <w:rPr>
                <w:rFonts w:ascii="Times New Roman" w:hAnsi="Times New Roman"/>
                <w:sz w:val="18"/>
              </w:rPr>
              <w:t>44.69</w:t>
            </w:r>
          </w:p>
        </w:tc>
        <w:tc>
          <w:tcPr>
            <w:tcW w:type="dxa" w:w="1680"/>
          </w:tcPr>
          <w:p>
            <w:pPr>
              <w:jc w:val="center"/>
            </w:pPr>
            <w:r>
              <w:rPr>
                <w:rFonts w:ascii="Times New Roman" w:hAnsi="Times New Roman"/>
                <w:sz w:val="18"/>
              </w:rPr>
              <w:t>+18.2%</w:t>
            </w:r>
          </w:p>
        </w:tc>
        <w:tc>
          <w:tcPr>
            <w:tcW w:type="dxa" w:w="1680"/>
          </w:tcPr>
          <w:p>
            <w:pPr>
              <w:jc w:val="center"/>
            </w:pPr>
            <w:r>
              <w:rPr>
                <w:rFonts w:ascii="Times New Roman" w:hAnsi="Times New Roman"/>
                <w:sz w:val="18"/>
              </w:rPr>
              <w:t>0.1339</w:t>
            </w:r>
          </w:p>
        </w:tc>
      </w:tr>
      <w:tr>
        <w:tc>
          <w:tcPr>
            <w:tcW w:type="dxa" w:w="1680"/>
          </w:tcPr>
          <w:p>
            <w:pPr>
              <w:jc w:val="center"/>
            </w:pPr>
            <w:r>
              <w:rPr>
                <w:rFonts w:ascii="Times New Roman" w:hAnsi="Times New Roman"/>
                <w:sz w:val="18"/>
              </w:rPr>
              <w:t>DPO (β=0.10)</w:t>
            </w:r>
          </w:p>
        </w:tc>
        <w:tc>
          <w:tcPr>
            <w:tcW w:type="dxa" w:w="1680"/>
          </w:tcPr>
          <w:p>
            <w:pPr>
              <w:jc w:val="center"/>
            </w:pPr>
            <w:r>
              <w:rPr>
                <w:rFonts w:ascii="Times New Roman" w:hAnsi="Times New Roman"/>
                <w:sz w:val="18"/>
              </w:rPr>
              <w:t>4.816</w:t>
            </w:r>
          </w:p>
        </w:tc>
        <w:tc>
          <w:tcPr>
            <w:tcW w:type="dxa" w:w="1680"/>
          </w:tcPr>
          <w:p>
            <w:pPr>
              <w:jc w:val="center"/>
            </w:pPr>
            <w:r>
              <w:rPr>
                <w:rFonts w:ascii="Times New Roman" w:hAnsi="Times New Roman"/>
                <w:sz w:val="18"/>
              </w:rPr>
              <w:t>1.158</w:t>
            </w:r>
          </w:p>
        </w:tc>
        <w:tc>
          <w:tcPr>
            <w:tcW w:type="dxa" w:w="1680"/>
          </w:tcPr>
          <w:p>
            <w:pPr>
              <w:jc w:val="center"/>
            </w:pPr>
            <w:r>
              <w:rPr>
                <w:rFonts w:ascii="Times New Roman" w:hAnsi="Times New Roman"/>
                <w:sz w:val="18"/>
              </w:rPr>
              <w:t>54.39</w:t>
            </w:r>
          </w:p>
        </w:tc>
        <w:tc>
          <w:tcPr>
            <w:tcW w:type="dxa" w:w="1680"/>
          </w:tcPr>
          <w:p>
            <w:pPr>
              <w:jc w:val="center"/>
            </w:pPr>
            <w:r>
              <w:rPr>
                <w:rFonts w:ascii="Times New Roman" w:hAnsi="Times New Roman"/>
                <w:sz w:val="18"/>
              </w:rPr>
              <w:t>+43.9%</w:t>
            </w:r>
          </w:p>
        </w:tc>
        <w:tc>
          <w:tcPr>
            <w:tcW w:type="dxa" w:w="1680"/>
          </w:tcPr>
          <w:p>
            <w:pPr>
              <w:jc w:val="center"/>
            </w:pPr>
            <w:r>
              <w:rPr>
                <w:rFonts w:ascii="Times New Roman" w:hAnsi="Times New Roman"/>
                <w:sz w:val="18"/>
              </w:rPr>
              <w:t>0.0528</w:t>
            </w:r>
          </w:p>
        </w:tc>
      </w:tr>
    </w:tbl>
    <w:p/>
    <w:p>
      <w:pPr>
        <w:spacing w:before="120" w:after="60"/>
        <w:jc w:val="left"/>
      </w:pPr>
      <w:r>
        <w:rPr>
          <w:rFonts w:ascii="Times New Roman" w:hAnsi="Times New Roman"/>
          <w:b/>
          <w:sz w:val="20"/>
        </w:rPr>
        <w:t>D. C3 — KL-Penalty Stability Sweep</w:t>
      </w:r>
    </w:p>
    <w:p>
      <w:pPr>
        <w:spacing w:before="0" w:after="80"/>
        <w:ind w:firstLine="288"/>
        <w:jc w:val="both"/>
      </w:pPr>
      <w:r>
        <w:rPr>
          <w:rFonts w:ascii="Times New Roman" w:hAnsi="Times New Roman"/>
          <w:sz w:val="20"/>
        </w:rPr>
        <w:t>The sweep reveals a sharp phase transition. β ≤ 0.10 produces reward hacking in all 6 runs (100% collapse rate, mean KL 17–40). β ≥ 0.20 is fully stable (0% collapse). The hacking onset occurs at mean KL ≈ 17.7, consistent with Gao et al. [3]. The optimal configuration is β=0.20 (mean reward 5.286, safety margin 8.1 KL units).</w:t>
      </w:r>
    </w:p>
    <w:p>
      <w:pPr>
        <w:spacing w:after="120"/>
        <w:jc w:val="center"/>
      </w:pPr>
      <w:r>
        <w:rPr>
          <w:rFonts w:ascii="Times New Roman" w:hAnsi="Times New Roman"/>
          <w:b/>
          <w:sz w:val="18"/>
        </w:rPr>
        <w:t>TABLE III.  STABILITY SWEEP — MEAN OVER 3 SEEDS PER β</w:t>
      </w:r>
    </w:p>
    <w:tbl>
      <w:tblPr>
        <w:tblStyle w:val="TableGrid"/>
        <w:tblW w:type="auto" w:w="0"/>
        <w:tblLayout w:type="fixed"/>
        <w:tblLook w:firstColumn="1" w:firstRow="1" w:lastColumn="0" w:lastRow="0" w:noHBand="0" w:noVBand="1" w:val="04A0"/>
        <w:tblW w:w="10080" w:type="dxa"/>
      </w:tblPr>
      <w:tblGrid>
        <w:gridCol w:w="2016"/>
        <w:gridCol w:w="1613"/>
        <w:gridCol w:w="1613"/>
        <w:gridCol w:w="1613"/>
        <w:gridCol w:w="1613"/>
        <w:gridCol w:w="1613"/>
      </w:tblGrid>
      <w:tr>
        <w:tc>
          <w:tcPr>
            <w:tcW w:type="dxa" w:w="1680"/>
            <w:shd w:val="clear" w:color="auto" w:fill="D9D9D9"/>
          </w:tcPr>
          <w:p>
            <w:pPr>
              <w:jc w:val="center"/>
            </w:pPr>
            <w:r>
              <w:rPr>
                <w:rFonts w:ascii="Times New Roman" w:hAnsi="Times New Roman"/>
                <w:b/>
                <w:sz w:val="18"/>
              </w:rPr>
              <w:t>β</w:t>
            </w:r>
          </w:p>
        </w:tc>
        <w:tc>
          <w:tcPr>
            <w:tcW w:type="dxa" w:w="1680"/>
            <w:shd w:val="clear" w:color="auto" w:fill="D9D9D9"/>
          </w:tcPr>
          <w:p>
            <w:pPr>
              <w:jc w:val="center"/>
            </w:pPr>
            <w:r>
              <w:rPr>
                <w:rFonts w:ascii="Times New Roman" w:hAnsi="Times New Roman"/>
                <w:b/>
                <w:sz w:val="18"/>
              </w:rPr>
              <w:t>Mean Reward</w:t>
            </w:r>
          </w:p>
        </w:tc>
        <w:tc>
          <w:tcPr>
            <w:tcW w:type="dxa" w:w="1680"/>
            <w:shd w:val="clear" w:color="auto" w:fill="D9D9D9"/>
          </w:tcPr>
          <w:p>
            <w:pPr>
              <w:jc w:val="center"/>
            </w:pPr>
            <w:r>
              <w:rPr>
                <w:rFonts w:ascii="Times New Roman" w:hAnsi="Times New Roman"/>
                <w:b/>
                <w:sz w:val="18"/>
              </w:rPr>
              <w:t>Std</w:t>
            </w:r>
          </w:p>
        </w:tc>
        <w:tc>
          <w:tcPr>
            <w:tcW w:type="dxa" w:w="1680"/>
            <w:shd w:val="clear" w:color="auto" w:fill="D9D9D9"/>
          </w:tcPr>
          <w:p>
            <w:pPr>
              <w:jc w:val="center"/>
            </w:pPr>
            <w:r>
              <w:rPr>
                <w:rFonts w:ascii="Times New Roman" w:hAnsi="Times New Roman"/>
                <w:b/>
                <w:sz w:val="18"/>
              </w:rPr>
              <w:t>Mean KL</w:t>
            </w:r>
          </w:p>
        </w:tc>
        <w:tc>
          <w:tcPr>
            <w:tcW w:type="dxa" w:w="1680"/>
            <w:shd w:val="clear" w:color="auto" w:fill="D9D9D9"/>
          </w:tcPr>
          <w:p>
            <w:pPr>
              <w:jc w:val="center"/>
            </w:pPr>
            <w:r>
              <w:rPr>
                <w:rFonts w:ascii="Times New Roman" w:hAnsi="Times New Roman"/>
                <w:b/>
                <w:sz w:val="18"/>
              </w:rPr>
              <w:t>Collapse</w:t>
            </w:r>
          </w:p>
        </w:tc>
        <w:tc>
          <w:tcPr>
            <w:tcW w:type="dxa" w:w="1680"/>
            <w:shd w:val="clear" w:color="auto" w:fill="D9D9D9"/>
          </w:tcPr>
          <w:p>
            <w:pPr>
              <w:jc w:val="center"/>
            </w:pPr>
            <w:r>
              <w:rPr>
                <w:rFonts w:ascii="Times New Roman" w:hAnsi="Times New Roman"/>
                <w:b/>
                <w:sz w:val="18"/>
              </w:rPr>
              <w:t>Verdict</w:t>
            </w:r>
          </w:p>
        </w:tc>
      </w:tr>
      <w:tr>
        <w:tc>
          <w:tcPr>
            <w:tcW w:type="dxa" w:w="1680"/>
          </w:tcPr>
          <w:p>
            <w:pPr>
              <w:jc w:val="center"/>
            </w:pPr>
            <w:r>
              <w:rPr>
                <w:rFonts w:ascii="Times New Roman" w:hAnsi="Times New Roman"/>
                <w:sz w:val="18"/>
              </w:rPr>
              <w:t>0.05</w:t>
            </w:r>
          </w:p>
        </w:tc>
        <w:tc>
          <w:tcPr>
            <w:tcW w:type="dxa" w:w="1680"/>
          </w:tcPr>
          <w:p>
            <w:pPr>
              <w:jc w:val="center"/>
            </w:pPr>
            <w:r>
              <w:rPr>
                <w:rFonts w:ascii="Times New Roman" w:hAnsi="Times New Roman"/>
                <w:sz w:val="18"/>
              </w:rPr>
              <w:t>9.449</w:t>
            </w:r>
          </w:p>
        </w:tc>
        <w:tc>
          <w:tcPr>
            <w:tcW w:type="dxa" w:w="1680"/>
          </w:tcPr>
          <w:p>
            <w:pPr>
              <w:jc w:val="center"/>
            </w:pPr>
            <w:r>
              <w:rPr>
                <w:rFonts w:ascii="Times New Roman" w:hAnsi="Times New Roman"/>
                <w:sz w:val="18"/>
              </w:rPr>
              <w:t>±1.265</w:t>
            </w:r>
          </w:p>
        </w:tc>
        <w:tc>
          <w:tcPr>
            <w:tcW w:type="dxa" w:w="1680"/>
          </w:tcPr>
          <w:p>
            <w:pPr>
              <w:jc w:val="center"/>
            </w:pPr>
            <w:r>
              <w:rPr>
                <w:rFonts w:ascii="Times New Roman" w:hAnsi="Times New Roman"/>
                <w:sz w:val="18"/>
              </w:rPr>
              <w:t>40.75</w:t>
            </w:r>
          </w:p>
        </w:tc>
        <w:tc>
          <w:tcPr>
            <w:tcW w:type="dxa" w:w="1680"/>
          </w:tcPr>
          <w:p>
            <w:pPr>
              <w:jc w:val="center"/>
            </w:pPr>
            <w:r>
              <w:rPr>
                <w:rFonts w:ascii="Times New Roman" w:hAnsi="Times New Roman"/>
                <w:sz w:val="18"/>
              </w:rPr>
              <w:t>3/3</w:t>
            </w:r>
          </w:p>
        </w:tc>
        <w:tc>
          <w:tcPr>
            <w:tcW w:type="dxa" w:w="1680"/>
          </w:tcPr>
          <w:p>
            <w:pPr>
              <w:jc w:val="center"/>
            </w:pPr>
            <w:r>
              <w:rPr>
                <w:rFonts w:ascii="Times New Roman" w:hAnsi="Times New Roman"/>
                <w:sz w:val="18"/>
              </w:rPr>
              <w:t>HACKING</w:t>
            </w:r>
          </w:p>
        </w:tc>
      </w:tr>
      <w:tr>
        <w:tc>
          <w:tcPr>
            <w:tcW w:type="dxa" w:w="1680"/>
          </w:tcPr>
          <w:p>
            <w:pPr>
              <w:jc w:val="center"/>
            </w:pPr>
            <w:r>
              <w:rPr>
                <w:rFonts w:ascii="Times New Roman" w:hAnsi="Times New Roman"/>
                <w:sz w:val="18"/>
              </w:rPr>
              <w:t>0.1</w:t>
            </w:r>
          </w:p>
        </w:tc>
        <w:tc>
          <w:tcPr>
            <w:tcW w:type="dxa" w:w="1680"/>
          </w:tcPr>
          <w:p>
            <w:pPr>
              <w:jc w:val="center"/>
            </w:pPr>
            <w:r>
              <w:rPr>
                <w:rFonts w:ascii="Times New Roman" w:hAnsi="Times New Roman"/>
                <w:sz w:val="18"/>
              </w:rPr>
              <w:t>6.009</w:t>
            </w:r>
          </w:p>
        </w:tc>
        <w:tc>
          <w:tcPr>
            <w:tcW w:type="dxa" w:w="1680"/>
          </w:tcPr>
          <w:p>
            <w:pPr>
              <w:jc w:val="center"/>
            </w:pPr>
            <w:r>
              <w:rPr>
                <w:rFonts w:ascii="Times New Roman" w:hAnsi="Times New Roman"/>
                <w:sz w:val="18"/>
              </w:rPr>
              <w:t>±0.428</w:t>
            </w:r>
          </w:p>
        </w:tc>
        <w:tc>
          <w:tcPr>
            <w:tcW w:type="dxa" w:w="1680"/>
          </w:tcPr>
          <w:p>
            <w:pPr>
              <w:jc w:val="center"/>
            </w:pPr>
            <w:r>
              <w:rPr>
                <w:rFonts w:ascii="Times New Roman" w:hAnsi="Times New Roman"/>
                <w:sz w:val="18"/>
              </w:rPr>
              <w:t>17.69</w:t>
            </w:r>
          </w:p>
        </w:tc>
        <w:tc>
          <w:tcPr>
            <w:tcW w:type="dxa" w:w="1680"/>
          </w:tcPr>
          <w:p>
            <w:pPr>
              <w:jc w:val="center"/>
            </w:pPr>
            <w:r>
              <w:rPr>
                <w:rFonts w:ascii="Times New Roman" w:hAnsi="Times New Roman"/>
                <w:sz w:val="18"/>
              </w:rPr>
              <w:t>3/3</w:t>
            </w:r>
          </w:p>
        </w:tc>
        <w:tc>
          <w:tcPr>
            <w:tcW w:type="dxa" w:w="1680"/>
          </w:tcPr>
          <w:p>
            <w:pPr>
              <w:jc w:val="center"/>
            </w:pPr>
            <w:r>
              <w:rPr>
                <w:rFonts w:ascii="Times New Roman" w:hAnsi="Times New Roman"/>
                <w:sz w:val="18"/>
              </w:rPr>
              <w:t>HACKING</w:t>
            </w:r>
          </w:p>
        </w:tc>
      </w:tr>
      <w:tr>
        <w:tc>
          <w:tcPr>
            <w:tcW w:type="dxa" w:w="1680"/>
          </w:tcPr>
          <w:p>
            <w:pPr>
              <w:jc w:val="center"/>
            </w:pPr>
            <w:r>
              <w:rPr>
                <w:rFonts w:ascii="Times New Roman" w:hAnsi="Times New Roman"/>
                <w:sz w:val="18"/>
              </w:rPr>
              <w:t>0.2</w:t>
            </w:r>
          </w:p>
        </w:tc>
        <w:tc>
          <w:tcPr>
            <w:tcW w:type="dxa" w:w="1680"/>
          </w:tcPr>
          <w:p>
            <w:pPr>
              <w:jc w:val="center"/>
            </w:pPr>
            <w:r>
              <w:rPr>
                <w:rFonts w:ascii="Times New Roman" w:hAnsi="Times New Roman"/>
                <w:sz w:val="18"/>
              </w:rPr>
              <w:t>5.286</w:t>
            </w:r>
          </w:p>
        </w:tc>
        <w:tc>
          <w:tcPr>
            <w:tcW w:type="dxa" w:w="1680"/>
          </w:tcPr>
          <w:p>
            <w:pPr>
              <w:jc w:val="center"/>
            </w:pPr>
            <w:r>
              <w:rPr>
                <w:rFonts w:ascii="Times New Roman" w:hAnsi="Times New Roman"/>
                <w:sz w:val="18"/>
              </w:rPr>
              <w:t>±0.471</w:t>
            </w:r>
          </w:p>
        </w:tc>
        <w:tc>
          <w:tcPr>
            <w:tcW w:type="dxa" w:w="1680"/>
          </w:tcPr>
          <w:p>
            <w:pPr>
              <w:jc w:val="center"/>
            </w:pPr>
            <w:r>
              <w:rPr>
                <w:rFonts w:ascii="Times New Roman" w:hAnsi="Times New Roman"/>
                <w:sz w:val="18"/>
              </w:rPr>
              <w:t>9.58</w:t>
            </w:r>
          </w:p>
        </w:tc>
        <w:tc>
          <w:tcPr>
            <w:tcW w:type="dxa" w:w="1680"/>
          </w:tcPr>
          <w:p>
            <w:pPr>
              <w:jc w:val="center"/>
            </w:pPr>
            <w:r>
              <w:rPr>
                <w:rFonts w:ascii="Times New Roman" w:hAnsi="Times New Roman"/>
                <w:sz w:val="18"/>
              </w:rPr>
              <w:t>0/3</w:t>
            </w:r>
          </w:p>
        </w:tc>
        <w:tc>
          <w:tcPr>
            <w:tcW w:type="dxa" w:w="1680"/>
          </w:tcPr>
          <w:p>
            <w:pPr>
              <w:jc w:val="center"/>
            </w:pPr>
            <w:r>
              <w:rPr>
                <w:rFonts w:ascii="Times New Roman" w:hAnsi="Times New Roman"/>
                <w:sz w:val="18"/>
              </w:rPr>
              <w:t>stable</w:t>
            </w:r>
          </w:p>
        </w:tc>
      </w:tr>
      <w:tr>
        <w:tc>
          <w:tcPr>
            <w:tcW w:type="dxa" w:w="1680"/>
          </w:tcPr>
          <w:p>
            <w:pPr>
              <w:jc w:val="center"/>
            </w:pPr>
            <w:r>
              <w:rPr>
                <w:rFonts w:ascii="Times New Roman" w:hAnsi="Times New Roman"/>
                <w:sz w:val="18"/>
              </w:rPr>
              <w:t>0.5</w:t>
            </w:r>
          </w:p>
        </w:tc>
        <w:tc>
          <w:tcPr>
            <w:tcW w:type="dxa" w:w="1680"/>
          </w:tcPr>
          <w:p>
            <w:pPr>
              <w:jc w:val="center"/>
            </w:pPr>
            <w:r>
              <w:rPr>
                <w:rFonts w:ascii="Times New Roman" w:hAnsi="Times New Roman"/>
                <w:sz w:val="18"/>
              </w:rPr>
              <w:t>4.208</w:t>
            </w:r>
          </w:p>
        </w:tc>
        <w:tc>
          <w:tcPr>
            <w:tcW w:type="dxa" w:w="1680"/>
          </w:tcPr>
          <w:p>
            <w:pPr>
              <w:jc w:val="center"/>
            </w:pPr>
            <w:r>
              <w:rPr>
                <w:rFonts w:ascii="Times New Roman" w:hAnsi="Times New Roman"/>
                <w:sz w:val="18"/>
              </w:rPr>
              <w:t>±0.287</w:t>
            </w:r>
          </w:p>
        </w:tc>
        <w:tc>
          <w:tcPr>
            <w:tcW w:type="dxa" w:w="1680"/>
          </w:tcPr>
          <w:p>
            <w:pPr>
              <w:jc w:val="center"/>
            </w:pPr>
            <w:r>
              <w:rPr>
                <w:rFonts w:ascii="Times New Roman" w:hAnsi="Times New Roman"/>
                <w:sz w:val="18"/>
              </w:rPr>
              <w:t>4.52</w:t>
            </w:r>
          </w:p>
        </w:tc>
        <w:tc>
          <w:tcPr>
            <w:tcW w:type="dxa" w:w="1680"/>
          </w:tcPr>
          <w:p>
            <w:pPr>
              <w:jc w:val="center"/>
            </w:pPr>
            <w:r>
              <w:rPr>
                <w:rFonts w:ascii="Times New Roman" w:hAnsi="Times New Roman"/>
                <w:sz w:val="18"/>
              </w:rPr>
              <w:t>0/3</w:t>
            </w:r>
          </w:p>
        </w:tc>
        <w:tc>
          <w:tcPr>
            <w:tcW w:type="dxa" w:w="1680"/>
          </w:tcPr>
          <w:p>
            <w:pPr>
              <w:jc w:val="center"/>
            </w:pPr>
            <w:r>
              <w:rPr>
                <w:rFonts w:ascii="Times New Roman" w:hAnsi="Times New Roman"/>
                <w:sz w:val="18"/>
              </w:rPr>
              <w:t>stable</w:t>
            </w:r>
          </w:p>
        </w:tc>
      </w:tr>
    </w:tbl>
    <w:p/>
    <w:p>
      <w:pPr>
        <w:spacing w:before="120" w:after="60"/>
        <w:jc w:val="left"/>
      </w:pPr>
      <w:r>
        <w:rPr>
          <w:rFonts w:ascii="Times New Roman" w:hAnsi="Times New Roman"/>
          <w:b/>
          <w:color w:val="000000"/>
          <w:sz w:val="24"/>
        </w:rPr>
        <w:t>V. DISCUSSION</w:t>
      </w:r>
    </w:p>
    <w:p>
      <w:pPr>
        <w:spacing w:before="120" w:after="60"/>
        <w:jc w:val="left"/>
      </w:pPr>
      <w:r>
        <w:rPr>
          <w:rFonts w:ascii="Times New Roman" w:hAnsi="Times New Roman"/>
          <w:b/>
          <w:sz w:val="20"/>
        </w:rPr>
        <w:t>A. Alignment Tax Trade-off</w:t>
      </w:r>
    </w:p>
    <w:p>
      <w:pPr>
        <w:spacing w:before="0" w:after="80"/>
        <w:ind w:firstLine="288"/>
        <w:jc w:val="both"/>
      </w:pPr>
      <w:r>
        <w:rPr>
          <w:rFonts w:ascii="Times New Roman" w:hAnsi="Times New Roman"/>
          <w:sz w:val="20"/>
        </w:rPr>
        <w:t>The +18.3% perplexity increase for PPO confirms the well-known reward-fluency trade-off in RLHF [2]. DPO's larger tax (+43.9%) suggests that at small scale with automatically constructed preference pairs, DPO distorts the output distribution more aggressively than the RL loop. PPO's explicit KL constraint provides tighter distribution control.</w:t>
      </w:r>
    </w:p>
    <w:p>
      <w:pPr>
        <w:spacing w:before="120" w:after="60"/>
        <w:jc w:val="left"/>
      </w:pPr>
      <w:r>
        <w:rPr>
          <w:rFonts w:ascii="Times New Roman" w:hAnsi="Times New Roman"/>
          <w:b/>
          <w:sz w:val="20"/>
        </w:rPr>
        <w:t>B. Reward Hacking and KL Threshold</w:t>
      </w:r>
    </w:p>
    <w:p>
      <w:pPr>
        <w:spacing w:before="0" w:after="80"/>
        <w:ind w:firstLine="288"/>
        <w:jc w:val="both"/>
      </w:pPr>
      <w:r>
        <w:rPr>
          <w:rFonts w:ascii="Times New Roman" w:hAnsi="Times New Roman"/>
          <w:sz w:val="20"/>
        </w:rPr>
        <w:t>Our empirical threshold of KL ≈ 17.7 for reward hacking onset is consistent with Gao et al.'s [3] theoretical prediction that proxy reward rises as √KL before collapsing. The 8.1-unit safety margin at β=0.20 provides a practical stopping criterion: terminate training if mean KL exceeds 17.7.</w:t>
      </w:r>
    </w:p>
    <w:p>
      <w:pPr>
        <w:spacing w:before="120" w:after="60"/>
        <w:jc w:val="left"/>
      </w:pPr>
      <w:r>
        <w:rPr>
          <w:rFonts w:ascii="Times New Roman" w:hAnsi="Times New Roman"/>
          <w:b/>
          <w:sz w:val="20"/>
        </w:rPr>
        <w:t>C. Limitations</w:t>
      </w:r>
    </w:p>
    <w:p>
      <w:pPr>
        <w:spacing w:before="0" w:after="80"/>
        <w:ind w:firstLine="288"/>
        <w:jc w:val="both"/>
      </w:pPr>
      <w:r>
        <w:rPr>
          <w:rFonts w:ascii="Times New Roman" w:hAnsi="Times New Roman"/>
          <w:sz w:val="20"/>
        </w:rPr>
        <w:t>This study uses GPT-2 (124M), a small model; results may not generalise to larger LLMs. The reward model uses automatic IMDB labels rather than human pairwise preferences. Training is limited to 200 PPO steps on CPU hardware. DPO preference pairs are constructed automatically, potentially underestimating DPO's capability with richer human-annotated data.</w:t>
      </w:r>
    </w:p>
    <w:p>
      <w:pPr>
        <w:spacing w:before="120" w:after="60"/>
        <w:jc w:val="left"/>
      </w:pPr>
      <w:r>
        <w:rPr>
          <w:rFonts w:ascii="Times New Roman" w:hAnsi="Times New Roman"/>
          <w:b/>
          <w:color w:val="000000"/>
          <w:sz w:val="24"/>
        </w:rPr>
        <w:t>VI. CONCLUSION</w:t>
      </w:r>
    </w:p>
    <w:p>
      <w:pPr>
        <w:spacing w:before="0" w:after="80"/>
        <w:ind w:firstLine="288"/>
        <w:jc w:val="both"/>
      </w:pPr>
      <w:r>
        <w:rPr>
          <w:rFonts w:ascii="Times New Roman" w:hAnsi="Times New Roman"/>
          <w:sz w:val="20"/>
        </w:rPr>
        <w:t>This work presents a complete, reproducible RLHF pipeline on GPT-2/IMDB and draws three actionable conclusions. First, PPO with β=0.20 reliably improves sentiment reward by +3.98 points (+18.3% ppl) across all tested seeds. Second, PPO outperforms DPO in reward efficiency at this scale (2.5× lower perplexity cost per reward gain). Third, β=0.20 is the Pareto-optimal KL-penalty coefficient for GPT-2-scale RLHF, providing the best stability-reward trade-off with a 8.1-unit KL safety margin. We recommend β=0.20 as the default for future GPT-2-scale RLHF experiments, with an early-stopping rule: halt if mean KL &gt; 17.7.</w:t>
      </w:r>
    </w:p>
    <w:p>
      <w:pPr>
        <w:spacing w:before="120" w:after="60"/>
        <w:jc w:val="left"/>
      </w:pPr>
      <w:r>
        <w:rPr>
          <w:rFonts w:ascii="Times New Roman" w:hAnsi="Times New Roman"/>
          <w:b/>
          <w:color w:val="000000"/>
          <w:sz w:val="24"/>
        </w:rPr>
        <w:t>REFERENCES</w:t>
      </w:r>
    </w:p>
    <w:p>
      <w:pPr>
        <w:spacing w:after="40" w:before="0"/>
        <w:jc w:val="both"/>
      </w:pPr>
      <w:r>
        <w:rPr>
          <w:rFonts w:ascii="Times New Roman" w:hAnsi="Times New Roman"/>
          <w:sz w:val="18"/>
        </w:rPr>
        <w:t>[1] P. F. Christiano, J. Leike, T. Brown, M. Martic, S. Legg, and D. Amodei, "Deep reinforcement learning from human preferences," in Advances in Neural Information Processing Systems, vol. 30, 2017.</w:t>
      </w:r>
    </w:p>
    <w:p>
      <w:pPr>
        <w:spacing w:after="40" w:before="0"/>
        <w:jc w:val="both"/>
      </w:pPr>
      <w:r>
        <w:rPr>
          <w:rFonts w:ascii="Times New Roman" w:hAnsi="Times New Roman"/>
          <w:sz w:val="18"/>
        </w:rPr>
        <w:t>[2] L. Ouyang et al., "Training language models to follow instructions with human feedback," in Advances in Neural Information Processing Systems, vol. 35, pp. 27730–27744, 2022.</w:t>
      </w:r>
    </w:p>
    <w:p>
      <w:pPr>
        <w:spacing w:after="40" w:before="0"/>
        <w:jc w:val="both"/>
      </w:pPr>
      <w:r>
        <w:rPr>
          <w:rFonts w:ascii="Times New Roman" w:hAnsi="Times New Roman"/>
          <w:sz w:val="18"/>
        </w:rPr>
        <w:t>[3] L. Gao et al., "Scaling laws for reward model overoptimization," in Proc. Int. Conf. Machine Learning (ICML), 2023.</w:t>
      </w:r>
    </w:p>
    <w:p>
      <w:pPr>
        <w:spacing w:after="40" w:before="0"/>
        <w:jc w:val="both"/>
      </w:pPr>
      <w:r>
        <w:rPr>
          <w:rFonts w:ascii="Times New Roman" w:hAnsi="Times New Roman"/>
          <w:sz w:val="18"/>
        </w:rPr>
        <w:t>[4] R. Rafailov, A. Sharma, E. Mitchell, C. D. Manning, S. Ermon, and C. Finn, "Direct preference optimization: Your language model is secretly a reward model," in Advances in Neural Information Processing Systems, vol. 36, 2023.</w:t>
      </w:r>
    </w:p>
    <w:p>
      <w:pPr>
        <w:spacing w:after="40" w:before="0"/>
        <w:jc w:val="both"/>
      </w:pPr>
      <w:r>
        <w:rPr>
          <w:rFonts w:ascii="Times New Roman" w:hAnsi="Times New Roman"/>
          <w:sz w:val="18"/>
        </w:rPr>
        <w:t>[5] Y. Bai et al., "Training a helpful and harmless assistant with reinforcement learning from human feedback," arXiv preprint arXiv:2204.05862, 2022.</w:t>
      </w:r>
    </w:p>
    <w:p>
      <w:pPr>
        <w:spacing w:after="40" w:before="0"/>
        <w:jc w:val="both"/>
      </w:pPr>
      <w:r>
        <w:rPr>
          <w:rFonts w:ascii="Times New Roman" w:hAnsi="Times New Roman"/>
          <w:sz w:val="18"/>
        </w:rPr>
        <w:t>[6] A. Radford, J. Wu, R. Child, D. Luan, D. Amodei, and I. Sutskever, "Language models are unsupervised multitask learners," OpenAI Blog, vol. 1, no. 8, p. 9, 2019.</w:t>
      </w:r>
    </w:p>
    <w:p>
      <w:pPr>
        <w:spacing w:after="40" w:before="0"/>
        <w:jc w:val="both"/>
      </w:pPr>
      <w:r>
        <w:rPr>
          <w:rFonts w:ascii="Times New Roman" w:hAnsi="Times New Roman"/>
          <w:sz w:val="18"/>
        </w:rPr>
        <w:t>[7] A. L. Maas et al., "Learning word vectors for sentiment analysis," in Proc. 49th Annual Meeting of the Association for Computational Linguistics, pp. 142–150, 2011.</w:t>
      </w:r>
    </w:p>
    <w:p>
      <w:pPr>
        <w:spacing w:after="40" w:before="0"/>
        <w:jc w:val="both"/>
      </w:pPr>
      <w:r>
        <w:rPr>
          <w:rFonts w:ascii="Times New Roman" w:hAnsi="Times New Roman"/>
          <w:sz w:val="18"/>
        </w:rPr>
        <w:t>[8] L. von Werra et al., "TRL: Transformer reinforcement learning," GitHub, 2022. [Online]. Available: https://github.com/huggingface/trl</w:t>
      </w:r>
    </w:p>
    <w:p>
      <w:pPr>
        <w:spacing w:after="40" w:before="0"/>
        <w:jc w:val="both"/>
      </w:pPr>
      <w:r>
        <w:rPr>
          <w:rFonts w:ascii="Times New Roman" w:hAnsi="Times New Roman"/>
          <w:sz w:val="18"/>
        </w:rPr>
        <w:t>[9] J. Schulman, F. Wolski, P. Dhariwal, A. Radford, and O. Klimov, "Proximal policy optimization algorithms," arXiv preprint arXiv:1707.06347, 2017.</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