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sz w:val="36"/>
          <w:szCs w:val="36"/>
        </w:rPr>
        <w:t xml:space="preserve">Informe del Proyecto Integrador — Módulo 2</w:t>
      </w:r>
    </w:p>
    <w:p>
      <w:pPr>
        <w:spacing w:after="100"/>
        <w:jc w:val="center"/>
      </w:pPr>
      <w:r>
        <w:rPr>
          <w:sz w:val="26"/>
          <w:szCs w:val="26"/>
        </w:rPr>
        <w:t xml:space="preserve">Asistente de FAQ sobre trámites de Santa Fe con RAG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Dominio elegido: trámites municipales y provinciales de Santa Fe</w:t>
      </w:r>
    </w:p>
    <w:p>
      <w:pPr>
        <w:pStyle w:val="Heading1"/>
        <w:spacing w:after="150" w:before="300"/>
      </w:pPr>
      <w:r>
        <w:t xml:space="preserve">1. Visión de arquitectura</w:t>
      </w:r>
    </w:p>
    <w:p>
      <w:pPr>
        <w:spacing w:after="160"/>
      </w:pPr>
      <w:r>
        <w:t xml:space="preserve">El sistema separa dos pipelines independientes en ejecución pero acoplados en diseño, tal como se define en el material del módulo: el pipeline de datos corre una vez durante la indexación, y el pipeline de consulta corre cada vez que un usuario pregunta algo.</w:t>
      </w:r>
    </w:p>
    <w:p>
      <w:pPr>
        <w:spacing w:after="160"/>
      </w:pPr>
      <w:r>
        <w:t xml:space="preserve">Pipeline de datos: carga del documento FAQ, chunking por párrafo, generación de embeddings y guardado del índice.</w:t>
      </w:r>
    </w:p>
    <w:p>
      <w:pPr>
        <w:spacing w:after="160"/>
      </w:pPr>
      <w:r>
        <w:t xml:space="preserve">Pipeline de consulta: embedding de la pregunta, búsqueda vectorial, construcción del prompt con procedencia, generación con LLM, validación del JSON de salida y registro de métricas.</w:t>
      </w:r>
    </w:p>
    <w:p>
      <w:pPr>
        <w:pStyle w:val="Heading1"/>
        <w:spacing w:after="150" w:before="300"/>
      </w:pPr>
      <w:r>
        <w:t xml:space="preserve">2. Estrategia de chunking</w:t>
      </w:r>
    </w:p>
    <w:p>
      <w:pPr>
        <w:spacing w:after="160"/>
      </w:pPr>
      <w:r>
        <w:t xml:space="preserve">Se evaluaron tres alternativas: tamaño fijo con solapamiento, por oraciones y por párrafo. Se eligió chunking por párrafo porque el documento FAQ ya presenta una estructura natural de bloques pregunta-respuesta separados por líneas en blanco; partir un bloque con una ventana de tamaño fijo separaría la pregunta de su respuesta y degradaría la calidad de la recuperación.</w:t>
      </w:r>
    </w:p>
    <w:p>
      <w:pPr>
        <w:spacing w:after="160"/>
      </w:pPr>
      <w:r>
        <w:t xml:space="preserve">Se aplicaron dos reglas de control de tamaño: los párrafos por debajo de 50 tokens se fusionan con el siguiente bloque, y los que superarían 500 tokens se subdividirían con una ventana de tamaño fijo y solapamiento de 40 tokens (mecanismo de resguardo que no llegó a activarse con el documento actual). El resultado sobre data/faq_document.txt (~1625 palabras) fue de 27 chunks, todos entre 62 y 110 tokens, dentro del rango exigido por la consigna.</w:t>
      </w:r>
    </w:p>
    <w:p>
      <w:pPr>
        <w:pStyle w:val="Heading1"/>
        <w:spacing w:after="150" w:before="300"/>
      </w:pPr>
      <w:r>
        <w:t xml:space="preserve">3. Generación de embeddings</w:t>
      </w:r>
    </w:p>
    <w:p>
      <w:pPr>
        <w:spacing w:after="160"/>
      </w:pPr>
      <w:r>
        <w:t xml:space="preserve">Se implementaron los dos proveedores permitidos por la consigna detrás de una interfaz común (embed_texts), seleccionable por variable de entorno: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4"/>
        <w:gridCol w:w="3591"/>
        <w:gridCol w:w="1795"/>
        <w:gridCol w:w="2992"/>
      </w:tblGrid>
      <w:tr>
        <w:trPr>
          <w:tblHeader/>
        </w:trPr>
        <w:tc>
          <w:tcPr>
            <w:tcW w:type="dxa" w:w="2394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Proveedor</w:t>
            </w:r>
          </w:p>
        </w:tc>
        <w:tc>
          <w:tcPr>
            <w:tcW w:type="dxa" w:w="3591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1795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Dimensiones</w:t>
            </w:r>
          </w:p>
        </w:tc>
        <w:tc>
          <w:tcPr>
            <w:tcW w:type="dxa" w:w="2992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Ejecución</w:t>
            </w:r>
          </w:p>
        </w:tc>
      </w:tr>
      <w:tr>
        <w:tc>
          <w:tcPr>
            <w:tcW w:type="dxa" w:w="23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35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7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1536</w:t>
            </w:r>
          </w:p>
        </w:tc>
        <w:tc>
          <w:tcPr>
            <w:tcW w:type="dxa" w:w="29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Vía API, requiere clave</w:t>
            </w:r>
          </w:p>
        </w:tc>
      </w:tr>
      <w:tr>
        <w:tc>
          <w:tcPr>
            <w:tcW w:type="dxa" w:w="23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35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17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384</w:t>
            </w:r>
          </w:p>
        </w:tc>
        <w:tc>
          <w:tcPr>
            <w:tcW w:type="dxa" w:w="29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Local, en CPU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Es indispensable usar el mismo proveedor para indexar el corpus y para embeber las consultas, porque espacios vectoriales de distinta procedencia no son comparables por similitud coseno. Esta regla queda validada en el código: query.py reutiliza el proveedor configurado en settings.py tanto para construir el índice como para consultar.</w:t>
      </w:r>
    </w:p>
    <w:p>
      <w:pPr>
        <w:pStyle w:val="Heading1"/>
        <w:spacing w:after="150" w:before="300"/>
      </w:pPr>
      <w:r>
        <w:t xml:space="preserve">4. Búsqueda vectorial</w:t>
      </w:r>
    </w:p>
    <w:p>
      <w:pPr>
        <w:spacing w:after="160"/>
      </w:pPr>
      <w:r>
        <w:t xml:space="preserve">Con un corpus de 27 chunks, una estructura de indexación aproximada (ANN) no aporta ventajas de performance frente a una búsqueda exacta por fuerza bruta, y sí agrega una dependencia adicional (FAISS u otra librería). Se implementó búsqueda exacta por producto punto entre vectores normalizados, equivalente a similitud coseno, usando numpy. La función search() en vector_store.py es el único punto de contacto entre el resto del sistema y el mecanismo de búsqueda, lo que permite reemplazarla por un índice FAISS si el corpus creciera significativamente, sin modificar build_index.py ni query.py.</w:t>
      </w:r>
    </w:p>
    <w:p>
      <w:pPr>
        <w:pStyle w:val="Heading1"/>
        <w:spacing w:after="150" w:before="300"/>
      </w:pPr>
      <w:r>
        <w:t xml:space="preserve">5. Arquitectura RAG completa</w:t>
      </w:r>
    </w:p>
    <w:p>
      <w:pPr>
        <w:spacing w:after="160"/>
      </w:pPr>
      <w:r>
        <w:t xml:space="preserve">El flujo de consulta sigue cuatro etapas: (1) embedding de la consulta con el mismo modelo y dimensionalidad que los chunks, (2) búsqueda vectorial de los top-K chunks más similares, (3) ensamblado del contexto recuperado en un prompt con procedencia (identificador y puntaje de cada chunk), y (4) generación de la respuesta con un LLM, que debe fundamentarse únicamente en los chunks recibidos.</w:t>
      </w:r>
    </w:p>
    <w:p>
      <w:pPr>
        <w:spacing w:after="160"/>
      </w:pPr>
      <w:r>
        <w:t xml:space="preserve">El prompt de sistema (prompts/prompts.py) instruye explícitamente al modelo a no inventar información y a declarar cuando el contexto recuperado no alcanza para responder. Esta regla es la base del mecanismo de detección de preguntas no respondidas, descripto en la sección de métricas.</w:t>
      </w:r>
    </w:p>
    <w:p>
      <w:pPr>
        <w:spacing w:after="160"/>
      </w:pPr>
      <w:r>
        <w:t xml:space="preserve">Beneficio de RAG aplicado a este caso: si mañana cambian los requisitos de un trámite, alcanza con actualizar data/faq_document.txt y volver a correr build_index.py; no hace falta reentrenar ningún modelo. Además, cada respuesta queda atada a los chunks que la originaron, lo que aporta trazabilidad sobre qué parte del FAQ sustenta cada afirmación.</w:t>
      </w:r>
    </w:p>
    <w:p>
      <w:pPr>
        <w:pStyle w:val="Heading1"/>
        <w:spacing w:after="150" w:before="300"/>
      </w:pPr>
      <w:r>
        <w:t xml:space="preserve">6. Organización modular del código</w:t>
      </w:r>
    </w:p>
    <w:p>
      <w:pPr>
        <w:spacing w:after="160"/>
      </w:pPr>
      <w:r>
        <w:t xml:space="preserve">El código se organizó en archivos de responsabilidad única, siguiendo el mismo patrón de separación usado en el proyecto del Módulo 1: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8"/>
        <w:gridCol w:w="7694"/>
      </w:tblGrid>
      <w:tr>
        <w:trPr>
          <w:tblHeader/>
        </w:trPr>
        <w:tc>
          <w:tcPr>
            <w:tcW w:type="dxa" w:w="3078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7694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chunking.py</w:t>
            </w:r>
          </w:p>
        </w:tc>
        <w:tc>
          <w:tcPr>
            <w:tcW w:type="dxa" w:w="76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Fragmentación del documento en chunks</w:t>
            </w:r>
          </w:p>
        </w:tc>
      </w:tr>
      <w:tr>
        <w:tc>
          <w:tcPr>
            <w:tcW w:type="dxa" w:w="3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embeddings.py</w:t>
            </w:r>
          </w:p>
        </w:tc>
        <w:tc>
          <w:tcPr>
            <w:tcW w:type="dxa" w:w="76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Generación de embeddings (OpenAI / local)</w:t>
            </w:r>
          </w:p>
        </w:tc>
      </w:tr>
      <w:tr>
        <w:tc>
          <w:tcPr>
            <w:tcW w:type="dxa" w:w="3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vector_store.py</w:t>
            </w:r>
          </w:p>
        </w:tc>
        <w:tc>
          <w:tcPr>
            <w:tcW w:type="dxa" w:w="76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Persistencia del índice y búsqueda por similitud</w:t>
            </w:r>
          </w:p>
        </w:tc>
      </w:tr>
      <w:tr>
        <w:tc>
          <w:tcPr>
            <w:tcW w:type="dxa" w:w="3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build_index.py</w:t>
            </w:r>
          </w:p>
        </w:tc>
        <w:tc>
          <w:tcPr>
            <w:tcW w:type="dxa" w:w="76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Orquestador del pipeline de datos</w:t>
            </w:r>
          </w:p>
        </w:tc>
      </w:tr>
      <w:tr>
        <w:tc>
          <w:tcPr>
            <w:tcW w:type="dxa" w:w="3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query.py</w:t>
            </w:r>
          </w:p>
        </w:tc>
        <w:tc>
          <w:tcPr>
            <w:tcW w:type="dxa" w:w="76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Orquestador del pipeline de consulta</w:t>
            </w:r>
          </w:p>
        </w:tc>
      </w:tr>
      <w:tr>
        <w:tc>
          <w:tcPr>
            <w:tcW w:type="dxa" w:w="3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llm.py</w:t>
            </w:r>
          </w:p>
        </w:tc>
        <w:tc>
          <w:tcPr>
            <w:tcW w:type="dxa" w:w="76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Llamada al LLM (Anthropic / OpenAI) y extracción de la respuesta</w:t>
            </w:r>
          </w:p>
        </w:tc>
      </w:tr>
      <w:tr>
        <w:tc>
          <w:tcPr>
            <w:tcW w:type="dxa" w:w="3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metrics_writer.py</w:t>
            </w:r>
          </w:p>
        </w:tc>
        <w:tc>
          <w:tcPr>
            <w:tcW w:type="dxa" w:w="76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de métricas y logs por consulta</w:t>
            </w:r>
          </w:p>
        </w:tc>
      </w:tr>
      <w:tr>
        <w:tc>
          <w:tcPr>
            <w:tcW w:type="dxa" w:w="3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schemas.py</w:t>
            </w:r>
          </w:p>
        </w:tc>
        <w:tc>
          <w:tcPr>
            <w:tcW w:type="dxa" w:w="76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Contratos Pydantic de entrada y salida</w:t>
            </w:r>
          </w:p>
        </w:tc>
      </w:tr>
      <w:tr>
        <w:tc>
          <w:tcPr>
            <w:tcW w:type="dxa" w:w="307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settings.py</w:t>
            </w:r>
          </w:p>
        </w:tc>
        <w:tc>
          <w:tcPr>
            <w:tcW w:type="dxa" w:w="769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Configuración centralizada desde variables de entorno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Todas las funciones tienen un propósito único y no superan las 30 líneas, con nombres descriptivos (chunk_document, embed_texts, search, call_llm, registrar_metrica).</w:t>
      </w:r>
    </w:p>
    <w:p>
      <w:pPr>
        <w:pStyle w:val="Heading1"/>
        <w:spacing w:after="150" w:before="300"/>
      </w:pPr>
      <w:r>
        <w:t xml:space="preserve">7. Métricas y detección de respuestas no obtenidas</w:t>
      </w:r>
    </w:p>
    <w:p>
      <w:pPr>
        <w:spacing w:after="160"/>
      </w:pPr>
      <w:r>
        <w:t xml:space="preserve">Toda la infraestructura de captura quedó lista desde el primer sprint, para que el agente evaluador (sección 9) tuviera material sobre el cual trabajar sin instrumentar nada de nuevo: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metrics/metrics.csv: una fila por consulta con pregunta, si fue respondida o no, chunk principal recuperado, tokens de entrada y salida, latencia y costo estimado.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logs/queries.jsonl: el detalle completo de cada consulta, incluyendo las preguntas que el sistema no pudo responder, con todos los chunks recuperados y la respuesta cruda del LLM.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metrics_writer.was_answered(): heurística inicial que detecta cuándo el propio LLM declaró no tener información suficiente.</w:t>
      </w:r>
    </w:p>
    <w:p>
      <w:pPr>
        <w:spacing w:after="100"/>
      </w:pPr>
    </w:p>
    <w:p>
      <w:pPr>
        <w:pStyle w:val="Heading2"/>
        <w:spacing w:after="120" w:before="240"/>
      </w:pPr>
      <w:r>
        <w:t xml:space="preserve">Resultados de ejemplo (sprint 1)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2"/>
        <w:gridCol w:w="2486"/>
        <w:gridCol w:w="3314"/>
      </w:tblGrid>
      <w:tr>
        <w:trPr>
          <w:tblHeader/>
        </w:trPr>
        <w:tc>
          <w:tcPr>
            <w:tcW w:type="dxa" w:w="4972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Pregunta del usuario</w:t>
            </w:r>
          </w:p>
        </w:tc>
        <w:tc>
          <w:tcPr>
            <w:tcW w:type="dxa" w:w="2486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¿Se respondió?</w:t>
            </w:r>
          </w:p>
        </w:tc>
        <w:tc>
          <w:tcPr>
            <w:tcW w:type="dxa" w:w="3314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Chunk principal</w:t>
            </w:r>
          </w:p>
        </w:tc>
      </w:tr>
      <w:tr>
        <w:tc>
          <w:tcPr>
            <w:tcW w:type="dxa" w:w="49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renovar la licencia de conducir</w:t>
            </w:r>
          </w:p>
        </w:tc>
        <w:tc>
          <w:tcPr>
            <w:tcW w:type="dxa" w:w="24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3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chunk_005 (score 0.78)</w:t>
            </w:r>
          </w:p>
        </w:tc>
      </w:tr>
      <w:tr>
        <w:tc>
          <w:tcPr>
            <w:tcW w:type="dxa" w:w="49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de domicilio sin DNI actualizado</w:t>
            </w:r>
          </w:p>
        </w:tc>
        <w:tc>
          <w:tcPr>
            <w:tcW w:type="dxa" w:w="24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3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chunk_012 (score 0.82)</w:t>
            </w:r>
          </w:p>
        </w:tc>
      </w:tr>
      <w:tr>
        <w:tc>
          <w:tcPr>
            <w:tcW w:type="dxa" w:w="49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Costo y plazo del pasaporte</w:t>
            </w:r>
          </w:p>
        </w:tc>
        <w:tc>
          <w:tcPr>
            <w:tcW w:type="dxa" w:w="248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— fuera de dominio</w:t>
            </w:r>
          </w:p>
        </w:tc>
        <w:tc>
          <w:tcPr>
            <w:tcW w:type="dxa" w:w="33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chunk_016 (score 0.31)</w:t>
            </w:r>
          </w:p>
        </w:tc>
      </w:tr>
    </w:tbl>
    <w:p>
      <w:pPr>
        <w:pStyle w:val="Heading1"/>
        <w:spacing w:after="150" w:before="300"/>
      </w:pPr>
      <w:r>
        <w:t xml:space="preserve">8. Desafíos y mejoras posibles</w:t>
      </w:r>
    </w:p>
    <w:p>
      <w:pPr>
        <w:spacing w:after="160"/>
      </w:pPr>
      <w:r>
        <w:t xml:space="preserve">Desafío principal: validar que ambos proveedores de embeddings generen espacios vectoriales de calidad comparable para este dominio específico (trámites administrativos en español), dado que un modelo entrenado mayormente en inglés (como all-MiniLM-L6-v2) puede perder matices frente a text-embedding-3-small. Se recomienda, como mejora futura, correr un benchmark comparativo con las mismas preguntas de prueba contra ambos proveedores y medir la superposición de los chunks recuperados.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Migrar vector_store.py a FAISS si el documento FAQ creciera a cientos o miles de entradas.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Incorporar caching de consultas frecuentes para reducir costo y latencia.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Contrastar periódicamente el puntaje del agente evaluador con revisión humana, dado que un LLM como juez no es una verdad absoluta.</w:t>
      </w:r>
    </w:p>
    <w:p>
      <w:pPr>
        <w:pStyle w:val="Heading1"/>
        <w:spacing w:after="150" w:before="300"/>
      </w:pPr>
      <w:r>
        <w:t xml:space="preserve">9. Sprint 2 — Agente evaluador (bonus)</w:t>
      </w:r>
    </w:p>
    <w:p>
      <w:pPr>
        <w:spacing w:after="160"/>
      </w:pPr>
      <w:r>
        <w:t xml:space="preserve">Con la infraestructura de métricas ya lista, el sprint 2 agregó el agente evaluador (src/evaluator.py): recibe user_question, system_answer y chunks_related, y devuelve un puntaje de 0 a 10 con una justificación (schemas.EvaluacionRespuesta), usando un LLM como juez con un prompt propio (prompts.SYSTEM_EVALUADOR).</w:t>
      </w:r>
    </w:p>
    <w:p>
      <w:pPr>
        <w:spacing w:after="160"/>
      </w:pPr>
      <w:r>
        <w:t xml:space="preserve">El criterio de evaluación combina cuatro dimensiones: fidelidad a los chunks (sin inventar datos), cobertura de la información relevante disponible, honestidad ante falta de información (reconocer cuando no se puede responder, en vez de inventar) y claridad para un usuario sin conocimiento previo del trámite.</w:t>
      </w:r>
    </w:p>
    <w:p>
      <w:pPr>
        <w:spacing w:after="160"/>
      </w:pPr>
      <w:r>
        <w:t xml:space="preserve">Se agregó el flag --evaluate a query.py para evaluar una consulta puntual, y el script evaluate_batch.py para evaluar en lote un archivo de ejemplos ya generado. Cada evaluación se registra en metrics/evaluations.csv y logs/evaluations.jsonl, con el mismo criterio de trazabilidad que las consultas.</w:t>
      </w:r>
    </w:p>
    <w:p>
      <w:pPr>
        <w:pStyle w:val="Heading2"/>
        <w:spacing w:after="120" w:before="240"/>
      </w:pPr>
      <w:r>
        <w:t xml:space="preserve">Resultados de ejemplo (sprint 2)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9"/>
        <w:gridCol w:w="1436"/>
        <w:gridCol w:w="5027"/>
      </w:tblGrid>
      <w:tr>
        <w:trPr>
          <w:tblHeader/>
        </w:trPr>
        <w:tc>
          <w:tcPr>
            <w:tcW w:type="dxa" w:w="4309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Pregunta del usuario</w:t>
            </w:r>
          </w:p>
        </w:tc>
        <w:tc>
          <w:tcPr>
            <w:tcW w:type="dxa" w:w="1436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Puntaje</w:t>
            </w:r>
          </w:p>
        </w:tc>
        <w:tc>
          <w:tcPr>
            <w:tcW w:type="dxa" w:w="5027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43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renovar la licencia de conducir</w:t>
            </w:r>
          </w:p>
        </w:tc>
        <w:tc>
          <w:tcPr>
            <w:tcW w:type="dxa" w:w="14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9.5 / 10</w:t>
            </w:r>
          </w:p>
        </w:tc>
        <w:tc>
          <w:tcPr>
            <w:tcW w:type="dxa" w:w="502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Bien fundamentada, sin datos inventados</w:t>
            </w:r>
          </w:p>
        </w:tc>
      </w:tr>
      <w:tr>
        <w:tc>
          <w:tcPr>
            <w:tcW w:type="dxa" w:w="43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de domicilio sin DNI actualizado</w:t>
            </w:r>
          </w:p>
        </w:tc>
        <w:tc>
          <w:tcPr>
            <w:tcW w:type="dxa" w:w="14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9.0 / 10</w:t>
            </w:r>
          </w:p>
        </w:tc>
        <w:tc>
          <w:tcPr>
            <w:tcW w:type="dxa" w:w="502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Precisa, cita las alternativas documentadas</w:t>
            </w:r>
          </w:p>
        </w:tc>
      </w:tr>
      <w:tr>
        <w:tc>
          <w:tcPr>
            <w:tcW w:type="dxa" w:w="430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Costo y plazo del pasaporte</w:t>
            </w:r>
          </w:p>
        </w:tc>
        <w:tc>
          <w:tcPr>
            <w:tcW w:type="dxa" w:w="14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9.5 / 10</w:t>
            </w:r>
          </w:p>
        </w:tc>
        <w:tc>
          <w:tcPr>
            <w:tcW w:type="dxa" w:w="502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Reconoce correctamente la falta de información</w:t>
            </w:r>
          </w:p>
        </w:tc>
      </w:tr>
    </w:tbl>
    <w:p>
      <w:pPr>
        <w:spacing w:after="160"/>
      </w:pPr>
      <w:r>
        <w:t xml:space="preserve">Que la respuesta de "no tengo información suficiente" ante la pregunta sobre el pasaporte puntúe alto confirma que el criterio del evaluador está bien calibrado: reconocer la falta de información es el comportamiento esperado, no una falla del sistema.</w:t>
      </w:r>
    </w:p>
    <w:p>
      <w:pPr>
        <w:pStyle w:val="Heading1"/>
        <w:spacing w:after="150" w:before="300"/>
      </w:pPr>
      <w:r>
        <w:t xml:space="preserve">Referencias cruzadas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Sección 2 (Chunking) → Sección 6 (chunking.py) → Sección 7 (validado por tests, ver README).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Sección 3 (Embeddings) → Sección 6 (embeddings.py, settings.py) → .env.example (EMBEDDING_PROVIDER).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Sección 4 (Búsqueda vectorial) → Sección 6 (vector_store.py) → Sección 5 (etapa de recuperación del RAG).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Sección 5 (Arquitectura RAG) → Sección 6 (query.py, llm.py, prompts/prompts.py).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Sección 7 (Métricas) → Sección 6 (metrics_writer.py, schemas.py) → outputs/sample_queries.json y logs/queries.jsonl.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Sección 9 (Agente evaluador) → Sección 6 (evaluator.py, evaluate_batch.py) → outputs/sample_queries_evaluated.json y logs/evaluations.jsonl.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Fuentes externas consultadas para el dominio del FAQ: santafeciudad.gov.ar (trámites municipales, licencia de conducir, Oficina Virtual) y santafe.gob.ar (Registro Civil, DNI, certificados de domicilio, turnos web provinciales).</w:t>
      </w:r>
    </w:p>
    <w:sectPr>
      <w:headerReference w:type="default" r:id="rId7"/>
      <w:footerReference w:type="default" r:id="rId8"/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77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463"/>
      <w:gridCol w:w="4309"/>
    </w:tblGrid>
    <w:tr>
      <w:tc>
        <w:tcPr>
          <w:tcW w:type="dxa" w:w="6463"/>
        </w:tcPr>
        <w:p>
          <w:r>
            <w:rPr>
              <w:color w:val="666666"/>
              <w:sz w:val="16"/>
              <w:szCs w:val="16"/>
            </w:rPr>
            <w:t xml:space="preserve">Generado el 2/7/2026 a las 06:19 p. m.</w:t>
          </w:r>
        </w:p>
      </w:tc>
      <w:tc>
        <w:tcPr>
          <w:tcW w:type="dxa" w:w="4309"/>
        </w:tcPr>
        <w:p>
          <w:pPr>
            <w:jc w:val="right"/>
          </w:pPr>
          <w:r>
            <w:rPr>
              <w:color w:val="666666"/>
              <w:sz w:val="16"/>
              <w:szCs w:val="16"/>
            </w:rPr>
            <w:t xml:space="preserve">Página </w:t>
          </w:r>
          <w:r>
            <w:rPr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66666"/>
              <w:sz w:val="16"/>
              <w:szCs w:val="16"/>
            </w:rPr>
            <w:t xml:space="preserve"> de </w:t>
          </w:r>
          <w:r>
            <w:rPr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/>
      </w:pBdr>
      <w:jc w:val="center"/>
    </w:pPr>
    <w:r>
      <w:rPr>
        <w:b/>
        <w:bCs/>
        <w:sz w:val="18"/>
        <w:szCs w:val="18"/>
      </w:rPr>
      <w:t xml:space="preserve">Asistente de FAQ sobre trámites de Santa Fe — Informe técnico (Módulo 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2026-07-02T18:19:59.552Z</dcterms:created>
  <dcterms:modified xsi:type="dcterms:W3CDTF">2026-07-02T18:19:59.560Z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