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i3 ACADEMY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IBM Silver Business Partner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2 — PARALLEL PR REVIEW ASSISTANT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Architect-Level Build Guide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IBM TechXchange 2026 — Pre-Conference Dev Day Hackathon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for the i3 Academy Bootcamp Team | August 28–30, 2026</w:t>
      </w:r>
    </w:p>
    <w:p>
      <w:pPr>
        <w:pStyle w:val="Heading1"/>
        <w:spacing w:after="180" w:before="360"/>
      </w:pPr>
      <w:r>
        <w:t xml:space="preserve">1. Final Architecture Decision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Collapse the specification's four components into a single deployable service: a webhook receiver plus three concurrent Bob 2.0 subagents plus a merge agent, all running in one Node process. Separate microservices are coordination overhead the team does not need inside a 48-hour window.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pr-review-assistant/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webhook/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server.ts          # Express receiver + signature verification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payload.ts         # normalize GitHub/GitLab payloads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subagents/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style.ts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security.ts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coverage.ts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businessLogic.ts   # 4th subagent — Innovation Edge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merge/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dedupe.ts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formatter.ts       # structured PR comment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poster.ts               # posts back via GitHub REST API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sample-repo/                 # seeded PRs with real style/security/test gaps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Stack: Node.js + TypeScript + Express for the webhook receiver, Octokit for the GitHub REST API, the ESLint programmatic API as a style-subagent signal source, Semgrep CLI (invoked via child_process) as a security-subagent signal source, and the existing test runner's coverage output (nyc/istanbul) as the coverage-subagent signal source. Bob 2.0 subagents consume these tool outputs as supporting evidence, not as the whole answer — that distinction is what separates this build from "a linter with extra steps."</w:t>
      </w:r>
    </w:p>
    <w:p>
      <w:pPr>
        <w:pStyle w:val="Heading1"/>
        <w:spacing w:after="180" w:before="360"/>
      </w:pPr>
      <w:r>
        <w:t xml:space="preserve">2. Day 1 — Setup (Hours 0–12)</w:t>
      </w:r>
    </w:p>
    <w:p>
      <w:pPr>
        <w:pStyle w:val="Heading2"/>
        <w:spacing w:after="140" w:before="280"/>
      </w:pPr>
      <w:r>
        <w:t xml:space="preserve">Hour 0–1: Team Split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webhook receiver + auth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style subagent + ESLint integration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security subagent + Semgrep integration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coverage subagent + test-runner integration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merge/dedupe logic and comment formatter</w:t>
      </w:r>
    </w:p>
    <w:p>
      <w:pPr>
        <w:pStyle w:val="Heading2"/>
        <w:spacing w:after="140" w:before="280"/>
      </w:pPr>
      <w:r>
        <w:t xml:space="preserve">Hour 1–4: Seed a Deliberately Flawed Sample PR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As with Project 1, the seed data determines whether the demo is convincing. Build one PR in the sample repo with three genuinely separate, real issues baked in: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deliberate style violation — inconsistent naming or formatting against the sample repo's own .eslintrc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mild security smell — for example a hardcoded fallback secret, or string-concatenated SQL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 new function added with zero test coverage</w:t>
      </w:r>
    </w:p>
    <w:p>
      <w:pPr>
        <w:pStyle w:val="Heading2"/>
        <w:spacing w:after="140" w:before="280"/>
      </w:pPr>
      <w:r>
        <w:t xml:space="preserve">Hour 4–8: Webhook Receiver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src/webhook/server.ts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express from "express";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crypto from "crypto";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const app = express();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app.use(express.json({ verify: (req, res, buf) =&gt; { (req as any).rawBody = buf; } }));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app.post("/webhook/pr", async (req, res)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sig = req.headers["x-hub-signature-256"] as string;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(!verifySignature((req as any).rawBody, sig, process.env.WEBHOOK_SECRET!))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res.status(401).send("invalid signature");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event = req.body;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if (event.action === "opened" || event.action === "synchronize")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handlePullRequest(event.pull_request, event.repository);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res.status(202).send("accepted");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function verifySignature(body: Buffer, signature: string, secret: string): boolean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expected = "sha256=" + crypto.createHmac("sha256", secret).update(body).digest("hex");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crypto.timingSafeEqual(Buffer.from(signature), Buffer.from(expected));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Hour 8–12: Diff Fetch and Subagent Prompt Scaffolding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Each subagent must be grounded in the repo's real style guide via Document Understanding, not a generic convention set.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src/webhook/payload.ts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Octokit } from "@octokit/rest";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getPRDiff(octokit: Octokit, owner: string, repo: string, prNumber: number)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data: files } = await octokit.pulls.listFiles({ owner, repo, pull_number: prNumber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{ data: styleGuide } = await octokit.repos.getContent({ owner, repo, path: "CONTRIBUTING.md" }).catch(() =&gt; ({ data: null }));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files: files.map(f =&gt; ({ filename: f.filename, patch: f.patch, additions: f.additions, deletions: f.deletions })),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styleGuide: styleGuide &amp;&amp; "content" in styleGuide ? Buffer.from(styleGuide.content, "base64").toString() : "",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t xml:space="preserve">3. Day 2 — Core Loop (Hours 12–24)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three subagents running concurrently are the actual capability being judged.</w:t>
      </w:r>
    </w:p>
    <w:p>
      <w:pPr>
        <w:pStyle w:val="Heading2"/>
        <w:spacing w:after="140" w:before="280"/>
      </w:pPr>
      <w:r>
        <w:t xml:space="preserve">Style Subagent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src/subagents/style.ts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styleSubagent(bob: BobClient, diff: PRDiff)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Real linter output as supporting signal, not the whole answer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eslintOutput = safeRunESLint(diff.files.map(f =&gt; f.filename));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bob.subagent("style",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diff,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guide: diff.styleGuide,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lintSignal: eslintOutput,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instruction: "Flag deviations from the team's actual CONTRIBUTING.md conventions. Use the lint output as supporting evidence, not as the sole source of truth — reason about intent, not just rule violations.",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Security Subagent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src/subagents/security.ts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securitySubagent(bob: BobClient, diff: PRDiff)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semgrepOutput = safeRunSemgrep(diff.files.map(f =&gt; f.filename));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bob.subagent("security",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diff,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staticSignal: semgrepOutput,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instruction: "Flag insecure patterns, hardcoded secrets, and injection risks. Cite the specific line. Do not flag stylistic issues — that's a separate lane.",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Coverage Subagent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src/subagents/coverage.ts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coverageSubagent(bob: BobClient, diff: PRDiff, testFiles: string[])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bob.subagent("coverage",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diff,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testFiles,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instruction: "Assess whether new/changed logic in this diff has corresponding test coverage. Name the specific untested function or branch, don't just report a percentage.",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Fan-Out and Merge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concurrency is the point — do not accidentally serialize this call.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src/webhook/server.ts (continued)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async function handlePullRequest(pr: any, repo: any)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diff = await getPRDiff(octokit, repo.owner.login, repo.name, pr.number);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[style, security, coverage, businessLogic] = await Promise.all([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styleSubagent(bob, diff),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securitySubagent(bob, diff),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coverageSubagent(bob, diff, testFiles),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businessLogicSubagent(bob, diff, pr), // Innovation Edge — 4th lane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merged = await bob.agentMode.merge([style, security, coverage, businessLogic]);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await postReviewComment(octokit, repo, pr.number, merged.summary);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Dedup Logic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architect's risk notes flag this explicitly: false positives across four lanes will look noisy unless ranked by confidence.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src/merge/dedupe.ts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Finding { line: number; file: string; message: string; confidence: number; lane: string;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dedupeAndRank(findings: Finding[]): Finding[]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byLocation = new Map&lt;string, Finding[]&gt;();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f of findings)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key = `${f.file}:${f.line}`;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byLocation.set(key, [...(byLocation.get(key) ?? []), f]);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If two lanes flag the same line, keep the higher-confidence finding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note the overlap rather than posting both as separate comments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[...byLocation.values()].map(group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group.length &gt;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? { ...group.sort((a, b) =&gt; b.confidence - a.confidence)[0], message: group[0].message + ` (also flagged by ${group.slice(1).map(g =&gt; g.lane).join(", ")})`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: group[0]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).sort((a, b) =&gt; b.confidence - a.confidence);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Hour 20–24: run this against two to three real PRs in the sample repo end to end. Confirm the posted comment is one structured comment, not four separate noisy ones.</w:t>
      </w:r>
    </w:p>
    <w:p>
      <w:pPr>
        <w:pStyle w:val="Heading1"/>
        <w:spacing w:after="180" w:before="360"/>
      </w:pPr>
      <w:r>
        <w:t xml:space="preserve">4. Day 3 — Polish and Measure (Hours 24–40)</w:t>
      </w:r>
    </w:p>
    <w:p>
      <w:pPr>
        <w:pStyle w:val="Heading2"/>
        <w:spacing w:after="140" w:before="280"/>
      </w:pPr>
      <w:r>
        <w:t xml:space="preserve">The Metric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Turnaround time and review-pass count versus a sequential human baseline. Use the same honest-simulation approach as Project 1: time a teammate doing a manual sequential review (style pass, then security pass, then coverage pass) against the same PR, and compare it to the parallel agent's wall-clock time. The structural claim that three lanes ran concurrently rather than sequentially is provable from the build's own logs — timestamp each subagent's start and end and show the overlap on a simple Gantt-style chart in the demo.</w:t>
      </w:r>
    </w:p>
    <w:p>
      <w:pPr>
        <w:pStyle w:val="Heading2"/>
        <w:spacing w:after="140" w:before="280"/>
      </w:pPr>
      <w:r>
        <w:t xml:space="preserve">Innovation Edge: Business Logic Reviewer (4th Subagent)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Build this if time allows — it is the strongest differentiator in the whole specification.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src/subagents/businessLogic.ts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businessLogicSubagent(bob: BobClient, diff: PRDiff, pr: any)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linkedTicket = await fetchLinkedTicket(pr.body); // parse "Fixes #123" etc.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bob.subagent("business-logic",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diff,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ticketDescription: linkedTicket?.body ?? pr.body,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instruction: "Compare what this diff actually does against what the linked ticket/PR description claims it does. Flag any mismatch — e.g. the ticket says 'add rate limiting' but the diff only adds a comment. This is the one class of issue style/security/coverage checks cannot catch.",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what makes the demo land differently from a linter with extra steps: show a PR where the description says one thing and the diff does another, and have the fourth lane catch it live.</w:t>
      </w:r>
    </w:p>
    <w:p>
      <w:pPr>
        <w:pStyle w:val="Heading1"/>
        <w:spacing w:after="180" w:before="360"/>
      </w:pPr>
      <w:r>
        <w:t xml:space="preserve">5. Pre-Demo Checklist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Webhook auth tested against a disposable sandbox repo and a personal access token, never production access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Semgrep/ESLint results cached locally as a fallback in case live tooling flakes on stage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Gantt-style timing chart showing the four lanes overlapping, not running sequentially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One PR in the demo where the business-logic lane catches a ticket/diff mismatch the other three lanes structurally cannot</w:t>
      </w:r>
    </w:p>
    <w:p>
      <w:pPr>
        <w:pStyle w:val="Heading1"/>
        <w:spacing w:after="180" w:before="360"/>
      </w:pPr>
      <w:r>
        <w:t xml:space="preserve">6. Risk Notes and How the Build Order Avoids Them</w:t>
      </w:r>
    </w:p>
    <w:p>
      <w:pPr>
        <w:pStyle w:val="Heading2"/>
        <w:spacing w:after="140" w:before="280"/>
      </w:pPr>
      <w:r>
        <w:t xml:space="preserve">False positives look noisy across four lanes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the confidence-ranked dedup logic built on Day 2, not bolted on as an afterthought on Day 3.</w:t>
      </w:r>
    </w:p>
    <w:p>
      <w:pPr>
        <w:pStyle w:val="Heading2"/>
        <w:spacing w:after="140" w:before="280"/>
      </w:pPr>
      <w:r>
        <w:t xml:space="preserve">Webhook auth and permissions setup eats time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using a disposable sandbox repo and a personal access token from Hour 4, rather than fighting production GitHub App permissions mid-hackathon.</w:t>
      </w:r>
    </w:p>
    <w:p>
      <w:pPr>
        <w:spacing w:after="120"/>
      </w:pPr>
    </w:p>
    <w:p>
      <w:pPr>
        <w:pBdr>
          <w:top w:val="single" w:color="CCCCCC" w:sz="6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for the i3 Academy Hackathon Team | i3 Technologies | August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2026-08-25T10:28:39.024Z</dcterms:created>
  <dcterms:modified xsi:type="dcterms:W3CDTF">2026-08-25T10:28:39.037Z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