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28"/>
          <w:szCs w:val="28"/>
        </w:rPr>
        <w:t xml:space="preserve">i3 ACADEMY</w:t>
      </w:r>
    </w:p>
    <w:p>
      <w:pPr>
        <w:spacing w:after="3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IBM Silver Business Partner</w:t>
      </w:r>
    </w:p>
    <w:p>
      <w:pPr>
        <w:spacing w:after="10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PROJECT 4 — TEST COVERAGE GENERATOR</w:t>
      </w:r>
    </w:p>
    <w:p>
      <w:pPr>
        <w:spacing w:after="40"/>
      </w:pPr>
      <w:r>
        <w:rPr>
          <w:rFonts w:ascii="Calibri" w:cs="Calibri" w:eastAsia="Calibri" w:hAnsi="Calibri"/>
          <w:sz w:val="24"/>
          <w:szCs w:val="24"/>
        </w:rPr>
        <w:t xml:space="preserve">Architect-Level Build Guide</w:t>
      </w:r>
    </w:p>
    <w:p>
      <w:pPr>
        <w:spacing w:after="40"/>
      </w:pPr>
      <w:r>
        <w:rPr>
          <w:rFonts w:ascii="Calibri" w:cs="Calibri" w:eastAsia="Calibri" w:hAnsi="Calibri"/>
          <w:sz w:val="22"/>
          <w:szCs w:val="22"/>
        </w:rPr>
        <w:t xml:space="preserve">IBM TechXchange 2026 — Pre-Conference Dev Day Hackathon</w:t>
      </w:r>
    </w:p>
    <w:p>
      <w:pPr>
        <w:spacing w:after="4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Prepared for the i3 Academy Bootcamp Team | August 28–30, 2026</w:t>
      </w:r>
    </w:p>
    <w:p>
      <w:pPr>
        <w:pStyle w:val="Heading1"/>
        <w:spacing w:after="180" w:before="360"/>
      </w:pPr>
      <w:r>
        <w:t xml:space="preserve">1. Final Architecture Decision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specification's five components collapse cleanly into a partition, fan-out, verify, aggregate pipeline running as a single Node process.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test-coverage-generator/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src/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partition/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moduleBoundary.ts   # import-graph based module splitting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subagents/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testGen.ts          # per-module Bob 2.0 subagent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verify/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├── testRunner.ts       # run generated tests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assertionQuality.ts # catch tautological tests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coverage/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aggregator.ts       # merge per-module coverage into one report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├── mutation/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│   └── mutator.ts          # Innovation Edge — mutation testing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│   └── orchestrator.ts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target-modules/               # thin-coverage modules with real logic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.env.example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package.json</w:t>
            </w:r>
          </w:p>
        </w:tc>
      </w:tr>
    </w:tbl>
    <w:p>
      <w:pPr>
        <w:spacing w:after="120"/>
      </w:pP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Stack: Node.js + TypeScript, madge or a custom ts-morph-based import-graph walker for module partitioning, nyc/istanbul for coverage instrumentation, the target project's real test runner (jest or pytest — matched to the target codebase's own language rather than forced), and Bob 2.0 Subagents fanned out per module.</w:t>
      </w:r>
    </w:p>
    <w:p>
      <w:pPr>
        <w:pStyle w:val="Heading1"/>
        <w:spacing w:after="180" w:before="360"/>
      </w:pPr>
      <w:r>
        <w:t xml:space="preserve">2. Day 1 — Setup (Hours 0–12)</w:t>
      </w:r>
    </w:p>
    <w:p>
      <w:pPr>
        <w:pStyle w:val="Heading2"/>
        <w:spacing w:after="140" w:before="280"/>
      </w:pPr>
      <w:r>
        <w:t xml:space="preserve">Hour 0–1: Team Split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module partitioning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per-module subagent + docstring grounding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test runner/verify loop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coverage aggregation</w:t>
      </w:r>
    </w:p>
    <w:p>
      <w:pPr>
        <w:pStyle w:val="ListParagraph"/>
        <w:numPr>
          <w:ilvl w:val="0"/>
          <w:numId w:val="1"/>
        </w:num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One person: target-module selection + baseline measurement</w:t>
      </w:r>
    </w:p>
    <w:p>
      <w:pPr>
        <w:pStyle w:val="Heading2"/>
        <w:spacing w:after="140" w:before="280"/>
      </w:pPr>
      <w:r>
        <w:t xml:space="preserve">Hour 1–5: Pick Target Modules With Real Logic, Not Thin Wrappers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is the risk note's central warning — a coverage gain on a thin pass-through module looks hollow to judges. Pick three to four modules with genuine branching logic (a pricing calculator, a validation layer, a state machine) that currently sit at 20–40% coverage. Measure and record the baseline number now, in writing, before anything else is touched — this exact number is needed for the demo.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src/partition/moduleBoundary.ts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madge from "madge";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partitionByBoundary(repoPath: string): Promise&lt;ModulePartition[]&gt;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res = await madge(repoPath, { fileExtensions: ["ts", "js"]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graph = res.obj(); // { file: [dependencies]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Group files into modules by directory boundary + import cohesion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groupIntoModules(graph);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Hour 5–9: Baseline Coverage Measurement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scripts/baseline.ts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import { execSync } from "child_process";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measureBaseline(modulePaths: string[]): Record&lt;string, number&gt;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execSync("npx nyc --reporter=json npm test", { stdio: "inherit"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coverageJson = JSON.parse(fs.readFileSync("coverage/coverage-final.json", "utf-8"));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modulePaths.reduce((acc, m)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acc[m] = computeModuleCoveragePct(coverageJson, m);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acc;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 {} as Record&lt;string, number&gt;);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Hour 9–12: Docstring/Spec Extraction for Grounding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src/subagents/docExtractor.ts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extractDocs(modulePath: string): string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Pull JSDoc/docstrings + any adjacent spec/README for the module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this is what keeps generated tests grounded in intended behavior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rather than guessing blind from implementation alone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files = glob.sync(`${modulePath}/**/*.ts`);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files.map(f =&gt; extractJSDocBlocks(fs.readFileSync(f, "utf-8"))).join("\n\n");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1"/>
        <w:spacing w:after="180" w:before="360"/>
      </w:pPr>
      <w:r>
        <w:t xml:space="preserve">3. Day 2 — Core Loop (Hours 12–24)</w:t>
      </w:r>
    </w:p>
    <w:p>
      <w:pPr>
        <w:pStyle w:val="Heading2"/>
        <w:spacing w:after="140" w:before="280"/>
      </w:pPr>
      <w:r>
        <w:t xml:space="preserve">Per-Module Fan-Out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The concurrency is what allows three to four modules to get real tests in the time it would take to hand-write tests for one.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src/orchestrator.ts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generateTestsForAllModules(modules: ModulePartition[], bob: BobClient)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results = await Promise.all(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modules.map(m =&gt;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bob.subagent("test-gen",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module: m,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docstrings: extractDocs(m.path),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instruction: "Generate unit/integration tests grounded in the documented expected behavior. Prefer testing actual branch conditions and edge cases over trivially re-asserting the implementation.",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})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 (const r of results)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await bob.agentMode.verifyAndIterate(r.generatedTests, { maxRetries: 3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results;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Verify/Iterate Loop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is the step that separates real tests from junk — build it before the aggregator, not after.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src/verify/testRunner.ts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verifyAndIterate(generatedTests: TestFile[], opts: { maxRetries: number }, bob: BobClient)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let attempt = 0;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let tests = generatedTests;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while (attempt &lt; opts.maxRetries)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runResult = await runTests(tests);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qualityCheck = await checkAssertionQuality(tests, runResult);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(runResult.allPassed &amp;&amp; qualityCheck.meaningful) break;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Feed failures AND quality flags back to the agent — a tautological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test that "passes" is not success, it's the exact failure mode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the risk notes warn about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tests = await bob.agentMode.refine(tests, { failures: runResult.failures, qualityIssues: qualityCheck.issues });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attempt++;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tests;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Assertion Quality Check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Do not skip this — it is the single most important guardrail in the whole build.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src/verify/assertionQuality.ts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checkAssertionQuality(tests: TestFile[], runResult: TestRunResult)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issues: string[] = [];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 (const test of tests)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Heuristic pass: flag tests with no meaningful assertion variance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(e.g. expect(true).toBe(true), or asserting a mock's own return value)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(isTautological(test)) issues.push(`${test.name}: asserts a constant or trivially-true condition`);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Cross-check: does removing the tested logic's core branch still pass?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// (a cheap proxy for the Day-3 mutation-testing Innovation Edge)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{ meaningful: issues.length === 0, issues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2"/>
        <w:spacing w:after="140" w:before="280"/>
      </w:pPr>
      <w:r>
        <w:t xml:space="preserve">Coverage Aggregator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src/coverage/aggregator.ts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aggregateCoverage(results: SubagentResult[]): CoverageReport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merged = results.reduce((acc, r) =&gt;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acc[r.module] = { before: r.baselinePct, after: r.finalPct, testsAdded: r.generatedTests.length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return acc;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}, {} as Record&lt;string, ModuleCoverage&gt;);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{ modules: merged, overallDelta: computeWeightedDelta(merged)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Hour 20–24: run the full fan-out against the real target modules, not a toy example. Confirm the aggregated before/after numbers are real, not estimated.</w:t>
      </w:r>
    </w:p>
    <w:p>
      <w:pPr>
        <w:pStyle w:val="Heading1"/>
        <w:spacing w:after="180" w:before="360"/>
      </w:pPr>
      <w:r>
        <w:t xml:space="preserve">4. Day 3 — Polish and Measure (Hours 24–40)</w:t>
      </w:r>
    </w:p>
    <w:p>
      <w:pPr>
        <w:pStyle w:val="Heading2"/>
        <w:spacing w:after="140" w:before="280"/>
      </w:pPr>
      <w:r>
        <w:t xml:space="preserve">The Metric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Percentage-point coverage increase on target modules, generation time versus estimated manual test-writing baseline. The baseline estimate should be honest and stated as such — for example, an industry rule-of-thumb of roughly 15 minutes per meaningful unit test multiplied by the number of tests hand-written, compared against the actual generation-plus-verify wall-clock time. An estimate should never be presented as a measured comparison; state plainly which number is measured and which is estimated.</w:t>
      </w:r>
    </w:p>
    <w:p>
      <w:pPr>
        <w:pStyle w:val="Heading2"/>
        <w:spacing w:after="140" w:before="280"/>
      </w:pPr>
      <w:r>
        <w:t xml:space="preserve">Innovation Edge: Mutation Testing as the Trust Check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This is the strongest differentiator in the specification and worth prioritizing over polish if time is tight.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// src/mutation/mutator.ts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interface Mutation { file: string; line: number; original: string; mutated: string;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function generateMutants(sourceFile: string): Mutation[]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Flip comparison operators, off-by-one boundary conditions, negate booleans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ast = parseTS(sourceFile);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ast.findAll(["BinaryExpression", "IfStatement"]).map(node =&gt; ({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file: sourceFile,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line: node.line,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original: node.text,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mutated: mutateOperator(node.text), // e.g. `&lt;` → `&lt;=`, `===` → `!==`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export async function runMutationTest(mutants: Mutation[], testSuite: TestFile[])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results = [];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for (const mutant of mutants)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applyMutation(mutant);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const runResult = await runTests(testSuite);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results.push({ mutant, killed: !runResult.allPassed }); // test suite "kills" the mutant if it fails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revertMutation(mutant);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const killRate = results.filter(r =&gt; r.killed).length / results.length;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Any surviving mutant means the corresponding test needs rewriting —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// feed survivors back into the Day-2 verify/iterate loop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return { killRate, survivors: results.filter(r =&gt; !r.killed) };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An "80% coverage AND caught 92% of injected bugs" claim is materially harder for a judge to wave off than coverage percentage alone — this single number is worth building even if something else in the demo is cut to make room for it.</w:t>
      </w:r>
    </w:p>
    <w:p>
      <w:pPr>
        <w:pStyle w:val="Heading1"/>
        <w:spacing w:after="180" w:before="360"/>
      </w:pPr>
      <w:r>
        <w:t xml:space="preserve">5. Pre-Demo Checklist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Baseline coverage percentage recorded in writing before Day 1 setup began — no retroactive estimating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At least one generated test visibly tests a real branch condition, not a trivial pass-through — have this file open and ready to show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Mutation kill-rate number computed and ready, even if the full mutation UI isn't built</w:t>
      </w:r>
    </w:p>
    <w:p>
      <w:pPr>
        <w:spacing w:after="90"/>
      </w:pPr>
      <w:r>
        <w:rPr>
          <w:rFonts w:ascii="Calibri" w:cs="Calibri" w:eastAsia="Calibri" w:hAnsi="Calibri"/>
          <w:sz w:val="22"/>
          <w:szCs w:val="22"/>
        </w:rPr>
        <w:t xml:space="preserve">☐  Generation-time versus manual-writing-time comparison explicitly labeled as measured versus estimated</w:t>
      </w:r>
    </w:p>
    <w:p>
      <w:pPr>
        <w:pStyle w:val="Heading1"/>
        <w:spacing w:after="180" w:before="360"/>
      </w:pPr>
      <w:r>
        <w:t xml:space="preserve">6. Risk Notes and How the Build Order Avoids Them</w:t>
      </w:r>
    </w:p>
    <w:p>
      <w:pPr>
        <w:pStyle w:val="Heading2"/>
        <w:spacing w:after="140" w:before="280"/>
      </w:pPr>
      <w:r>
        <w:t xml:space="preserve">Generated tests can be trivially true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Solved by the assertion-quality check built into the Day 2 verify/iterate loop, treated as load-bearing rather than a nice-to-have polish step. This is the single most important piece of code in the whole project.</w:t>
      </w:r>
    </w:p>
    <w:p>
      <w:pPr>
        <w:pStyle w:val="Heading2"/>
        <w:spacing w:after="140" w:before="280"/>
      </w:pPr>
      <w:r>
        <w:t xml:space="preserve">Coverage gain looks hollow on thin wrapper modules</w:t>
      </w:r>
    </w:p>
    <w:p>
      <w:pPr>
        <w:spacing w:after="160" w:line="276"/>
      </w:pPr>
      <w:r>
        <w:rPr>
          <w:rFonts w:ascii="Calibri" w:cs="Calibri" w:eastAsia="Calibri" w:hAnsi="Calibri"/>
          <w:sz w:val="22"/>
          <w:szCs w:val="22"/>
        </w:rPr>
        <w:t xml:space="preserve">Solved by the Hour 1–5 module selection step: modules with genuine branching logic are chosen before any code is written, rather than defaulting to whatever happens to be convenient.</w:t>
      </w:r>
    </w:p>
    <w:p>
      <w:pPr>
        <w:spacing w:after="120"/>
      </w:pPr>
    </w:p>
    <w:p>
      <w:pPr>
        <w:pBdr>
          <w:top w:val="single" w:color="CCCCCC" w:sz="6"/>
        </w:pBdr>
        <w:spacing w:before="300"/>
      </w:pPr>
      <w:r>
        <w:rPr>
          <w:rFonts w:ascii="Calibri" w:cs="Calibri" w:eastAsia="Calibri" w:hAnsi="Calibri"/>
          <w:i/>
          <w:iCs/>
          <w:color w:val="666666"/>
          <w:sz w:val="18"/>
          <w:szCs w:val="18"/>
        </w:rPr>
        <w:t xml:space="preserve">Prepared for the i3 Academy Hackathon Team | i3 Technologies | August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Calibri" w:cs="Calibri" w:eastAsia="Calibri" w:hAnsi="Calibri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30" w:before="260"/>
    </w:pPr>
    <w:rPr>
      <w:rFonts w:ascii="Calibri" w:cs="Calibri" w:eastAsia="Calibri" w:hAnsi="Calibri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2026-08-25T10:34:17.319Z</dcterms:created>
  <dcterms:modified xsi:type="dcterms:W3CDTF">2026-08-25T10:34:17.320Z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