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C08A2E"/>
          <w:spacing w:val="40"/>
          <w:sz w:val="24"/>
          <w:szCs w:val="24"/>
        </w:rPr>
        <w:t xml:space="preserve">i3 ACADEMY</w:t>
      </w:r>
    </w:p>
    <w:p>
      <w:pPr>
        <w:spacing w:after="0" w:before="120"/>
        <w:jc w:val="center"/>
      </w:pPr>
      <w:r>
        <w:rPr>
          <w:rFonts w:ascii="Calibri" w:cs="Calibri" w:eastAsia="Calibri" w:hAnsi="Calibri"/>
          <w:b/>
          <w:bCs/>
          <w:color w:val="1B2A4A"/>
          <w:sz w:val="56"/>
          <w:szCs w:val="56"/>
        </w:rPr>
        <w:t xml:space="preserve">IBM TechXchange 2026</w:t>
      </w:r>
    </w:p>
    <w:p>
      <w:pPr>
        <w:spacing w:after="0" w:before="40"/>
        <w:jc w:val="center"/>
      </w:pPr>
      <w:r>
        <w:rPr>
          <w:rFonts w:ascii="Calibri" w:cs="Calibri" w:eastAsia="Calibri" w:hAnsi="Calibri"/>
          <w:b/>
          <w:bCs/>
          <w:color w:val="0E7C86"/>
          <w:sz w:val="34"/>
          <w:szCs w:val="34"/>
        </w:rPr>
        <w:t xml:space="preserve">Pre-Conference Dev Day Hackathon</w:t>
      </w:r>
    </w:p>
    <w:p>
      <w:pPr>
        <w:spacing w:before="200"/>
        <w:jc w:val="center"/>
      </w:pPr>
      <w:r>
        <w:rPr>
          <w:rFonts w:ascii="Calibri" w:cs="Calibri" w:eastAsia="Calibri" w:hAnsi="Calibri"/>
          <w:i/>
          <w:iCs/>
          <w:color w:val="44515F"/>
          <w:sz w:val="24"/>
          <w:szCs w:val="24"/>
        </w:rPr>
        <w:t xml:space="preserve">Bootcamp Team Briefing — Build with Purpose using IBM Bob 2.0</w:t>
      </w:r>
    </w:p>
    <w:p>
      <w:pPr>
        <w:spacing w:before="60"/>
        <w:jc w:val="center"/>
      </w:pPr>
      <w:r>
        <w:rPr>
          <w:rFonts w:ascii="Calibri" w:cs="Calibri" w:eastAsia="Calibri" w:hAnsi="Calibri"/>
          <w:color w:val="44515F"/>
          <w:sz w:val="22"/>
          <w:szCs w:val="22"/>
        </w:rPr>
        <w:t xml:space="preserve">Detailed Project Preview Report</w:t>
      </w:r>
    </w:p>
    <w:p>
      <w:pPr>
        <w:spacing w:before="900"/>
        <w:jc w:val="center"/>
      </w:pPr>
      <w:r>
        <w:rPr>
          <w:rFonts w:ascii="Calibri" w:cs="Calibri" w:eastAsia="Calibri" w:hAnsi="Calibri"/>
          <w:b/>
          <w:bCs/>
          <w:color w:val="1B2A4A"/>
          <w:sz w:val="24"/>
          <w:szCs w:val="24"/>
        </w:rPr>
        <w:t xml:space="preserve">August 28–30, 2026</w:t>
      </w:r>
    </w:p>
    <w:p>
      <w:pPr>
        <w:spacing w:before="60"/>
        <w:jc w:val="center"/>
      </w:pPr>
      <w:r>
        <w:rPr>
          <w:rFonts w:ascii="Calibri" w:cs="Calibri" w:eastAsia="Calibri" w:hAnsi="Calibri"/>
          <w:color w:val="44515F"/>
          <w:sz w:val="22"/>
          <w:szCs w:val="22"/>
        </w:rPr>
        <w:t xml:space="preserve">i3 Technologies  |  i3 Academy</w:t>
      </w:r>
    </w:p>
    <w:p>
      <w:pPr>
        <w:spacing w:before="20"/>
        <w:jc w:val="center"/>
      </w:pPr>
      <w:r>
        <w:rPr>
          <w:rFonts w:ascii="Calibri" w:cs="Calibri" w:eastAsia="Calibri" w:hAnsi="Calibri"/>
          <w:i/>
          <w:iCs/>
          <w:color w:val="44515F"/>
          <w:sz w:val="20"/>
          <w:szCs w:val="20"/>
        </w:rPr>
        <w:t xml:space="preserve">IBM Silver Business Partner</w:t>
      </w:r>
    </w:p>
    <w:p>
      <w:r>
        <w:br w:type="page"/>
      </w:r>
    </w:p>
    <w:p>
      <w:pPr>
        <w:sectPr>
          <w:pgSz w:w="12240" w:h="15840" w:orient="portrait"/>
          <w:pgMar w:top="1080" w:right="1440" w:bottom="1080" w:left="1440" w:header="708" w:footer="708" w:gutter="0"/>
          <w:pgNumType/>
          <w:docGrid w:linePitch="360"/>
        </w:sectPr>
      </w:pPr>
    </w:p>
    <w:p>
      <w:pPr>
        <w:pStyle w:val="Heading1"/>
        <w:pBdr>
          <w:bottom w:val="single" w:color="0E7C86" w:sz="8" w:space="6"/>
        </w:pBdr>
        <w:spacing w:after="200" w:before="480"/>
      </w:pPr>
      <w:r>
        <w:rPr>
          <w:rFonts w:ascii="Calibri" w:cs="Calibri" w:eastAsia="Calibri" w:hAnsi="Calibri"/>
          <w:b/>
          <w:bCs/>
          <w:color w:val="1B2A4A"/>
          <w:sz w:val="30"/>
          <w:szCs w:val="30"/>
        </w:rPr>
        <w:t xml:space="preserve">1. Briefing Overview</w:t>
      </w:r>
    </w:p>
    <w:p>
      <w:pPr>
        <w:pStyle w:val="Heading2"/>
        <w:spacing w:after="140" w:before="320"/>
      </w:pPr>
      <w:r>
        <w:rPr>
          <w:rFonts w:ascii="Calibri" w:cs="Calibri" w:eastAsia="Calibri" w:hAnsi="Calibri"/>
          <w:b/>
          <w:bCs/>
          <w:color w:val="0E7C86"/>
          <w:sz w:val="24"/>
          <w:szCs w:val="24"/>
        </w:rPr>
        <w:t xml:space="preserve">The Challenge</w:t>
      </w:r>
    </w:p>
    <w:p>
      <w:pPr>
        <w:spacing w:after="160"/>
      </w:pPr>
      <w:r>
        <w:rPr>
          <w:rFonts w:ascii="Calibri" w:cs="Calibri" w:eastAsia="Calibri" w:hAnsi="Calibri"/>
          <w:b/>
          <w:bCs/>
          <w:i/>
          <w:iCs/>
          <w:color w:val="1B2A4A"/>
          <w:sz w:val="22"/>
          <w:szCs w:val="22"/>
        </w:rPr>
        <w:t xml:space="preserve">“Build with purpose using IBM Bob 2.0.”</w:t>
      </w:r>
    </w:p>
    <w:p>
      <w:pPr>
        <w:spacing w:after="200"/>
      </w:pPr>
      <w:r>
        <w:rPr>
          <w:rFonts w:ascii="Calibri" w:cs="Calibri" w:eastAsia="Calibri" w:hAnsi="Calibri"/>
          <w:color w:val="44515F"/>
          <w:sz w:val="21"/>
          <w:szCs w:val="21"/>
        </w:rPr>
        <w:t xml:space="preserve">Teams must improve one specific developer workflow with a working prototype. Judges are looking for a clearly defined problem, a real solution built on IBM Bob 2.0, and measurable impact — not a broad, unfocused demo.</w:t>
      </w:r>
    </w:p>
    <w:p>
      <w:pPr>
        <w:spacing w:after="60" w:before="100"/>
      </w:pPr>
      <w:r>
        <w:rPr>
          <w:rFonts w:ascii="Calibri" w:cs="Calibri" w:eastAsia="Calibri" w:hAnsi="Calibri"/>
          <w:b/>
          <w:bCs/>
          <w:color w:val="1B2A4A"/>
          <w:sz w:val="21"/>
          <w:szCs w:val="21"/>
        </w:rPr>
        <w:t xml:space="preserve">Target SDLC Areas (pick ONE):   </w:t>
      </w:r>
      <w:r>
        <w:rPr>
          <w:rFonts w:ascii="Calibri" w:cs="Calibri" w:eastAsia="Calibri" w:hAnsi="Calibri"/>
          <w:color w:val="44515F"/>
          <w:sz w:val="21"/>
          <w:szCs w:val="21"/>
        </w:rPr>
        <w:t xml:space="preserve">Onboarding · Debugging · Code Review · Testing · Application Maintenance · Release &amp; Deployment</w:t>
      </w:r>
    </w:p>
    <w:p>
      <w:pPr>
        <w:pStyle w:val="Heading2"/>
        <w:spacing w:after="140" w:before="320"/>
      </w:pPr>
      <w:r>
        <w:rPr>
          <w:rFonts w:ascii="Calibri" w:cs="Calibri" w:eastAsia="Calibri" w:hAnsi="Calibri"/>
          <w:b/>
          <w:bCs/>
          <w:color w:val="0E7C86"/>
          <w:sz w:val="24"/>
          <w:szCs w:val="24"/>
        </w:rPr>
        <w:t xml:space="preserve">Key Dates &amp; Format</w:t>
      </w:r>
    </w:p>
    <w:tbl>
      <w:tblPr>
        <w:tblW w:type="dxa" w:w="9350"/>
        <w:tblBorders>
          <w:top w:val="single" w:color="D8DEE3" w:sz="4"/>
          <w:left w:val="none" w:color="FFFFFF" w:sz="0"/>
          <w:bottom w:val="single" w:color="D8DEE3" w:sz="4"/>
          <w:right w:val="none" w:color="FFFFFF" w:sz="0"/>
          <w:insideH w:val="single" w:color="D8DEE3" w:sz="4"/>
          <w:insideV w:val="none" w:color="FFFFFF" w:sz="0"/>
        </w:tblBorders>
      </w:tblPr>
      <w:tblGrid>
        <w:gridCol w:w="2400"/>
        <w:gridCol w:w="6950"/>
      </w:tblGrid>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Contest window</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August 28, 10:00 AM ET  →  August 30, 10:00 AM ET. Work may happen any time within the window; late entries risk full-team disqualification.</w:t>
            </w:r>
          </w:p>
        </w:tc>
      </w:tr>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Team size</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Individual entrants or teams of up to 5. One entry per team, one team per participant — assign a Team Lead as point of contact.</w:t>
            </w:r>
          </w:p>
        </w:tc>
      </w:tr>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Deliverables</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Video demo of the solution and how IBM Bob was used; written problem and solution statements; written statement on Bob 2.0 usage; working code repo or PoC evidence, including an exported IBM Bob task/session report.</w:t>
            </w:r>
          </w:p>
        </w:tc>
      </w:tr>
    </w:tbl>
    <w:p>
      <w:pPr>
        <w:pStyle w:val="Heading2"/>
        <w:spacing w:after="140" w:before="320"/>
      </w:pPr>
      <w:r>
        <w:rPr>
          <w:rFonts w:ascii="Calibri" w:cs="Calibri" w:eastAsia="Calibri" w:hAnsi="Calibri"/>
          <w:b/>
          <w:bCs/>
          <w:color w:val="0E7C86"/>
          <w:sz w:val="24"/>
          <w:szCs w:val="24"/>
        </w:rPr>
        <w:t xml:space="preserve">IBM Bob 2.0 Capabilities to Showcase</w:t>
      </w:r>
    </w:p>
    <w:p>
      <w:pPr>
        <w:spacing w:after="160"/>
      </w:pPr>
      <w:r>
        <w:rPr>
          <w:rFonts w:ascii="Calibri" w:cs="Calibri" w:eastAsia="Calibri" w:hAnsi="Calibri"/>
          <w:color w:val="44515F"/>
          <w:sz w:val="21"/>
          <w:szCs w:val="21"/>
        </w:rPr>
        <w:t xml:space="preserve">Judges reward teams who show AI transforming an entire workflow — not just autocompleting a function.</w:t>
      </w:r>
    </w:p>
    <w:p>
      <w:pPr>
        <w:pStyle w:val="ListParagraph"/>
        <w:numPr>
          <w:ilvl w:val="0"/>
          <w:numId w:val="2"/>
        </w:numPr>
        <w:spacing w:after="40"/>
      </w:pPr>
      <w:r>
        <w:rPr>
          <w:rFonts w:ascii="Calibri" w:cs="Calibri" w:eastAsia="Calibri" w:hAnsi="Calibri"/>
          <w:color w:val="44515F"/>
          <w:sz w:val="21"/>
          <w:szCs w:val="21"/>
        </w:rPr>
        <w:t xml:space="preserve">Agent Mode — autonomous multi-step task execution: plan, act, verify, and iterate without a prompt for every step.</w:t>
      </w:r>
    </w:p>
    <w:p>
      <w:pPr>
        <w:pStyle w:val="ListParagraph"/>
        <w:numPr>
          <w:ilvl w:val="0"/>
          <w:numId w:val="2"/>
        </w:numPr>
        <w:spacing w:after="40"/>
      </w:pPr>
      <w:r>
        <w:rPr>
          <w:rFonts w:ascii="Calibri" w:cs="Calibri" w:eastAsia="Calibri" w:hAnsi="Calibri"/>
          <w:color w:val="44515F"/>
          <w:sz w:val="21"/>
          <w:szCs w:val="21"/>
        </w:rPr>
        <w:t xml:space="preserve">Subagents / Parallel Tasks — split a workflow across specialized agents running concurrently, e.g. one reviews security, one checks style, one runs tests.</w:t>
      </w:r>
    </w:p>
    <w:p>
      <w:pPr>
        <w:pStyle w:val="ListParagraph"/>
        <w:numPr>
          <w:ilvl w:val="0"/>
          <w:numId w:val="2"/>
        </w:numPr>
        <w:spacing w:after="40"/>
      </w:pPr>
      <w:r>
        <w:rPr>
          <w:rFonts w:ascii="Calibri" w:cs="Calibri" w:eastAsia="Calibri" w:hAnsi="Calibri"/>
          <w:color w:val="44515F"/>
          <w:sz w:val="21"/>
          <w:szCs w:val="21"/>
        </w:rPr>
        <w:t xml:space="preserve">Document Understanding — ingest READMEs, tickets, design docs, and specs to ground the agent in real project context before it acts.</w:t>
      </w:r>
    </w:p>
    <w:p>
      <w:pPr>
        <w:pStyle w:val="Heading2"/>
        <w:spacing w:after="140" w:before="320"/>
      </w:pPr>
      <w:r>
        <w:rPr>
          <w:rFonts w:ascii="Calibri" w:cs="Calibri" w:eastAsia="Calibri" w:hAnsi="Calibri"/>
          <w:b/>
          <w:bCs/>
          <w:color w:val="0E7C86"/>
          <w:sz w:val="24"/>
          <w:szCs w:val="24"/>
        </w:rPr>
        <w:t xml:space="preserve">Judging Criteria</w:t>
      </w:r>
    </w:p>
    <w:p>
      <w:pPr>
        <w:spacing w:after="140"/>
      </w:pPr>
      <w:r>
        <w:rPr>
          <w:rFonts w:ascii="Calibri" w:cs="Calibri" w:eastAsia="Calibri" w:hAnsi="Calibri"/>
          <w:color w:val="44515F"/>
          <w:sz w:val="21"/>
          <w:szCs w:val="21"/>
        </w:rPr>
        <w:t xml:space="preserve">20 points total, scored by a panel of judges. A minimum of 12.5 points is required for prize consideration.</w:t>
      </w:r>
    </w:p>
    <w:p>
      <w:pPr>
        <w:pStyle w:val="ListParagraph"/>
        <w:numPr>
          <w:ilvl w:val="0"/>
          <w:numId w:val="2"/>
        </w:numPr>
        <w:spacing w:after="40"/>
      </w:pPr>
      <w:r>
        <w:rPr>
          <w:rFonts w:ascii="Calibri" w:cs="Calibri" w:eastAsia="Calibri" w:hAnsi="Calibri"/>
          <w:color w:val="44515F"/>
          <w:sz w:val="21"/>
          <w:szCs w:val="21"/>
        </w:rPr>
        <w:t xml:space="preserve">Completeness &amp; Feasibility (5 pts) — does the prototype actually work end to end?</w:t>
      </w:r>
    </w:p>
    <w:p>
      <w:pPr>
        <w:pStyle w:val="ListParagraph"/>
        <w:numPr>
          <w:ilvl w:val="0"/>
          <w:numId w:val="2"/>
        </w:numPr>
        <w:spacing w:after="40"/>
      </w:pPr>
      <w:r>
        <w:rPr>
          <w:rFonts w:ascii="Calibri" w:cs="Calibri" w:eastAsia="Calibri" w:hAnsi="Calibri"/>
          <w:color w:val="44515F"/>
          <w:sz w:val="21"/>
          <w:szCs w:val="21"/>
        </w:rPr>
        <w:t xml:space="preserve">Effectiveness &amp; Efficiency (5 pts) — does it measurably save time, reduce errors, or cut effort?</w:t>
      </w:r>
    </w:p>
    <w:p>
      <w:pPr>
        <w:pStyle w:val="ListParagraph"/>
        <w:numPr>
          <w:ilvl w:val="0"/>
          <w:numId w:val="2"/>
        </w:numPr>
        <w:spacing w:after="40"/>
      </w:pPr>
      <w:r>
        <w:rPr>
          <w:rFonts w:ascii="Calibri" w:cs="Calibri" w:eastAsia="Calibri" w:hAnsi="Calibri"/>
          <w:color w:val="44515F"/>
          <w:sz w:val="21"/>
          <w:szCs w:val="21"/>
        </w:rPr>
        <w:t xml:space="preserve">Design &amp; Usability (5 pts) — is it polished, intuitive, and easy to understand?</w:t>
      </w:r>
    </w:p>
    <w:p>
      <w:pPr>
        <w:pStyle w:val="ListParagraph"/>
        <w:numPr>
          <w:ilvl w:val="0"/>
          <w:numId w:val="2"/>
        </w:numPr>
        <w:spacing w:after="40"/>
      </w:pPr>
      <w:r>
        <w:rPr>
          <w:rFonts w:ascii="Calibri" w:cs="Calibri" w:eastAsia="Calibri" w:hAnsi="Calibri"/>
          <w:color w:val="44515F"/>
          <w:sz w:val="21"/>
          <w:szCs w:val="21"/>
        </w:rPr>
        <w:t xml:space="preserve">Creativity &amp; Innovation (5 pts) — does it use Bob 2.0 in a genuinely novel way?</w:t>
      </w:r>
    </w:p>
    <w:p>
      <w:pPr>
        <w:pStyle w:val="Heading2"/>
        <w:spacing w:after="140" w:before="320"/>
      </w:pPr>
      <w:r>
        <w:rPr>
          <w:rFonts w:ascii="Calibri" w:cs="Calibri" w:eastAsia="Calibri" w:hAnsi="Calibri"/>
          <w:b/>
          <w:bCs/>
          <w:color w:val="0E7C86"/>
          <w:sz w:val="24"/>
          <w:szCs w:val="24"/>
        </w:rPr>
        <w:t xml:space="preserve">Prizes &amp; Recognition</w:t>
      </w:r>
    </w:p>
    <w:tbl>
      <w:tblPr>
        <w:tblW w:type="dxa" w:w="9350"/>
        <w:tblBorders>
          <w:top w:val="single" w:color="D8DEE3" w:sz="4"/>
          <w:left w:val="none" w:color="FFFFFF" w:sz="0"/>
          <w:bottom w:val="single" w:color="D8DEE3" w:sz="4"/>
          <w:right w:val="none" w:color="FFFFFF" w:sz="0"/>
          <w:insideH w:val="single" w:color="D8DEE3" w:sz="4"/>
          <w:insideV w:val="none" w:color="FFFFFF" w:sz="0"/>
        </w:tblBorders>
      </w:tblPr>
      <w:tblGrid>
        <w:gridCol w:w="2400"/>
        <w:gridCol w:w="6950"/>
      </w:tblGrid>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Top 50 teams</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1 ticket per team member to IBM TechXchange 2026, Atlanta (Oct 26–29). Travel &amp; lodging not included.</w:t>
            </w:r>
          </w:p>
        </w:tc>
      </w:tr>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1st Place</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$2,000 USD + full travel &amp; lodging to TechXchange 2026.</w:t>
            </w:r>
          </w:p>
        </w:tc>
      </w:tr>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2nd Place</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$1,000 USD, distributed by BeMyApp.</w:t>
            </w:r>
          </w:p>
        </w:tc>
      </w:tr>
      <w:tr>
        <w:tc>
          <w:tcPr>
            <w:tcW w:type="dxa" w:w="2400"/>
            <w:shd w:fill="F2F5F7" w:val="clear"/>
            <w:tcMar>
              <w:top w:type="dxa" w:w="90"/>
              <w:left w:type="dxa" w:w="120"/>
              <w:bottom w:type="dxa" w:w="90"/>
              <w:right w:type="dxa" w:w="80"/>
            </w:tcMar>
            <w:vAlign w:val="center"/>
          </w:tcPr>
          <w:p>
            <w:r>
              <w:rPr>
                <w:rFonts w:ascii="Calibri" w:cs="Calibri" w:eastAsia="Calibri" w:hAnsi="Calibri"/>
                <w:b/>
                <w:bCs/>
                <w:color w:val="1B2A4A"/>
                <w:sz w:val="20"/>
                <w:szCs w:val="20"/>
              </w:rPr>
              <w:t xml:space="preserve">3rd Place</w:t>
            </w:r>
          </w:p>
        </w:tc>
        <w:tc>
          <w:tcPr>
            <w:tcW w:type="dxa" w:w="6950"/>
            <w:tcMar>
              <w:top w:type="dxa" w:w="90"/>
              <w:left w:type="dxa" w:w="120"/>
              <w:bottom w:type="dxa" w:w="90"/>
              <w:right w:type="dxa" w:w="80"/>
            </w:tcMar>
            <w:vAlign w:val="center"/>
          </w:tcPr>
          <w:p>
            <w:r>
              <w:rPr>
                <w:rFonts w:ascii="Calibri" w:cs="Calibri" w:eastAsia="Calibri" w:hAnsi="Calibri"/>
                <w:color w:val="44515F"/>
                <w:sz w:val="20"/>
                <w:szCs w:val="20"/>
              </w:rPr>
              <w:t xml:space="preserve">$500 USD, distributed by BeMyApp.</w:t>
            </w:r>
          </w:p>
        </w:tc>
      </w:tr>
    </w:tbl>
    <w:p>
      <w:r>
        <w:br w:type="page"/>
      </w:r>
    </w:p>
    <w:p>
      <w:pPr>
        <w:pStyle w:val="Heading1"/>
        <w:pBdr>
          <w:bottom w:val="single" w:color="0E7C86" w:sz="8" w:space="6"/>
        </w:pBdr>
        <w:spacing w:after="200" w:before="480"/>
      </w:pPr>
      <w:r>
        <w:rPr>
          <w:rFonts w:ascii="Calibri" w:cs="Calibri" w:eastAsia="Calibri" w:hAnsi="Calibri"/>
          <w:b/>
          <w:bCs/>
          <w:color w:val="1B2A4A"/>
          <w:sz w:val="30"/>
          <w:szCs w:val="30"/>
        </w:rPr>
        <w:t xml:space="preserve">2. Detailed Project Previews</w:t>
      </w:r>
    </w:p>
    <w:p>
      <w:pPr>
        <w:spacing w:after="200"/>
      </w:pPr>
      <w:r>
        <w:rPr>
          <w:rFonts w:ascii="Calibri" w:cs="Calibri" w:eastAsia="Calibri" w:hAnsi="Calibri"/>
          <w:color w:val="44515F"/>
          <w:sz w:val="21"/>
          <w:szCs w:val="21"/>
        </w:rPr>
        <w:t xml:space="preserve">Twelve ready-to-build concepts, each targeting one required SDLC area and showcasing Agent Mode, subagents, and/or document understanding. Teams should pick ONE and go deep rather than spreading across multiple workflows. Each preview below expands the source concept into a problem statement, a suggested build approach, the Bob 2.0 capabilities it is best suited to showcase, a demo focus, and a sample measurable-impact metric aligned to the judging criteria.</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01</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Codebase Onboarding Agent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ONBOARDING</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New engineers routinely lose their first one to two weeks piecing together tribal knowledge scattered across READMEs, wikis, architecture docs, and old tickets, with no single, current view of how the codebase actually works.</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agent ingests the repository's documentation set, ticket history, and design docs, then reasons over that context to generate a personalized ramp-up plan sequenced to the new hire's role — covering setup, key modules to read first, and a first-week task list.</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Document Understanding to ground the plan in real project artifacts rather than generic onboarding advice.</w:t>
      </w:r>
    </w:p>
    <w:p>
      <w:pPr>
        <w:pStyle w:val="ListParagraph"/>
        <w:numPr>
          <w:ilvl w:val="0"/>
          <w:numId w:val="2"/>
        </w:numPr>
        <w:spacing w:after="40"/>
      </w:pPr>
      <w:r>
        <w:rPr>
          <w:rFonts w:ascii="Calibri" w:cs="Calibri" w:eastAsia="Calibri" w:hAnsi="Calibri"/>
          <w:color w:val="44515F"/>
          <w:sz w:val="21"/>
          <w:szCs w:val="21"/>
        </w:rPr>
        <w:t xml:space="preserve">Agent Mode to plan the ramp-up sequence, verify each step is achievable, and adjust based on what it finds in the repo.</w:t>
      </w:r>
    </w:p>
    <w:p>
      <w:pPr>
        <w:pStyle w:val="ListParagraph"/>
        <w:numPr>
          <w:ilvl w:val="0"/>
          <w:numId w:val="2"/>
        </w:numPr>
        <w:spacing w:after="40"/>
      </w:pPr>
      <w:r>
        <w:rPr>
          <w:rFonts w:ascii="Calibri" w:cs="Calibri" w:eastAsia="Calibri" w:hAnsi="Calibri"/>
          <w:color w:val="44515F"/>
          <w:sz w:val="21"/>
          <w:szCs w:val="21"/>
        </w:rPr>
        <w:t xml:space="preserve">Optional subagents to research different areas of the codebase (backend, frontend, infra) in parallel and merge findings into one plan.</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Show a before/after: a blank new-hire checklist versus a generated, repo-specific ramp-up plan produced in minutes from real project documents.</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Time-to-first-commit or time-to-first-PR for a simulated new hire, measured with and without the agent.</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02</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Parallel PR Review Assistant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CODE REVIEW</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Thorough PR review means checking style, security, and test coverage every time, but reviewers rarely have time to do all three well before approving — something gets skimmed.</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Three subagents run concurrently against the same pull request — one focused on style and conventions, one on security patterns, one on test coverage — and their findings are merged into a single structured review comment.</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Subagents / Parallel Tasks to split the review across specialized reviewers running at the same time rather than sequentially.</w:t>
      </w:r>
    </w:p>
    <w:p>
      <w:pPr>
        <w:pStyle w:val="ListParagraph"/>
        <w:numPr>
          <w:ilvl w:val="0"/>
          <w:numId w:val="2"/>
        </w:numPr>
        <w:spacing w:after="40"/>
      </w:pPr>
      <w:r>
        <w:rPr>
          <w:rFonts w:ascii="Calibri" w:cs="Calibri" w:eastAsia="Calibri" w:hAnsi="Calibri"/>
          <w:color w:val="44515F"/>
          <w:sz w:val="21"/>
          <w:szCs w:val="21"/>
        </w:rPr>
        <w:t xml:space="preserve">Agent Mode to act on findings — e.g. flag, suggest a fix, or open follow-up items.</w:t>
      </w:r>
    </w:p>
    <w:p>
      <w:pPr>
        <w:pStyle w:val="ListParagraph"/>
        <w:numPr>
          <w:ilvl w:val="0"/>
          <w:numId w:val="2"/>
        </w:numPr>
        <w:spacing w:after="40"/>
      </w:pPr>
      <w:r>
        <w:rPr>
          <w:rFonts w:ascii="Calibri" w:cs="Calibri" w:eastAsia="Calibri" w:hAnsi="Calibri"/>
          <w:color w:val="44515F"/>
          <w:sz w:val="21"/>
          <w:szCs w:val="21"/>
        </w:rPr>
        <w:t xml:space="preserve">Document Understanding to apply the team's own style guide or contribution rules rather than generic conventions.</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Run the assistant live against a sample pull request and show the three review lanes completing in parallel, then the merged summary comment.</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Total review turnaround time and number of review passes needed before merge, compared to a single sequential reviewer.</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03</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Bug-to-Fix Debugging Agent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DEBUGGING</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Debugging is a slow, manual loop of reproduce, trace, patch, and retest — and context gets lost every time an engineer is interrupted mid-investigation.</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Given a bug report, the agent reproduces the failure, traces it to its root cause, proposes and applies a patch, and reruns the relevant tests to confirm the fix — all within one autonomous Agent Mode session.</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Agent Mode to run the full plan → act → verify → iterate loop without a prompt at every step.</w:t>
      </w:r>
    </w:p>
    <w:p>
      <w:pPr>
        <w:pStyle w:val="ListParagraph"/>
        <w:numPr>
          <w:ilvl w:val="0"/>
          <w:numId w:val="2"/>
        </w:numPr>
        <w:spacing w:after="40"/>
      </w:pPr>
      <w:r>
        <w:rPr>
          <w:rFonts w:ascii="Calibri" w:cs="Calibri" w:eastAsia="Calibri" w:hAnsi="Calibri"/>
          <w:color w:val="44515F"/>
          <w:sz w:val="21"/>
          <w:szCs w:val="21"/>
        </w:rPr>
        <w:t xml:space="preserve">Document Understanding to read the original bug ticket and any linked logs or specs for context.</w:t>
      </w:r>
    </w:p>
    <w:p>
      <w:pPr>
        <w:pStyle w:val="ListParagraph"/>
        <w:numPr>
          <w:ilvl w:val="0"/>
          <w:numId w:val="2"/>
        </w:numPr>
        <w:spacing w:after="40"/>
      </w:pPr>
      <w:r>
        <w:rPr>
          <w:rFonts w:ascii="Calibri" w:cs="Calibri" w:eastAsia="Calibri" w:hAnsi="Calibri"/>
          <w:color w:val="44515F"/>
          <w:sz w:val="21"/>
          <w:szCs w:val="21"/>
        </w:rPr>
        <w:t xml:space="preserve">Session/task reporting to produce an auditable record of exactly what the agent tried and changed.</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Seed a known bug, then let the agent work the full loop live — reproduce, trace, patch, and pass tests — with the exported session report as evidence.</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Time from bug report to verified fix, and number of manual debugging steps eliminated.</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04</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Test Coverage Generator</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TESTING</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Legacy or fast-moving modules often ship with thin test coverage because writing comprehensive unit and integration tests by hand doesn't keep pace with delivery.</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codebase is split by module, and a subagent is assigned to each one to generate unit and integration tests in parallel, after which the team gets a single coverage report showing the gain achieved.</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Subagents / Parallel Tasks to generate tests for multiple modules simultaneously instead of one at a time.</w:t>
      </w:r>
    </w:p>
    <w:p>
      <w:pPr>
        <w:pStyle w:val="ListParagraph"/>
        <w:numPr>
          <w:ilvl w:val="0"/>
          <w:numId w:val="2"/>
        </w:numPr>
        <w:spacing w:after="40"/>
      </w:pPr>
      <w:r>
        <w:rPr>
          <w:rFonts w:ascii="Calibri" w:cs="Calibri" w:eastAsia="Calibri" w:hAnsi="Calibri"/>
          <w:color w:val="44515F"/>
          <w:sz w:val="21"/>
          <w:szCs w:val="21"/>
        </w:rPr>
        <w:t xml:space="preserve">Agent Mode to run the generated tests, verify they pass and are meaningful, and iterate on failures.</w:t>
      </w:r>
    </w:p>
    <w:p>
      <w:pPr>
        <w:pStyle w:val="ListParagraph"/>
        <w:numPr>
          <w:ilvl w:val="0"/>
          <w:numId w:val="2"/>
        </w:numPr>
        <w:spacing w:after="40"/>
      </w:pPr>
      <w:r>
        <w:rPr>
          <w:rFonts w:ascii="Calibri" w:cs="Calibri" w:eastAsia="Calibri" w:hAnsi="Calibri"/>
          <w:color w:val="44515F"/>
          <w:sz w:val="21"/>
          <w:szCs w:val="21"/>
        </w:rPr>
        <w:t xml:space="preserve">Document Understanding to infer expected behaviour from existing specs or docstrings where present.</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Show the coverage percentage for a target module before the run, then after, with the generated test files visible.</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Percentage-point increase in test coverage for the target module(s), and time taken versus manual test writing.</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05</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Legacy Docs Recovery Agent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MAINTENANCE</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Older systems frequently have no current documentation — only a trail of old tickets, chat threads, and design docs that no one has time to reconcile into something usable.</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agent ingests that scattered historical record and synthesizes it into current, structured runbooks and technical documentation that reflects how the system actually behaves today.</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Document Understanding to read and reconcile tickets, design docs, and other historical artifacts at scale.</w:t>
      </w:r>
    </w:p>
    <w:p>
      <w:pPr>
        <w:pStyle w:val="ListParagraph"/>
        <w:numPr>
          <w:ilvl w:val="0"/>
          <w:numId w:val="2"/>
        </w:numPr>
        <w:spacing w:after="40"/>
      </w:pPr>
      <w:r>
        <w:rPr>
          <w:rFonts w:ascii="Calibri" w:cs="Calibri" w:eastAsia="Calibri" w:hAnsi="Calibri"/>
          <w:color w:val="44515F"/>
          <w:sz w:val="21"/>
          <w:szCs w:val="21"/>
        </w:rPr>
        <w:t xml:space="preserve">Agent Mode to organize the synthesized material into a coherent runbook structure and flag contradictions for human review.</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Point the agent at a genuinely undocumented (or sparsely documented) module and show a structured runbook generated from its history.</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Reduction in time a maintainer needs to understand the module, and number of source documents successfully reconciled.</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06</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Release Readiness Checker</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RELEASE &amp; DEPLOYMENT</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Release checklists — tests passing, changelog complete, migrations verified — are easy to skip under deadline pressure, and manually drafting release notes is repetitive.</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agent verifies each item on a release checklist against the current state of the repo, flags anything incomplete, and auto-drafts release notes from the merged changes.</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Agent Mode to work through the checklist end to end, verifying rather than just listing items.</w:t>
      </w:r>
    </w:p>
    <w:p>
      <w:pPr>
        <w:pStyle w:val="ListParagraph"/>
        <w:numPr>
          <w:ilvl w:val="0"/>
          <w:numId w:val="2"/>
        </w:numPr>
        <w:spacing w:after="40"/>
      </w:pPr>
      <w:r>
        <w:rPr>
          <w:rFonts w:ascii="Calibri" w:cs="Calibri" w:eastAsia="Calibri" w:hAnsi="Calibri"/>
          <w:color w:val="44515F"/>
          <w:sz w:val="21"/>
          <w:szCs w:val="21"/>
        </w:rPr>
        <w:t xml:space="preserve">Document Understanding to read commit history, PR descriptions, and changelog conventions to draft accurate notes.</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Run the checker against a release branch and show it catching a genuinely missing checklist item, then producing draft release notes.</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Number of release-blocking issues caught before deployment, and time saved drafting release notes manually.</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07</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Interactive Onboarding Chatbot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ONBOARDING</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A static ramp-up plan answers the questions a mentor anticipated — but new engineers usually have follow-up questions a document can't answer.</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A conversational assistant that can be asked anything about the codebase, wiki, or open tickets, answering from the same underlying project context in real time rather than pointing back to a static document.</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Document Understanding to ground answers in the actual codebase, wiki, and tickets rather than generic advice.</w:t>
      </w:r>
    </w:p>
    <w:p>
      <w:pPr>
        <w:pStyle w:val="ListParagraph"/>
        <w:numPr>
          <w:ilvl w:val="0"/>
          <w:numId w:val="2"/>
        </w:numPr>
        <w:spacing w:after="40"/>
      </w:pPr>
      <w:r>
        <w:rPr>
          <w:rFonts w:ascii="Calibri" w:cs="Calibri" w:eastAsia="Calibri" w:hAnsi="Calibri"/>
          <w:color w:val="44515F"/>
          <w:sz w:val="21"/>
          <w:szCs w:val="21"/>
        </w:rPr>
        <w:t xml:space="preserve">Agent Mode to chain follow-up actions — e.g. pull the relevant file or open ticket when asked.</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Live Q&amp;A against the chatbot with questions a real new hire would ask, showing answers grounded in the actual repo.</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Number of onboarding questions resolved without escalating to a human mentor, and response accuracy.</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08</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Security &amp; Vulnerability Patch Agent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CODE REVIEW</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Dependency and code-level vulnerabilities are easy to miss during ordinary review, and manually drafting patches for each one found is slow.</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Subagents scan dependencies and source code in parallel for known CVEs and vulnerable patterns, and the agent auto-drafts a patch for each finding for a human to review and approve.</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Subagents / Parallel Tasks to scan dependency manifests and source code concurrently.</w:t>
      </w:r>
    </w:p>
    <w:p>
      <w:pPr>
        <w:pStyle w:val="ListParagraph"/>
        <w:numPr>
          <w:ilvl w:val="0"/>
          <w:numId w:val="2"/>
        </w:numPr>
        <w:spacing w:after="40"/>
      </w:pPr>
      <w:r>
        <w:rPr>
          <w:rFonts w:ascii="Calibri" w:cs="Calibri" w:eastAsia="Calibri" w:hAnsi="Calibri"/>
          <w:color w:val="44515F"/>
          <w:sz w:val="21"/>
          <w:szCs w:val="21"/>
        </w:rPr>
        <w:t xml:space="preserve">Agent Mode to draft, apply, and test candidate patches rather than only reporting the issue.</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Introduce a known vulnerable dependency into a sample project and show the scan, finding, and drafted patch end to end.</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Number of vulnerabilities found and time from detection to a reviewable patch.</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09</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Flaky Test Diagnosis Agent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TESTING</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Flaky tests erode trust in a CI pipeline, but isolating their root cause usually means a human rerunning the suite repeatedly and guessing.</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agent reruns the test suite under Agent Mode, isolates the specific condition causing intermittent failures, and proposes a fix rather than just flagging the test as flaky.</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Agent Mode to plan, execute, and iterate across multiple reruns without manual intervention at each step.</w:t>
      </w:r>
    </w:p>
    <w:p>
      <w:pPr>
        <w:pStyle w:val="ListParagraph"/>
        <w:numPr>
          <w:ilvl w:val="0"/>
          <w:numId w:val="2"/>
        </w:numPr>
        <w:spacing w:after="40"/>
      </w:pPr>
      <w:r>
        <w:rPr>
          <w:rFonts w:ascii="Calibri" w:cs="Calibri" w:eastAsia="Calibri" w:hAnsi="Calibri"/>
          <w:color w:val="44515F"/>
          <w:sz w:val="21"/>
          <w:szCs w:val="21"/>
        </w:rPr>
        <w:t xml:space="preserve">Document Understanding to correlate failures with recent code changes or environment differences.</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Target a genuinely flaky test, show repeated reruns narrowing down the cause, and the proposed fix passing consistently afterward.</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Number of reruns needed to isolate the root cause, and whether the proposed fix eliminates the flake.</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10</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Multi-Repo Dependency Upgrade Assistant</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MAINTENANCE</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Upgrading a shared dependency across several repositories is repetitive and risky — each repo needs the change applied and its build verified, one at a time.</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Subagents apply the same dependency upgrade across multiple repositories in parallel and verify that each one still builds and passes its tests.</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Subagents / Parallel Tasks to work across repos simultaneously instead of sequentially.</w:t>
      </w:r>
    </w:p>
    <w:p>
      <w:pPr>
        <w:pStyle w:val="ListParagraph"/>
        <w:numPr>
          <w:ilvl w:val="0"/>
          <w:numId w:val="2"/>
        </w:numPr>
        <w:spacing w:after="40"/>
      </w:pPr>
      <w:r>
        <w:rPr>
          <w:rFonts w:ascii="Calibri" w:cs="Calibri" w:eastAsia="Calibri" w:hAnsi="Calibri"/>
          <w:color w:val="44515F"/>
          <w:sz w:val="21"/>
          <w:szCs w:val="21"/>
        </w:rPr>
        <w:t xml:space="preserve">Agent Mode to handle repo-specific breakage — e.g. adjusting a call site the upgrade changed — and re-verify the build.</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Trigger the same dependency bump across two or three sample repos at once and show each build status resolving in parallel.</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Total time to upgrade all target repos, compared to doing them one at a time.</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11</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Incident Postmortem Generator</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MAINTENANCE</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Writing a clear, blameless postmortem after an incident takes real effort, and the source material — logs, tickets, chat threads — is scattered and hard to reconstruct quickly.</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Document Understanding lets the agent ingest logs, the incident ticket, and relevant chat threads, then draft a structured, blameless postmortem covering timeline, root cause, and follow-up actions.</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Document Understanding to reconcile multiple unstructured sources into one coherent timeline.</w:t>
      </w:r>
    </w:p>
    <w:p>
      <w:pPr>
        <w:pStyle w:val="ListParagraph"/>
        <w:numPr>
          <w:ilvl w:val="0"/>
          <w:numId w:val="2"/>
        </w:numPr>
        <w:spacing w:after="40"/>
      </w:pPr>
      <w:r>
        <w:rPr>
          <w:rFonts w:ascii="Calibri" w:cs="Calibri" w:eastAsia="Calibri" w:hAnsi="Calibri"/>
          <w:color w:val="44515F"/>
          <w:sz w:val="21"/>
          <w:szCs w:val="21"/>
        </w:rPr>
        <w:t xml:space="preserve">Agent Mode to organize findings into a standard postmortem structure and surface open follow-up items.</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Feed the agent a sample incident's logs and ticket thread and show the drafted postmortem it produces.</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Time to produce a complete postmortem draft, and completeness of the timeline versus a manually written one.</w:t>
      </w:r>
    </w:p>
    <w:p>
      <w:pPr>
        <w:spacing w:after="28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00"/>
        <w:gridCol w:w="6750"/>
        <w:gridCol w:w="1700"/>
      </w:tblGrid>
      <w:tr>
        <w:tc>
          <w:tcPr>
            <w:tcW w:type="dxa" w:w="900"/>
            <w:shd w:fill="1B2A4A"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12</w:t>
            </w:r>
          </w:p>
        </w:tc>
        <w:tc>
          <w:tcPr>
            <w:tcW w:type="dxa" w:w="6750"/>
            <w:shd w:fill="F2F5F7" w:val="clear"/>
            <w:tcMar>
              <w:top w:type="dxa" w:w="100"/>
              <w:left w:type="dxa" w:w="160"/>
              <w:bottom w:type="dxa" w:w="100"/>
              <w:right w:type="dxa" w:w="80"/>
            </w:tcMar>
            <w:vAlign w:val="center"/>
          </w:tcPr>
          <w:p>
            <w:r>
              <w:rPr>
                <w:rFonts w:ascii="Calibri" w:cs="Calibri" w:eastAsia="Calibri" w:hAnsi="Calibri"/>
                <w:b/>
                <w:bCs/>
                <w:color w:val="1B2A4A"/>
                <w:sz w:val="24"/>
                <w:szCs w:val="24"/>
              </w:rPr>
              <w:t xml:space="preserve">Deployment Health &amp; Rollback Advisor</w:t>
            </w:r>
          </w:p>
        </w:tc>
        <w:tc>
          <w:tcPr>
            <w:tcW w:type="dxa" w:w="1700"/>
            <w:shd w:fill="C08A2E" w:val="clear"/>
            <w:tcMar>
              <w:top w:type="dxa" w:w="100"/>
              <w:left w:type="dxa" w:w="80"/>
              <w:bottom w:type="dxa" w:w="100"/>
              <w:right w:type="dxa" w:w="80"/>
            </w:tcMar>
            <w:vAlign w:val="center"/>
          </w:tcPr>
          <w:p>
            <w:pPr>
              <w:jc w:val="center"/>
            </w:pPr>
            <w:r>
              <w:rPr>
                <w:rFonts w:ascii="Calibri" w:cs="Calibri" w:eastAsia="Calibri" w:hAnsi="Calibri"/>
                <w:b/>
                <w:bCs/>
                <w:color w:val="FFFFFF"/>
                <w:sz w:val="16"/>
                <w:szCs w:val="16"/>
              </w:rPr>
              <w:t xml:space="preserve">RELEASE &amp; DEPLOYMENT</w:t>
            </w:r>
          </w:p>
        </w:tc>
      </w:tr>
    </w:tbl>
    <w:p>
      <w:pPr>
        <w:spacing w:after="60" w:before="100"/>
      </w:pPr>
      <w:r>
        <w:rPr>
          <w:rFonts w:ascii="Calibri" w:cs="Calibri" w:eastAsia="Calibri" w:hAnsi="Calibri"/>
          <w:b/>
          <w:bCs/>
          <w:color w:val="1B2A4A"/>
          <w:sz w:val="21"/>
          <w:szCs w:val="21"/>
        </w:rPr>
        <w:t xml:space="preserve">Problem:  </w:t>
      </w:r>
      <w:r>
        <w:rPr>
          <w:rFonts w:ascii="Calibri" w:cs="Calibri" w:eastAsia="Calibri" w:hAnsi="Calibri"/>
          <w:color w:val="44515F"/>
          <w:sz w:val="21"/>
          <w:szCs w:val="21"/>
        </w:rPr>
        <w:t xml:space="preserve"> The minutes after a deployment are the highest-risk window, and deciding whether to roll back is a judgment call usually made under pressure with incomplete signal.</w:t>
      </w:r>
    </w:p>
    <w:p>
      <w:pPr>
        <w:spacing w:after="60" w:before="100"/>
      </w:pPr>
      <w:r>
        <w:rPr>
          <w:rFonts w:ascii="Calibri" w:cs="Calibri" w:eastAsia="Calibri" w:hAnsi="Calibri"/>
          <w:b/>
          <w:bCs/>
          <w:color w:val="1B2A4A"/>
          <w:sz w:val="21"/>
          <w:szCs w:val="21"/>
        </w:rPr>
        <w:t xml:space="preserve">Suggested approach:  </w:t>
      </w:r>
      <w:r>
        <w:rPr>
          <w:rFonts w:ascii="Calibri" w:cs="Calibri" w:eastAsia="Calibri" w:hAnsi="Calibri"/>
          <w:color w:val="44515F"/>
          <w:sz w:val="21"/>
          <w:szCs w:val="21"/>
        </w:rPr>
        <w:t xml:space="preserve"> The agent monitors post-deploy signals in Agent Mode and recommends proceed or roll back, with its reasoning shown rather than a black-box verdict.</w:t>
      </w:r>
    </w:p>
    <w:p>
      <w:pPr>
        <w:spacing w:after="40" w:before="100"/>
      </w:pPr>
      <w:r>
        <w:rPr>
          <w:rFonts w:ascii="Calibri" w:cs="Calibri" w:eastAsia="Calibri" w:hAnsi="Calibri"/>
          <w:b/>
          <w:bCs/>
          <w:color w:val="1B2A4A"/>
          <w:sz w:val="21"/>
          <w:szCs w:val="21"/>
        </w:rPr>
        <w:t xml:space="preserve">Bob 2.0 capabilities to showcase:  </w:t>
      </w:r>
    </w:p>
    <w:p>
      <w:pPr>
        <w:pStyle w:val="ListParagraph"/>
        <w:numPr>
          <w:ilvl w:val="0"/>
          <w:numId w:val="2"/>
        </w:numPr>
        <w:spacing w:after="40"/>
      </w:pPr>
      <w:r>
        <w:rPr>
          <w:rFonts w:ascii="Calibri" w:cs="Calibri" w:eastAsia="Calibri" w:hAnsi="Calibri"/>
          <w:color w:val="44515F"/>
          <w:sz w:val="21"/>
          <w:szCs w:val="21"/>
        </w:rPr>
        <w:t xml:space="preserve">Agent Mode to continuously watch signals and act on a threshold rather than requiring a person to check dashboards manually.</w:t>
      </w:r>
    </w:p>
    <w:p>
      <w:pPr>
        <w:pStyle w:val="ListParagraph"/>
        <w:numPr>
          <w:ilvl w:val="0"/>
          <w:numId w:val="2"/>
        </w:numPr>
        <w:spacing w:after="40"/>
      </w:pPr>
      <w:r>
        <w:rPr>
          <w:rFonts w:ascii="Calibri" w:cs="Calibri" w:eastAsia="Calibri" w:hAnsi="Calibri"/>
          <w:color w:val="44515F"/>
          <w:sz w:val="21"/>
          <w:szCs w:val="21"/>
        </w:rPr>
        <w:t xml:space="preserve">Document Understanding to weigh the recommendation against the release's own rollback criteria or runbook.</w:t>
      </w:r>
    </w:p>
    <w:p>
      <w:pPr>
        <w:spacing w:after="60" w:before="100"/>
      </w:pPr>
      <w:r>
        <w:rPr>
          <w:rFonts w:ascii="Calibri" w:cs="Calibri" w:eastAsia="Calibri" w:hAnsi="Calibri"/>
          <w:b/>
          <w:bCs/>
          <w:color w:val="1B2A4A"/>
          <w:sz w:val="21"/>
          <w:szCs w:val="21"/>
        </w:rPr>
        <w:t xml:space="preserve">Demo focus:  </w:t>
      </w:r>
      <w:r>
        <w:rPr>
          <w:rFonts w:ascii="Calibri" w:cs="Calibri" w:eastAsia="Calibri" w:hAnsi="Calibri"/>
          <w:color w:val="44515F"/>
          <w:sz w:val="21"/>
          <w:szCs w:val="21"/>
        </w:rPr>
        <w:t xml:space="preserve"> Simulate a deployment with a degrading signal and show the advisor recommending rollback with its stated reasoning.</w:t>
      </w:r>
    </w:p>
    <w:p>
      <w:pPr>
        <w:spacing w:after="60" w:before="100"/>
      </w:pPr>
      <w:r>
        <w:rPr>
          <w:rFonts w:ascii="Calibri" w:cs="Calibri" w:eastAsia="Calibri" w:hAnsi="Calibri"/>
          <w:b/>
          <w:bCs/>
          <w:color w:val="1B2A4A"/>
          <w:sz w:val="21"/>
          <w:szCs w:val="21"/>
        </w:rPr>
        <w:t xml:space="preserve">Sample impact metric:  </w:t>
      </w:r>
      <w:r>
        <w:rPr>
          <w:rFonts w:ascii="Calibri" w:cs="Calibri" w:eastAsia="Calibri" w:hAnsi="Calibri"/>
          <w:color w:val="44515F"/>
          <w:sz w:val="21"/>
          <w:szCs w:val="21"/>
        </w:rPr>
        <w:t xml:space="preserve"> Time from signal degradation to a rollback recommendation, compared to manual monitoring.</w:t>
      </w:r>
    </w:p>
    <w:p>
      <w:pPr>
        <w:spacing w:after="280"/>
      </w:pPr>
    </w:p>
    <w:p>
      <w:r>
        <w:br w:type="page"/>
      </w:r>
    </w:p>
    <w:p>
      <w:pPr>
        <w:pStyle w:val="Heading1"/>
        <w:pBdr>
          <w:bottom w:val="single" w:color="0E7C86" w:sz="8" w:space="6"/>
        </w:pBdr>
        <w:spacing w:after="200" w:before="480"/>
      </w:pPr>
      <w:r>
        <w:rPr>
          <w:rFonts w:ascii="Calibri" w:cs="Calibri" w:eastAsia="Calibri" w:hAnsi="Calibri"/>
          <w:b/>
          <w:bCs/>
          <w:color w:val="1B2A4A"/>
          <w:sz w:val="30"/>
          <w:szCs w:val="30"/>
        </w:rPr>
        <w:t xml:space="preserve">3. Winning Submission Checklist</w:t>
      </w:r>
    </w:p>
    <w:tbl>
      <w:tblPr>
        <w:tblW w:type="dxa" w:w="9350"/>
        <w:tblBorders>
          <w:top w:val="none" w:color="FFFFFF" w:sz="0"/>
          <w:left w:val="none" w:color="FFFFFF" w:sz="0"/>
          <w:bottom w:val="none" w:color="FFFFFF" w:sz="0"/>
          <w:right w:val="none" w:color="FFFFFF" w:sz="0"/>
          <w:insideH w:val="none" w:color="FFFFFF" w:sz="0"/>
          <w:insideV w:val="single" w:color="FFFFFF" w:sz="6"/>
        </w:tblBorders>
      </w:tblPr>
      <w:tblGrid>
        <w:gridCol w:w="4675"/>
        <w:gridCol w:w="4675"/>
      </w:tblGrid>
      <w:tr>
        <w:tc>
          <w:tcPr>
            <w:tcW w:type="dxa" w:w="4675"/>
            <w:shd w:fill="1B2A4A" w:val="clear"/>
            <w:tcMar>
              <w:top w:type="dxa" w:w="120"/>
              <w:left w:type="dxa" w:w="160"/>
              <w:bottom w:type="dxa" w:w="120"/>
              <w:right w:type="dxa" w:w="160"/>
            </w:tcMar>
          </w:tcPr>
          <w:p>
            <w:pPr>
              <w:spacing w:after="100"/>
            </w:pPr>
            <w:r>
              <w:rPr>
                <w:rFonts w:ascii="Calibri" w:cs="Calibri" w:eastAsia="Calibri" w:hAnsi="Calibri"/>
                <w:b/>
                <w:bCs/>
                <w:color w:val="FFFFFF"/>
                <w:sz w:val="22"/>
                <w:szCs w:val="22"/>
              </w:rPr>
              <w:t xml:space="preserve">BUILD</w:t>
            </w:r>
          </w:p>
          <w:p>
            <w:pPr>
              <w:pStyle w:val="ListParagraph"/>
              <w:numPr>
                <w:ilvl w:val="0"/>
                <w:numId w:val="3"/>
              </w:numPr>
              <w:spacing w:after="60"/>
            </w:pPr>
            <w:r>
              <w:rPr>
                <w:rFonts w:ascii="Calibri" w:cs="Calibri" w:eastAsia="Calibri" w:hAnsi="Calibri"/>
                <w:color w:val="FFFFFF"/>
                <w:sz w:val="20"/>
                <w:szCs w:val="20"/>
              </w:rPr>
              <w:t xml:space="preserve">One clearly defined problem — not several</w:t>
            </w:r>
          </w:p>
          <w:p>
            <w:pPr>
              <w:pStyle w:val="ListParagraph"/>
              <w:numPr>
                <w:ilvl w:val="0"/>
                <w:numId w:val="3"/>
              </w:numPr>
              <w:spacing w:after="60"/>
            </w:pPr>
            <w:r>
              <w:rPr>
                <w:rFonts w:ascii="Calibri" w:cs="Calibri" w:eastAsia="Calibri" w:hAnsi="Calibri"/>
                <w:color w:val="FFFFFF"/>
                <w:sz w:val="20"/>
                <w:szCs w:val="20"/>
              </w:rPr>
              <w:t xml:space="preserve">Working prototype built on IBM Bob 2.0</w:t>
            </w:r>
          </w:p>
          <w:p>
            <w:pPr>
              <w:pStyle w:val="ListParagraph"/>
              <w:numPr>
                <w:ilvl w:val="0"/>
                <w:numId w:val="3"/>
              </w:numPr>
              <w:spacing w:after="60"/>
            </w:pPr>
            <w:r>
              <w:rPr>
                <w:rFonts w:ascii="Calibri" w:cs="Calibri" w:eastAsia="Calibri" w:hAnsi="Calibri"/>
                <w:color w:val="FFFFFF"/>
                <w:sz w:val="20"/>
                <w:szCs w:val="20"/>
              </w:rPr>
              <w:t xml:space="preserve">Uses Agent Mode, subagents, or document understanding meaningfully</w:t>
            </w:r>
          </w:p>
          <w:p>
            <w:pPr>
              <w:pStyle w:val="ListParagraph"/>
              <w:numPr>
                <w:ilvl w:val="0"/>
                <w:numId w:val="3"/>
              </w:numPr>
              <w:spacing w:after="60"/>
            </w:pPr>
            <w:r>
              <w:rPr>
                <w:rFonts w:ascii="Calibri" w:cs="Calibri" w:eastAsia="Calibri" w:hAnsi="Calibri"/>
                <w:color w:val="FFFFFF"/>
                <w:sz w:val="20"/>
                <w:szCs w:val="20"/>
              </w:rPr>
              <w:t xml:space="preserve">A real or sample project as the test bed</w:t>
            </w:r>
          </w:p>
        </w:tc>
        <w:tc>
          <w:tcPr>
            <w:tcW w:type="dxa" w:w="4675"/>
            <w:shd w:fill="0E7C86" w:val="clear"/>
            <w:tcMar>
              <w:top w:type="dxa" w:w="120"/>
              <w:left w:type="dxa" w:w="160"/>
              <w:bottom w:type="dxa" w:w="120"/>
              <w:right w:type="dxa" w:w="160"/>
            </w:tcMar>
          </w:tcPr>
          <w:p>
            <w:pPr>
              <w:spacing w:after="100"/>
            </w:pPr>
            <w:r>
              <w:rPr>
                <w:rFonts w:ascii="Calibri" w:cs="Calibri" w:eastAsia="Calibri" w:hAnsi="Calibri"/>
                <w:b/>
                <w:bCs/>
                <w:color w:val="FFFFFF"/>
                <w:sz w:val="22"/>
                <w:szCs w:val="22"/>
              </w:rPr>
              <w:t xml:space="preserve">SUBMIT</w:t>
            </w:r>
          </w:p>
          <w:p>
            <w:pPr>
              <w:pStyle w:val="ListParagraph"/>
              <w:numPr>
                <w:ilvl w:val="0"/>
                <w:numId w:val="3"/>
              </w:numPr>
              <w:spacing w:after="60"/>
            </w:pPr>
            <w:r>
              <w:rPr>
                <w:rFonts w:ascii="Calibri" w:cs="Calibri" w:eastAsia="Calibri" w:hAnsi="Calibri"/>
                <w:color w:val="FFFFFF"/>
                <w:sz w:val="20"/>
                <w:szCs w:val="20"/>
              </w:rPr>
              <w:t xml:space="preserve">A measurable before/after impact number</w:t>
            </w:r>
          </w:p>
          <w:p>
            <w:pPr>
              <w:pStyle w:val="ListParagraph"/>
              <w:numPr>
                <w:ilvl w:val="0"/>
                <w:numId w:val="3"/>
              </w:numPr>
              <w:spacing w:after="60"/>
            </w:pPr>
            <w:r>
              <w:rPr>
                <w:rFonts w:ascii="Calibri" w:cs="Calibri" w:eastAsia="Calibri" w:hAnsi="Calibri"/>
                <w:color w:val="FFFFFF"/>
                <w:sz w:val="20"/>
                <w:szCs w:val="20"/>
              </w:rPr>
              <w:t xml:space="preserve">Polished, intuitive demo video</w:t>
            </w:r>
          </w:p>
          <w:p>
            <w:pPr>
              <w:pStyle w:val="ListParagraph"/>
              <w:numPr>
                <w:ilvl w:val="0"/>
                <w:numId w:val="3"/>
              </w:numPr>
              <w:spacing w:after="60"/>
            </w:pPr>
            <w:r>
              <w:rPr>
                <w:rFonts w:ascii="Calibri" w:cs="Calibri" w:eastAsia="Calibri" w:hAnsi="Calibri"/>
                <w:color w:val="FFFFFF"/>
                <w:sz w:val="20"/>
                <w:szCs w:val="20"/>
              </w:rPr>
              <w:t xml:space="preserve">Written problem/solution + Bob usage statements</w:t>
            </w:r>
          </w:p>
          <w:p>
            <w:pPr>
              <w:pStyle w:val="ListParagraph"/>
              <w:numPr>
                <w:ilvl w:val="0"/>
                <w:numId w:val="3"/>
              </w:numPr>
              <w:spacing w:after="60"/>
            </w:pPr>
            <w:r>
              <w:rPr>
                <w:rFonts w:ascii="Calibri" w:cs="Calibri" w:eastAsia="Calibri" w:hAnsi="Calibri"/>
                <w:color w:val="FFFFFF"/>
                <w:sz w:val="20"/>
                <w:szCs w:val="20"/>
              </w:rPr>
              <w:t xml:space="preserve">Exported IBM Bob task/session report attached</w:t>
            </w:r>
          </w:p>
        </w:tc>
      </w:tr>
    </w:tbl>
    <w:p>
      <w:pPr>
        <w:spacing w:after="260" w:before="260"/>
      </w:pPr>
    </w:p>
    <w:tbl>
      <w:tblPr>
        <w:tblW w:type="dxa" w:w="9350"/>
        <w:tblBorders>
          <w:top w:val="single" w:color="C08A2E" w:sz="12"/>
          <w:left w:val="single" w:color="C08A2E" w:sz="12"/>
          <w:bottom w:val="single" w:color="C08A2E" w:sz="12"/>
          <w:right w:val="single" w:color="C08A2E" w:sz="12"/>
          <w:insideH w:val="none" w:color="FFFFFF" w:sz="0"/>
          <w:insideV w:val="none" w:color="FFFFFF" w:sz="0"/>
        </w:tblBorders>
      </w:tblPr>
      <w:tblGrid>
        <w:gridCol w:w="9350"/>
      </w:tblGrid>
      <w:tr>
        <w:tc>
          <w:tcPr>
            <w:tcW w:type="dxa" w:w="9350"/>
            <w:shd w:fill="FBF3E4" w:val="clear"/>
            <w:tcMar>
              <w:top w:type="dxa" w:w="160"/>
              <w:left w:type="dxa" w:w="200"/>
              <w:bottom w:type="dxa" w:w="160"/>
              <w:right w:type="dxa" w:w="200"/>
            </w:tcMar>
          </w:tcPr>
          <w:p>
            <w:r>
              <w:rPr>
                <w:rFonts w:ascii="Calibri" w:cs="Calibri" w:eastAsia="Calibri" w:hAnsi="Calibri"/>
                <w:b/>
                <w:bCs/>
                <w:color w:val="1B2A4A"/>
                <w:sz w:val="21"/>
                <w:szCs w:val="21"/>
              </w:rPr>
              <w:t xml:space="preserve">Advice: </w:t>
            </w:r>
            <w:r>
              <w:rPr>
                <w:rFonts w:ascii="Calibri" w:cs="Calibri" w:eastAsia="Calibri" w:hAnsi="Calibri"/>
                <w:color w:val="44515F"/>
                <w:sz w:val="21"/>
                <w:szCs w:val="21"/>
              </w:rPr>
              <w:t xml:space="preserve">have a measurable impact number ready by day 2 — “effectiveness &amp; efficiency” is 25% of the score and needs data, not a vibe.</w:t>
            </w:r>
          </w:p>
        </w:tc>
      </w:tr>
    </w:tbl>
    <w:p>
      <w:pPr>
        <w:spacing w:before="400"/>
      </w:pPr>
    </w:p>
    <w:p>
      <w:pPr>
        <w:pStyle w:val="Heading1"/>
        <w:pBdr>
          <w:bottom w:val="single" w:color="0E7C86" w:sz="8" w:space="6"/>
        </w:pBdr>
        <w:spacing w:after="200" w:before="480"/>
      </w:pPr>
      <w:r>
        <w:rPr>
          <w:rFonts w:ascii="Calibri" w:cs="Calibri" w:eastAsia="Calibri" w:hAnsi="Calibri"/>
          <w:b/>
          <w:bCs/>
          <w:color w:val="1B2A4A"/>
          <w:sz w:val="30"/>
          <w:szCs w:val="30"/>
        </w:rPr>
        <w:t xml:space="preserve">4. Ready to Build?</w:t>
      </w:r>
    </w:p>
    <w:p>
      <w:pPr>
        <w:spacing w:after="120"/>
      </w:pPr>
      <w:r>
        <w:rPr>
          <w:rFonts w:ascii="Calibri" w:cs="Calibri" w:eastAsia="Calibri" w:hAnsi="Calibri"/>
          <w:color w:val="44515F"/>
          <w:sz w:val="21"/>
          <w:szCs w:val="21"/>
        </w:rPr>
        <w:t xml:space="preserve">Confirm your team, pick your SDLC focus area, and register your hackathon interest in your IBM TechXchange profile before August 28.</w:t>
      </w:r>
    </w:p>
    <w:p>
      <w:pPr>
        <w:spacing w:after="0"/>
      </w:pPr>
      <w:r>
        <w:rPr>
          <w:rFonts w:ascii="Calibri" w:cs="Calibri" w:eastAsia="Calibri" w:hAnsi="Calibri"/>
          <w:color w:val="44515F"/>
          <w:sz w:val="21"/>
          <w:szCs w:val="21"/>
        </w:rPr>
        <w:t xml:space="preserve">Questions? Reach your i3 Academy program lead.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15F"/>
        <w:sz w:val="16"/>
        <w:szCs w:val="16"/>
      </w:rPr>
      <w:t xml:space="preserve">i3 Technologies  |  i3 Academy  |  IBM Silver Business Partner   —   Page </w:t>
    </w:r>
    <w:r>
      <w:rPr>
        <w:rFonts w:ascii="Calibri" w:cs="Calibri" w:eastAsia="Calibri" w:hAnsi="Calibri"/>
        <w:color w:val="44515F"/>
        <w:sz w:val="16"/>
        <w:szCs w:val="16"/>
      </w:rPr>
      <w:fldChar w:fldCharType="begin"/>
      <w:instrText xml:space="preserve">PAGE</w:instrText>
      <w:fldChar w:fldCharType="separate"/>
      <w:fldChar w:fldCharType="end"/>
    </w:r>
    <w:r>
      <w:rPr>
        <w:rFonts w:ascii="Calibri" w:cs="Calibri" w:eastAsia="Calibri" w:hAnsi="Calibri"/>
        <w:color w:val="44515F"/>
        <w:sz w:val="16"/>
        <w:szCs w:val="16"/>
      </w:rPr>
      <w:t xml:space="preserve"> of </w:t>
    </w:r>
    <w:r>
      <w:rPr>
        <w:rFonts w:ascii="Calibri" w:cs="Calibri" w:eastAsia="Calibri" w:hAnsi="Calibri"/>
        <w:color w:val="4451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3" w:sz="4" w:space="4"/>
      </w:pBdr>
      <w:tabs>
        <w:tab w:val="right" w:pos="9350"/>
      </w:tabs>
    </w:pPr>
    <w:r>
      <w:rPr>
        <w:rFonts w:ascii="Calibri" w:cs="Calibri" w:eastAsia="Calibri" w:hAnsi="Calibri"/>
        <w:color w:val="44515F"/>
        <w:sz w:val="16"/>
        <w:szCs w:val="16"/>
      </w:rPr>
      <w:t xml:space="preserve">i3 Academy  |  IBM TechXchange 2026 Hackathon</w:t>
    </w:r>
    <w:r>
      <w:rPr>
        <w:rFonts w:ascii="Calibri" w:cs="Calibri" w:eastAsia="Calibri" w:hAnsi="Calibri"/>
        <w:color w:val="44515F"/>
        <w:sz w:val="16"/>
        <w:szCs w:val="16"/>
      </w:rPr>
      <w:t xml:space="preserve">	Hackathon Briefing — Project Preview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TechXchange 2026 Hackathon — Detailed Project Preview Report</dc:title>
  <dc:creator>i3 Academy</dc:creator>
  <cp:lastModifiedBy>Un-named</cp:lastModifiedBy>
  <cp:revision>1</cp:revision>
  <dcterms:created xsi:type="dcterms:W3CDTF">2026-08-11T14:21:25.936Z</dcterms:created>
  <dcterms:modified xsi:type="dcterms:W3CDTF">2026-08-11T14:21:25.951Z</dcterms:modified>
</cp:coreProperties>
</file>

<file path=docProps/custom.xml><?xml version="1.0" encoding="utf-8"?>
<Properties xmlns="http://schemas.openxmlformats.org/officeDocument/2006/custom-properties" xmlns:vt="http://schemas.openxmlformats.org/officeDocument/2006/docPropsVTypes"/>
</file>