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0E7C7B"/>
          <w:spacing w:val="20"/>
          <w:sz w:val="24"/>
          <w:szCs w:val="24"/>
        </w:rPr>
        <w:t xml:space="preserve">i3 TECHNOLOGIES</w:t>
      </w:r>
    </w:p>
    <w:p>
      <w:pPr>
        <w:spacing w:after="0" w:before="260"/>
      </w:pPr>
      <w:r>
        <w:rPr>
          <w:b/>
          <w:bCs/>
          <w:color w:val="0B2545"/>
          <w:sz w:val="60"/>
          <w:szCs w:val="60"/>
        </w:rPr>
        <w:t xml:space="preserve">i3 ENGAGE CLOUD</w:t>
      </w:r>
    </w:p>
    <w:p>
      <w:pPr>
        <w:spacing w:after="0" w:before="120"/>
      </w:pPr>
      <w:r>
        <w:rPr>
          <w:color w:val="13315C"/>
          <w:sz w:val="30"/>
          <w:szCs w:val="30"/>
        </w:rPr>
        <w:t xml:space="preserve">Enterprise SMS, Email, WhatsApp &amp; CRM Marketing Engine</w:t>
      </w:r>
    </w:p>
    <w:p>
      <w:pPr>
        <w:spacing w:after="0" w:before="60"/>
      </w:pPr>
      <w:r>
        <w:rPr>
          <w:color w:val="13315C"/>
          <w:sz w:val="30"/>
          <w:szCs w:val="30"/>
        </w:rPr>
        <w:t xml:space="preserve">with Agentic AI and Integrated Payments</w:t>
      </w:r>
    </w:p>
    <w:p>
      <w:pPr>
        <w:pBdr>
          <w:top w:val="single" w:color="C9A227" w:sz="10" w:space="8"/>
        </w:pBdr>
        <w:spacing w:after="0" w:before="500"/>
      </w:pPr>
      <w:r>
        <w:rPr>
          <w:b/>
          <w:bCs/>
          <w:color w:val="C9A227"/>
          <w:spacing w:val="16"/>
          <w:sz w:val="22"/>
          <w:szCs w:val="22"/>
        </w:rPr>
        <w:t xml:space="preserve">SOLUTION ARCHITECTURE &amp; GO-TO-MARKET STRATEGY</w:t>
      </w:r>
    </w:p>
    <w:p>
      <w:pPr>
        <w:spacing w:after="0" w:before="60"/>
      </w:pPr>
      <w:r>
        <w:rPr>
          <w:i/>
          <w:iCs/>
          <w:color w:val="5B6472"/>
          <w:sz w:val="21"/>
          <w:szCs w:val="21"/>
        </w:rPr>
        <w:t xml:space="preserve">Initial Focus: Kenya → Greater East Africa → Pan-African Expansion</w:t>
      </w:r>
    </w:p>
    <w:p>
      <w:pPr>
        <w:spacing w:after="0" w:before="1600"/>
      </w:pPr>
      <w:r>
        <w:rPr>
          <w:color w:val="5B6472"/>
          <w:sz w:val="19"/>
          <w:szCs w:val="19"/>
        </w:rPr>
        <w:t xml:space="preserve">Prepared for</w:t>
      </w:r>
    </w:p>
    <w:p>
      <w:pPr>
        <w:spacing w:after="0" w:before="40"/>
      </w:pPr>
      <w:r>
        <w:rPr>
          <w:b/>
          <w:bCs/>
          <w:color w:val="0B2545"/>
          <w:sz w:val="22"/>
          <w:szCs w:val="22"/>
        </w:rPr>
        <w:t xml:space="preserve">Philip Mulala Mukiti, Chief Executive Officer</w:t>
      </w:r>
    </w:p>
    <w:p>
      <w:pPr>
        <w:spacing w:after="0" w:before="20"/>
      </w:pPr>
      <w:r>
        <w:rPr>
          <w:color w:val="13315C"/>
          <w:sz w:val="20"/>
          <w:szCs w:val="20"/>
        </w:rPr>
        <w:t xml:space="preserve">i3 Technologies (Instrumented, Interconnected &amp; Intelligent Technologies Limited)</w:t>
      </w:r>
    </w:p>
    <w:p>
      <w:pPr>
        <w:spacing w:after="0" w:before="20"/>
      </w:pPr>
      <w:r>
        <w:rPr>
          <w:color w:val="5B6472"/>
          <w:sz w:val="18"/>
          <w:szCs w:val="18"/>
        </w:rPr>
        <w:t xml:space="preserve">IBM Silver Business Partner · Anthropic Claude Partner · Red Hat Partner</w:t>
      </w:r>
    </w:p>
    <w:p>
      <w:pPr>
        <w:spacing w:after="0" w:before="700"/>
      </w:pPr>
      <w:r>
        <w:rPr>
          <w:color w:val="5B6472"/>
          <w:sz w:val="19"/>
          <w:szCs w:val="19"/>
        </w:rPr>
        <w:t xml:space="preserve">Prepared by</w:t>
      </w:r>
    </w:p>
    <w:p>
      <w:pPr>
        <w:spacing w:after="0" w:before="40"/>
      </w:pPr>
      <w:r>
        <w:rPr>
          <w:b/>
          <w:bCs/>
          <w:color w:val="0B2545"/>
          <w:sz w:val="21"/>
          <w:szCs w:val="21"/>
        </w:rPr>
        <w:t xml:space="preserve">Office of the Senior Business Consultant &amp; Full-Stack Solution Architect</w:t>
      </w:r>
    </w:p>
    <w:p>
      <w:pPr>
        <w:spacing w:after="0" w:before="40"/>
      </w:pPr>
      <w:r>
        <w:rPr>
          <w:color w:val="5B6472"/>
          <w:sz w:val="19"/>
          <w:szCs w:val="19"/>
        </w:rPr>
        <w:t xml:space="preserve">September 2026 · Nairobi, Kenya</w:t>
      </w:r>
    </w:p>
    <w:p>
      <w:pPr>
        <w:spacing w:after="0" w:before="40"/>
      </w:pPr>
      <w:r>
        <w:rPr>
          <w:i/>
          <w:iCs/>
          <w:color w:val="5B6472"/>
          <w:sz w:val="16"/>
          <w:szCs w:val="16"/>
        </w:rPr>
        <w:t xml:space="preserve">CONFIDENTIAL — Prepared exclusively for internal i3 Technologies strategic use</w:t>
      </w:r>
    </w:p>
    <w:p>
      <w:r>
        <w:br w:type="page"/>
      </w:r>
    </w:p>
    <w:p>
      <w:pPr>
        <w:pStyle w:val="Heading1"/>
        <w:pBdr>
          <w:bottom w:val="single" w:color="0E7C7B" w:sz="8" w:space="4"/>
        </w:pBdr>
        <w:spacing w:after="200" w:before="420"/>
      </w:pPr>
      <w:r>
        <w:rPr>
          <w:b/>
          <w:bCs/>
          <w:color w:val="0B2545"/>
          <w:sz w:val="30"/>
          <w:szCs w:val="30"/>
        </w:rPr>
        <w:t xml:space="preserve">Table of Contents</w:t>
      </w:r>
    </w:p>
    <w:p>
      <w:pPr>
        <w:spacing w:after="220"/>
      </w:pPr>
      <w:r>
        <w:rPr>
          <w:i/>
          <w:iCs/>
          <w:color w:val="5B6472"/>
          <w:sz w:val="18"/>
          <w:szCs w:val="18"/>
        </w:rPr>
        <w:t xml:space="preserve">(In Microsoft Word: right-click below and choose “Update Field”, or press F9,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7C7B" w:sz="8" w:space="4"/>
        </w:pBdr>
        <w:spacing w:after="200" w:before="420"/>
      </w:pPr>
      <w:r>
        <w:rPr>
          <w:b/>
          <w:bCs/>
          <w:color w:val="0B2545"/>
          <w:sz w:val="30"/>
          <w:szCs w:val="30"/>
        </w:rPr>
        <w:t xml:space="preserve">1. Executive Summary</w:t>
      </w:r>
    </w:p>
    <w:p>
      <w:pPr>
        <w:spacing w:after="160" w:line="276"/>
      </w:pPr>
      <w:r>
        <w:rPr>
          <w:color w:val="222222"/>
          <w:sz w:val="21"/>
          <w:szCs w:val="21"/>
        </w:rPr>
        <w:t xml:space="preserve">i3 Technologies is positioned to build i3 Engage Cloud — a single, multi-tenant Customer Engagement and Communications Platform (CDP + CRM + Marketing Automation + SMS/Email/WhatsApp delivery + Agentic AI + integrated payments) rather than three disconnected products. The platform serves two markets simultaneously: (1) i3's own internal use for Academy admissions, enterprise sales, and AI HALISI outreach, and (2) a commercial, white-labelled multi-tenant SaaS/CPaaS offering sold to digital agencies, banks, SACCOs, insurers, retailers, NGOs, schools, and government institutions across Kenya and Greater East Africa.</w:t>
      </w:r>
    </w:p>
    <w:p>
      <w:pPr>
        <w:spacing w:after="160" w:line="276"/>
      </w:pPr>
      <w:r>
        <w:rPr>
          <w:color w:val="222222"/>
          <w:sz w:val="21"/>
          <w:szCs w:val="21"/>
        </w:rPr>
        <w:t xml:space="preserve">The recommendation is to compose the platform from proven open-source foundations (Jasmin SMS Gateway, Postal/Listmonk for email, Twenty/EspoCRM for CRM, Mautic/Dittofeed for marketing automation, Chatwoot for omnichannel inbox) rather than building from zero, and to invest i3's own engineering effort in the layer that is genuinely differentiated: a unified Customer-360 data model, a routing and billing exchange for SMS/USSD/WhatsApp, an Agentic AI orchestration layer, and native East African payment rails — Safaricom Daraja (M-Pesa) and Paystack — for receipting, billing, and wallet top-ups.</w:t>
      </w:r>
    </w:p>
    <w:p>
      <w:pPr>
        <w:spacing w:after="160" w:line="276"/>
      </w:pPr>
      <w:r>
        <w:rPr>
          <w:color w:val="222222"/>
          <w:sz w:val="21"/>
          <w:szCs w:val="21"/>
        </w:rPr>
        <w:t xml:space="preserve">The go-to-market sequence begins in Kenya, using i3's existing brand equity (IBM Silver Business Partner, i3 Academy, AI HALISI, GridSentinel AI, AfroERP and the wider product portfolio) and its 67+ certified engineers and 50-node partner network, then expands to Uganda, Tanzania, Rwanda, and Ghana — where i3 already maintains a regional office — before pursuing wider pan-African and CPaaS-reseller distribution.</w:t>
      </w:r>
    </w:p>
    <w:p>
      <w:pPr>
        <w:pStyle w:val="Heading3"/>
        <w:spacing w:after="100" w:before="200"/>
      </w:pPr>
      <w:r>
        <w:rPr>
          <w:b/>
          <w:bCs/>
          <w:color w:val="0E7C7B"/>
          <w:sz w:val="21"/>
          <w:szCs w:val="21"/>
        </w:rPr>
        <w:t xml:space="preserve">Key Recommendations at a Glance</w:t>
      </w:r>
    </w:p>
    <w:p>
      <w:pPr>
        <w:pStyle w:val="ListParagraph"/>
        <w:numPr>
          <w:ilvl w:val="0"/>
          <w:numId w:val="2"/>
        </w:numPr>
        <w:spacing w:after="90" w:line="264"/>
      </w:pPr>
      <w:r>
        <w:rPr>
          <w:color w:val="222222"/>
          <w:sz w:val="21"/>
          <w:szCs w:val="21"/>
        </w:rPr>
        <w:t xml:space="preserve">Build one platform, not three products: shared Customer-360/CDP underpinning SMS, Email, WhatsApp, and CRM channels.</w:t>
      </w:r>
    </w:p>
    <w:p>
      <w:pPr>
        <w:pStyle w:val="ListParagraph"/>
        <w:numPr>
          <w:ilvl w:val="0"/>
          <w:numId w:val="2"/>
        </w:numPr>
        <w:spacing w:after="90" w:line="264"/>
      </w:pPr>
      <w:r>
        <w:rPr>
          <w:color w:val="222222"/>
          <w:sz w:val="21"/>
          <w:szCs w:val="21"/>
        </w:rPr>
        <w:t xml:space="preserve">Deploy on Red Hat OpenShift (ROKS) on IBM Cloud, leveraging i3's existing IBM Partner Plus credits and Red Hat entitlements.</w:t>
      </w:r>
    </w:p>
    <w:p>
      <w:pPr>
        <w:pStyle w:val="ListParagraph"/>
        <w:numPr>
          <w:ilvl w:val="0"/>
          <w:numId w:val="2"/>
        </w:numPr>
        <w:spacing w:after="90" w:line="264"/>
      </w:pPr>
      <w:r>
        <w:rPr>
          <w:color w:val="222222"/>
          <w:sz w:val="21"/>
          <w:szCs w:val="21"/>
        </w:rPr>
        <w:t xml:space="preserve">Compose from open-source (Jasmin, Postal, Mautic/Dittofeed, Twenty/EspoCRM, Chatwoot) and invest i3 engineering in the CDP, routing/billing, AI-agent, and payments layers.</w:t>
      </w:r>
    </w:p>
    <w:p>
      <w:pPr>
        <w:pStyle w:val="ListParagraph"/>
        <w:numPr>
          <w:ilvl w:val="0"/>
          <w:numId w:val="2"/>
        </w:numPr>
        <w:spacing w:after="90" w:line="264"/>
      </w:pPr>
      <w:r>
        <w:rPr>
          <w:color w:val="222222"/>
          <w:sz w:val="21"/>
          <w:szCs w:val="21"/>
        </w:rPr>
        <w:t xml:space="preserve">Begin SMS delivery as a Tier-1 reseller (Africa's Talking / regional aggregator) while pursuing direct Safaricom and Airtel SMPP interconnects and Communications Authority of Kenya (CA) CSP/ASP licensing in parallel.</w:t>
      </w:r>
    </w:p>
    <w:p>
      <w:pPr>
        <w:pStyle w:val="ListParagraph"/>
        <w:numPr>
          <w:ilvl w:val="0"/>
          <w:numId w:val="2"/>
        </w:numPr>
        <w:spacing w:after="90" w:line="264"/>
      </w:pPr>
      <w:r>
        <w:rPr>
          <w:color w:val="222222"/>
          <w:sz w:val="21"/>
          <w:szCs w:val="21"/>
        </w:rPr>
        <w:t xml:space="preserve">Embed Agentic AI across the platform — not as a chatbot bolt-on — spanning campaign strategy, lead scoring, content, compliance, and customer service, with human approval gates on all outbound mass messaging.</w:t>
      </w:r>
    </w:p>
    <w:p>
      <w:pPr>
        <w:pStyle w:val="ListParagraph"/>
        <w:numPr>
          <w:ilvl w:val="0"/>
          <w:numId w:val="2"/>
        </w:numPr>
        <w:spacing w:after="90" w:line="264"/>
      </w:pPr>
      <w:r>
        <w:rPr>
          <w:color w:val="222222"/>
          <w:sz w:val="21"/>
          <w:szCs w:val="21"/>
        </w:rPr>
        <w:t xml:space="preserve">Natively integrate Safaricom Daraja (STK Push, C2B/B2C, B2B) and Paystack for receipting, invoicing, subscription billing, and SMS/WhatsApp wallet top-ups — the payment rails East African customers actually use.</w:t>
      </w:r>
    </w:p>
    <w:p>
      <w:pPr>
        <w:pStyle w:val="ListParagraph"/>
        <w:numPr>
          <w:ilvl w:val="0"/>
          <w:numId w:val="2"/>
        </w:numPr>
        <w:spacing w:after="90" w:line="264"/>
      </w:pPr>
      <w:r>
        <w:rPr>
          <w:color w:val="222222"/>
          <w:sz w:val="21"/>
          <w:szCs w:val="21"/>
        </w:rPr>
        <w:t xml:space="preserve">Launch commercially in Kenya first, monetising through SaaS subscription + messaging margin + payment processing float + AI usage + managed services, then expand regionally through i3's Accra office and partner-node network.</w:t>
      </w:r>
    </w:p>
    <w:p>
      <w:pPr>
        <w:spacing w:after="120"/>
      </w:pPr>
    </w:p>
    <w:p>
      <w:r>
        <w:br w:type="page"/>
      </w:r>
    </w:p>
    <w:p>
      <w:pPr>
        <w:pStyle w:val="Heading1"/>
        <w:pBdr>
          <w:bottom w:val="single" w:color="0E7C7B" w:sz="8" w:space="4"/>
        </w:pBdr>
        <w:spacing w:after="200" w:before="420"/>
      </w:pPr>
      <w:r>
        <w:rPr>
          <w:b/>
          <w:bCs/>
          <w:color w:val="0B2545"/>
          <w:sz w:val="30"/>
          <w:szCs w:val="30"/>
        </w:rPr>
        <w:t xml:space="preserve">2. Market Opportunity &amp; Go-to-Market Strategy</w:t>
      </w:r>
    </w:p>
    <w:p>
      <w:pPr>
        <w:pStyle w:val="Heading2"/>
        <w:spacing w:after="140" w:before="300"/>
      </w:pPr>
      <w:r>
        <w:rPr>
          <w:b/>
          <w:bCs/>
          <w:color w:val="13315C"/>
          <w:sz w:val="24"/>
          <w:szCs w:val="24"/>
        </w:rPr>
        <w:t xml:space="preserve">2.1 Market Context: Kenya and East Africa</w:t>
      </w:r>
    </w:p>
    <w:p>
      <w:pPr>
        <w:spacing w:after="160" w:line="276"/>
      </w:pPr>
      <w:r>
        <w:rPr>
          <w:color w:val="222222"/>
          <w:sz w:val="21"/>
          <w:szCs w:val="21"/>
        </w:rPr>
        <w:t xml:space="preserve">Kenya is one of the most digitally advanced mobile-money and SME-services markets on the continent, with near-universal mobile penetration, a dominant mobile-money rail in M-Pesa, and a fast-growing base of digital-first SMEs, banks, SACCOs, insurers, retailers, and government agencies that all run some form of customer communication today — typically via fragmented, unintegrated tools (a bulk-SMS vendor, a separate Mailchimp or similar email tool, WhatsApp Business manually operated, and a CRM that talks to none of them).</w:t>
      </w:r>
    </w:p>
    <w:p>
      <w:pPr>
        <w:spacing w:after="160" w:line="276"/>
      </w:pPr>
      <w:r>
        <w:rPr>
          <w:color w:val="222222"/>
          <w:sz w:val="21"/>
          <w:szCs w:val="21"/>
        </w:rPr>
        <w:t xml:space="preserve">This fragmentation is the opportunity. i3 Engage Cloud does not compete on “cheapest SMS credit” — it competes by unifying CRM, campaigns, messaging, payments, and AI into one Customer-360 view, something no regional vendor currently offers end-to-end, and few global platforms (HubSpot, Salesforce Marketing Cloud, Braze) localise for M-Pesa, Safaricom/Airtel SMPP, or Kenyan data-protection law.</w:t>
      </w:r>
    </w:p>
    <w:p>
      <w:pPr>
        <w:pStyle w:val="Heading2"/>
        <w:spacing w:after="140" w:before="300"/>
      </w:pPr>
      <w:r>
        <w:rPr>
          <w:b/>
          <w:bCs/>
          <w:color w:val="13315C"/>
          <w:sz w:val="24"/>
          <w:szCs w:val="24"/>
        </w:rPr>
        <w:t xml:space="preserve">2.2 Target Segments &amp; Buyer Personas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900"/>
        <w:gridCol w:w="1850"/>
      </w:tblGrid>
      <w:tr>
        <w:trPr>
          <w:tblHeader/>
        </w:trPr>
        <w:tc>
          <w:tcPr>
            <w:tcW w:type="dxa" w:w="2200"/>
            <w:shd w:fill="0B2545" w:val="clear"/>
            <w:tcMar>
              <w:top w:type="dxa" w:w="100"/>
              <w:left w:type="dxa" w:w="120"/>
              <w:bottom w:type="dxa" w:w="100"/>
              <w:right w:type="dxa" w:w="120"/>
            </w:tcMar>
            <w:vAlign w:val="center"/>
          </w:tcPr>
          <w:p>
            <w:pPr>
              <w:spacing w:after="0"/>
            </w:pPr>
            <w:r>
              <w:rPr>
                <w:b/>
                <w:bCs/>
                <w:color w:val="FFFFFF"/>
                <w:sz w:val="19"/>
                <w:szCs w:val="19"/>
              </w:rPr>
              <w:t xml:space="preserve">Segment</w:t>
            </w:r>
          </w:p>
        </w:tc>
        <w:tc>
          <w:tcPr>
            <w:tcW w:type="dxa" w:w="2400"/>
            <w:shd w:fill="0B2545" w:val="clear"/>
            <w:tcMar>
              <w:top w:type="dxa" w:w="100"/>
              <w:left w:type="dxa" w:w="120"/>
              <w:bottom w:type="dxa" w:w="100"/>
              <w:right w:type="dxa" w:w="120"/>
            </w:tcMar>
            <w:vAlign w:val="center"/>
          </w:tcPr>
          <w:p>
            <w:pPr>
              <w:spacing w:after="0"/>
            </w:pPr>
            <w:r>
              <w:rPr>
                <w:b/>
                <w:bCs/>
                <w:color w:val="FFFFFF"/>
                <w:sz w:val="19"/>
                <w:szCs w:val="19"/>
              </w:rPr>
              <w:t xml:space="preserve">Buyer / Persona</w:t>
            </w:r>
          </w:p>
        </w:tc>
        <w:tc>
          <w:tcPr>
            <w:tcW w:type="dxa" w:w="2900"/>
            <w:shd w:fill="0B2545" w:val="clear"/>
            <w:tcMar>
              <w:top w:type="dxa" w:w="100"/>
              <w:left w:type="dxa" w:w="120"/>
              <w:bottom w:type="dxa" w:w="100"/>
              <w:right w:type="dxa" w:w="120"/>
            </w:tcMar>
            <w:vAlign w:val="center"/>
          </w:tcPr>
          <w:p>
            <w:pPr>
              <w:spacing w:after="0"/>
            </w:pPr>
            <w:r>
              <w:rPr>
                <w:b/>
                <w:bCs/>
                <w:color w:val="FFFFFF"/>
                <w:sz w:val="19"/>
                <w:szCs w:val="19"/>
              </w:rPr>
              <w:t xml:space="preserve">Primary Need</w:t>
            </w:r>
          </w:p>
        </w:tc>
        <w:tc>
          <w:tcPr>
            <w:tcW w:type="dxa" w:w="1850"/>
            <w:shd w:fill="0B2545" w:val="clear"/>
            <w:tcMar>
              <w:top w:type="dxa" w:w="100"/>
              <w:left w:type="dxa" w:w="120"/>
              <w:bottom w:type="dxa" w:w="100"/>
              <w:right w:type="dxa" w:w="120"/>
            </w:tcMar>
            <w:vAlign w:val="center"/>
          </w:tcPr>
          <w:p>
            <w:pPr>
              <w:spacing w:after="0"/>
            </w:pPr>
            <w:r>
              <w:rPr>
                <w:b/>
                <w:bCs/>
                <w:color w:val="FFFFFF"/>
                <w:sz w:val="19"/>
                <w:szCs w:val="19"/>
              </w:rPr>
              <w:t xml:space="preserve">Entry Product</w:t>
            </w:r>
          </w:p>
        </w:tc>
      </w:tr>
      <w:tr>
        <w:tc>
          <w:tcPr>
            <w:tcW w:type="dxa" w:w="2200"/>
            <w:shd w:fill="FFFFFF" w:val="clear"/>
            <w:tcMar>
              <w:top w:type="dxa" w:w="90"/>
              <w:left w:type="dxa" w:w="120"/>
              <w:bottom w:type="dxa" w:w="90"/>
              <w:right w:type="dxa" w:w="120"/>
            </w:tcMar>
            <w:vAlign w:val="center"/>
          </w:tcPr>
          <w:p>
            <w:pPr>
              <w:spacing w:after="0"/>
            </w:pPr>
            <w:r>
              <w:rPr>
                <w:color w:val="222222"/>
                <w:sz w:val="19"/>
                <w:szCs w:val="19"/>
              </w:rPr>
              <w:t xml:space="preserve">Banks, SACCOs, Insurers</w:t>
            </w:r>
          </w:p>
        </w:tc>
        <w:tc>
          <w:tcPr>
            <w:tcW w:type="dxa" w:w="2400"/>
            <w:shd w:fill="FFFFFF" w:val="clear"/>
            <w:tcMar>
              <w:top w:type="dxa" w:w="90"/>
              <w:left w:type="dxa" w:w="120"/>
              <w:bottom w:type="dxa" w:w="90"/>
              <w:right w:type="dxa" w:w="120"/>
            </w:tcMar>
            <w:vAlign w:val="center"/>
          </w:tcPr>
          <w:p>
            <w:pPr>
              <w:spacing w:after="0"/>
            </w:pPr>
            <w:r>
              <w:rPr>
                <w:color w:val="222222"/>
                <w:sz w:val="19"/>
                <w:szCs w:val="19"/>
              </w:rPr>
              <w:t xml:space="preserve">Head of Digital / Marketing, CISO</w:t>
            </w:r>
          </w:p>
        </w:tc>
        <w:tc>
          <w:tcPr>
            <w:tcW w:type="dxa" w:w="2900"/>
            <w:shd w:fill="FFFFFF" w:val="clear"/>
            <w:tcMar>
              <w:top w:type="dxa" w:w="90"/>
              <w:left w:type="dxa" w:w="120"/>
              <w:bottom w:type="dxa" w:w="90"/>
              <w:right w:type="dxa" w:w="120"/>
            </w:tcMar>
            <w:vAlign w:val="center"/>
          </w:tcPr>
          <w:p>
            <w:pPr>
              <w:spacing w:after="0"/>
            </w:pPr>
            <w:r>
              <w:rPr>
                <w:color w:val="222222"/>
                <w:sz w:val="19"/>
                <w:szCs w:val="19"/>
              </w:rPr>
              <w:t xml:space="preserve">Compliant, auditable customer comms + OTP + statements</w:t>
            </w:r>
          </w:p>
        </w:tc>
        <w:tc>
          <w:tcPr>
            <w:tcW w:type="dxa" w:w="1850"/>
            <w:shd w:fill="FFFFFF" w:val="clear"/>
            <w:tcMar>
              <w:top w:type="dxa" w:w="90"/>
              <w:left w:type="dxa" w:w="120"/>
              <w:bottom w:type="dxa" w:w="90"/>
              <w:right w:type="dxa" w:w="120"/>
            </w:tcMar>
            <w:vAlign w:val="center"/>
          </w:tcPr>
          <w:p>
            <w:pPr>
              <w:spacing w:after="0"/>
            </w:pPr>
            <w:r>
              <w:rPr>
                <w:color w:val="222222"/>
                <w:sz w:val="19"/>
                <w:szCs w:val="19"/>
              </w:rPr>
              <w:t xml:space="preserve">Transactional SMS/Email API + CRM</w:t>
            </w:r>
          </w:p>
        </w:tc>
      </w:tr>
      <w:tr>
        <w:tc>
          <w:tcPr>
            <w:tcW w:type="dxa" w:w="2200"/>
            <w:shd w:fill="F5F7F5" w:val="clear"/>
            <w:tcMar>
              <w:top w:type="dxa" w:w="90"/>
              <w:left w:type="dxa" w:w="120"/>
              <w:bottom w:type="dxa" w:w="90"/>
              <w:right w:type="dxa" w:w="120"/>
            </w:tcMar>
            <w:vAlign w:val="center"/>
          </w:tcPr>
          <w:p>
            <w:pPr>
              <w:spacing w:after="0"/>
            </w:pPr>
            <w:r>
              <w:rPr>
                <w:color w:val="222222"/>
                <w:sz w:val="19"/>
                <w:szCs w:val="19"/>
              </w:rPr>
              <w:t xml:space="preserve">Digital &amp; Social Media Agencies</w:t>
            </w:r>
          </w:p>
        </w:tc>
        <w:tc>
          <w:tcPr>
            <w:tcW w:type="dxa" w:w="2400"/>
            <w:shd w:fill="F5F7F5" w:val="clear"/>
            <w:tcMar>
              <w:top w:type="dxa" w:w="90"/>
              <w:left w:type="dxa" w:w="120"/>
              <w:bottom w:type="dxa" w:w="90"/>
              <w:right w:type="dxa" w:w="120"/>
            </w:tcMar>
            <w:vAlign w:val="center"/>
          </w:tcPr>
          <w:p>
            <w:pPr>
              <w:spacing w:after="0"/>
            </w:pPr>
            <w:r>
              <w:rPr>
                <w:color w:val="222222"/>
                <w:sz w:val="19"/>
                <w:szCs w:val="19"/>
              </w:rPr>
              <w:t xml:space="preserve">Agency Owner, Account Director</w:t>
            </w:r>
          </w:p>
        </w:tc>
        <w:tc>
          <w:tcPr>
            <w:tcW w:type="dxa" w:w="2900"/>
            <w:shd w:fill="F5F7F5" w:val="clear"/>
            <w:tcMar>
              <w:top w:type="dxa" w:w="90"/>
              <w:left w:type="dxa" w:w="120"/>
              <w:bottom w:type="dxa" w:w="90"/>
              <w:right w:type="dxa" w:w="120"/>
            </w:tcMar>
            <w:vAlign w:val="center"/>
          </w:tcPr>
          <w:p>
            <w:pPr>
              <w:spacing w:after="0"/>
            </w:pPr>
            <w:r>
              <w:rPr>
                <w:color w:val="222222"/>
                <w:sz w:val="19"/>
                <w:szCs w:val="19"/>
              </w:rPr>
              <w:t xml:space="preserve">White-label platform to resell to their own clients</w:t>
            </w:r>
          </w:p>
        </w:tc>
        <w:tc>
          <w:tcPr>
            <w:tcW w:type="dxa" w:w="1850"/>
            <w:shd w:fill="F5F7F5" w:val="clear"/>
            <w:tcMar>
              <w:top w:type="dxa" w:w="90"/>
              <w:left w:type="dxa" w:w="120"/>
              <w:bottom w:type="dxa" w:w="90"/>
              <w:right w:type="dxa" w:w="120"/>
            </w:tcMar>
            <w:vAlign w:val="center"/>
          </w:tcPr>
          <w:p>
            <w:pPr>
              <w:spacing w:after="0"/>
            </w:pPr>
            <w:r>
              <w:rPr>
                <w:color w:val="222222"/>
                <w:sz w:val="19"/>
                <w:szCs w:val="19"/>
              </w:rPr>
              <w:t xml:space="preserve">Agency Control Plane (multi-tenant)</w:t>
            </w:r>
          </w:p>
        </w:tc>
      </w:tr>
      <w:tr>
        <w:tc>
          <w:tcPr>
            <w:tcW w:type="dxa" w:w="2200"/>
            <w:shd w:fill="FFFFFF" w:val="clear"/>
            <w:tcMar>
              <w:top w:type="dxa" w:w="90"/>
              <w:left w:type="dxa" w:w="120"/>
              <w:bottom w:type="dxa" w:w="90"/>
              <w:right w:type="dxa" w:w="120"/>
            </w:tcMar>
            <w:vAlign w:val="center"/>
          </w:tcPr>
          <w:p>
            <w:pPr>
              <w:spacing w:after="0"/>
            </w:pPr>
            <w:r>
              <w:rPr>
                <w:color w:val="222222"/>
                <w:sz w:val="19"/>
                <w:szCs w:val="19"/>
              </w:rPr>
              <w:t xml:space="preserve">Retail &amp; E-commerce</w:t>
            </w:r>
          </w:p>
        </w:tc>
        <w:tc>
          <w:tcPr>
            <w:tcW w:type="dxa" w:w="2400"/>
            <w:shd w:fill="FFFFFF" w:val="clear"/>
            <w:tcMar>
              <w:top w:type="dxa" w:w="90"/>
              <w:left w:type="dxa" w:w="120"/>
              <w:bottom w:type="dxa" w:w="90"/>
              <w:right w:type="dxa" w:w="120"/>
            </w:tcMar>
            <w:vAlign w:val="center"/>
          </w:tcPr>
          <w:p>
            <w:pPr>
              <w:spacing w:after="0"/>
            </w:pPr>
            <w:r>
              <w:rPr>
                <w:color w:val="222222"/>
                <w:sz w:val="19"/>
                <w:szCs w:val="19"/>
              </w:rPr>
              <w:t xml:space="preserve">Marketing Manager</w:t>
            </w:r>
          </w:p>
        </w:tc>
        <w:tc>
          <w:tcPr>
            <w:tcW w:type="dxa" w:w="2900"/>
            <w:shd w:fill="FFFFFF" w:val="clear"/>
            <w:tcMar>
              <w:top w:type="dxa" w:w="90"/>
              <w:left w:type="dxa" w:w="120"/>
              <w:bottom w:type="dxa" w:w="90"/>
              <w:right w:type="dxa" w:w="120"/>
            </w:tcMar>
            <w:vAlign w:val="center"/>
          </w:tcPr>
          <w:p>
            <w:pPr>
              <w:spacing w:after="0"/>
            </w:pPr>
            <w:r>
              <w:rPr>
                <w:color w:val="222222"/>
                <w:sz w:val="19"/>
                <w:szCs w:val="19"/>
              </w:rPr>
              <w:t xml:space="preserve">Promotions, loyalty, abandoned-cart journeys, receipts</w:t>
            </w:r>
          </w:p>
        </w:tc>
        <w:tc>
          <w:tcPr>
            <w:tcW w:type="dxa" w:w="1850"/>
            <w:shd w:fill="FFFFFF" w:val="clear"/>
            <w:tcMar>
              <w:top w:type="dxa" w:w="90"/>
              <w:left w:type="dxa" w:w="120"/>
              <w:bottom w:type="dxa" w:w="90"/>
              <w:right w:type="dxa" w:w="120"/>
            </w:tcMar>
            <w:vAlign w:val="center"/>
          </w:tcPr>
          <w:p>
            <w:pPr>
              <w:spacing w:after="0"/>
            </w:pPr>
            <w:r>
              <w:rPr>
                <w:color w:val="222222"/>
                <w:sz w:val="19"/>
                <w:szCs w:val="19"/>
              </w:rPr>
              <w:t xml:space="preserve">Campaign Engine + Payments</w:t>
            </w:r>
          </w:p>
        </w:tc>
      </w:tr>
      <w:tr>
        <w:tc>
          <w:tcPr>
            <w:tcW w:type="dxa" w:w="2200"/>
            <w:shd w:fill="F5F7F5" w:val="clear"/>
            <w:tcMar>
              <w:top w:type="dxa" w:w="90"/>
              <w:left w:type="dxa" w:w="120"/>
              <w:bottom w:type="dxa" w:w="90"/>
              <w:right w:type="dxa" w:w="120"/>
            </w:tcMar>
            <w:vAlign w:val="center"/>
          </w:tcPr>
          <w:p>
            <w:pPr>
              <w:spacing w:after="0"/>
            </w:pPr>
            <w:r>
              <w:rPr>
                <w:color w:val="222222"/>
                <w:sz w:val="19"/>
                <w:szCs w:val="19"/>
              </w:rPr>
              <w:t xml:space="preserve">Education (incl. i3 Academy, SIT)</w:t>
            </w:r>
          </w:p>
        </w:tc>
        <w:tc>
          <w:tcPr>
            <w:tcW w:type="dxa" w:w="2400"/>
            <w:shd w:fill="F5F7F5" w:val="clear"/>
            <w:tcMar>
              <w:top w:type="dxa" w:w="90"/>
              <w:left w:type="dxa" w:w="120"/>
              <w:bottom w:type="dxa" w:w="90"/>
              <w:right w:type="dxa" w:w="120"/>
            </w:tcMar>
            <w:vAlign w:val="center"/>
          </w:tcPr>
          <w:p>
            <w:pPr>
              <w:spacing w:after="0"/>
            </w:pPr>
            <w:r>
              <w:rPr>
                <w:color w:val="222222"/>
                <w:sz w:val="19"/>
                <w:szCs w:val="19"/>
              </w:rPr>
              <w:t xml:space="preserve">Admissions / Registrar</w:t>
            </w:r>
          </w:p>
        </w:tc>
        <w:tc>
          <w:tcPr>
            <w:tcW w:type="dxa" w:w="2900"/>
            <w:shd w:fill="F5F7F5" w:val="clear"/>
            <w:tcMar>
              <w:top w:type="dxa" w:w="90"/>
              <w:left w:type="dxa" w:w="120"/>
              <w:bottom w:type="dxa" w:w="90"/>
              <w:right w:type="dxa" w:w="120"/>
            </w:tcMar>
            <w:vAlign w:val="center"/>
          </w:tcPr>
          <w:p>
            <w:pPr>
              <w:spacing w:after="0"/>
            </w:pPr>
            <w:r>
              <w:rPr>
                <w:color w:val="222222"/>
                <w:sz w:val="19"/>
                <w:szCs w:val="19"/>
              </w:rPr>
              <w:t xml:space="preserve">Applicant journeys, fee reminders, certificates</w:t>
            </w:r>
          </w:p>
        </w:tc>
        <w:tc>
          <w:tcPr>
            <w:tcW w:type="dxa" w:w="1850"/>
            <w:shd w:fill="F5F7F5" w:val="clear"/>
            <w:tcMar>
              <w:top w:type="dxa" w:w="90"/>
              <w:left w:type="dxa" w:w="120"/>
              <w:bottom w:type="dxa" w:w="90"/>
              <w:right w:type="dxa" w:w="120"/>
            </w:tcMar>
            <w:vAlign w:val="center"/>
          </w:tcPr>
          <w:p>
            <w:pPr>
              <w:spacing w:after="0"/>
            </w:pPr>
            <w:r>
              <w:rPr>
                <w:color w:val="222222"/>
                <w:sz w:val="19"/>
                <w:szCs w:val="19"/>
              </w:rPr>
              <w:t xml:space="preserve">CRM + Journeys + M-Pesa receipting</w:t>
            </w:r>
          </w:p>
        </w:tc>
      </w:tr>
      <w:tr>
        <w:tc>
          <w:tcPr>
            <w:tcW w:type="dxa" w:w="2200"/>
            <w:shd w:fill="FFFFFF" w:val="clear"/>
            <w:tcMar>
              <w:top w:type="dxa" w:w="90"/>
              <w:left w:type="dxa" w:w="120"/>
              <w:bottom w:type="dxa" w:w="90"/>
              <w:right w:type="dxa" w:w="120"/>
            </w:tcMar>
            <w:vAlign w:val="center"/>
          </w:tcPr>
          <w:p>
            <w:pPr>
              <w:spacing w:after="0"/>
            </w:pPr>
            <w:r>
              <w:rPr>
                <w:color w:val="222222"/>
                <w:sz w:val="19"/>
                <w:szCs w:val="19"/>
              </w:rPr>
              <w:t xml:space="preserve">NGOs &amp; Government Programmes</w:t>
            </w:r>
          </w:p>
        </w:tc>
        <w:tc>
          <w:tcPr>
            <w:tcW w:type="dxa" w:w="2400"/>
            <w:shd w:fill="FFFFFF" w:val="clear"/>
            <w:tcMar>
              <w:top w:type="dxa" w:w="90"/>
              <w:left w:type="dxa" w:w="120"/>
              <w:bottom w:type="dxa" w:w="90"/>
              <w:right w:type="dxa" w:w="120"/>
            </w:tcMar>
            <w:vAlign w:val="center"/>
          </w:tcPr>
          <w:p>
            <w:pPr>
              <w:spacing w:after="0"/>
            </w:pPr>
            <w:r>
              <w:rPr>
                <w:color w:val="222222"/>
                <w:sz w:val="19"/>
                <w:szCs w:val="19"/>
              </w:rPr>
              <w:t xml:space="preserve">Programme/Comms Lead</w:t>
            </w:r>
          </w:p>
        </w:tc>
        <w:tc>
          <w:tcPr>
            <w:tcW w:type="dxa" w:w="2900"/>
            <w:shd w:fill="FFFFFF" w:val="clear"/>
            <w:tcMar>
              <w:top w:type="dxa" w:w="90"/>
              <w:left w:type="dxa" w:w="120"/>
              <w:bottom w:type="dxa" w:w="90"/>
              <w:right w:type="dxa" w:w="120"/>
            </w:tcMar>
            <w:vAlign w:val="center"/>
          </w:tcPr>
          <w:p>
            <w:pPr>
              <w:spacing w:after="0"/>
            </w:pPr>
            <w:r>
              <w:rPr>
                <w:color w:val="222222"/>
                <w:sz w:val="19"/>
                <w:szCs w:val="19"/>
              </w:rPr>
              <w:t xml:space="preserve">Mass citizen outreach (e.g., AI HALISI, REAL KENYA)</w:t>
            </w:r>
          </w:p>
        </w:tc>
        <w:tc>
          <w:tcPr>
            <w:tcW w:type="dxa" w:w="1850"/>
            <w:shd w:fill="FFFFFF" w:val="clear"/>
            <w:tcMar>
              <w:top w:type="dxa" w:w="90"/>
              <w:left w:type="dxa" w:w="120"/>
              <w:bottom w:type="dxa" w:w="90"/>
              <w:right w:type="dxa" w:w="120"/>
            </w:tcMar>
            <w:vAlign w:val="center"/>
          </w:tcPr>
          <w:p>
            <w:pPr>
              <w:spacing w:after="0"/>
            </w:pPr>
            <w:r>
              <w:rPr>
                <w:color w:val="222222"/>
                <w:sz w:val="19"/>
                <w:szCs w:val="19"/>
              </w:rPr>
              <w:t xml:space="preserve">Bulk SMS + WhatsApp broadcast</w:t>
            </w:r>
          </w:p>
        </w:tc>
      </w:tr>
      <w:tr>
        <w:tc>
          <w:tcPr>
            <w:tcW w:type="dxa" w:w="2200"/>
            <w:shd w:fill="F5F7F5" w:val="clear"/>
            <w:tcMar>
              <w:top w:type="dxa" w:w="90"/>
              <w:left w:type="dxa" w:w="120"/>
              <w:bottom w:type="dxa" w:w="90"/>
              <w:right w:type="dxa" w:w="120"/>
            </w:tcMar>
            <w:vAlign w:val="center"/>
          </w:tcPr>
          <w:p>
            <w:pPr>
              <w:spacing w:after="0"/>
            </w:pPr>
            <w:r>
              <w:rPr>
                <w:color w:val="222222"/>
                <w:sz w:val="19"/>
                <w:szCs w:val="19"/>
              </w:rPr>
              <w:t xml:space="preserve">Telco &amp; Enterprise (large volume)</w:t>
            </w:r>
          </w:p>
        </w:tc>
        <w:tc>
          <w:tcPr>
            <w:tcW w:type="dxa" w:w="2400"/>
            <w:shd w:fill="F5F7F5" w:val="clear"/>
            <w:tcMar>
              <w:top w:type="dxa" w:w="90"/>
              <w:left w:type="dxa" w:w="120"/>
              <w:bottom w:type="dxa" w:w="90"/>
              <w:right w:type="dxa" w:w="120"/>
            </w:tcMar>
            <w:vAlign w:val="center"/>
          </w:tcPr>
          <w:p>
            <w:pPr>
              <w:spacing w:after="0"/>
            </w:pPr>
            <w:r>
              <w:rPr>
                <w:color w:val="222222"/>
                <w:sz w:val="19"/>
                <w:szCs w:val="19"/>
              </w:rPr>
              <w:t xml:space="preserve">Enterprise IT / Procurement</w:t>
            </w:r>
          </w:p>
        </w:tc>
        <w:tc>
          <w:tcPr>
            <w:tcW w:type="dxa" w:w="2900"/>
            <w:shd w:fill="F5F7F5" w:val="clear"/>
            <w:tcMar>
              <w:top w:type="dxa" w:w="90"/>
              <w:left w:type="dxa" w:w="120"/>
              <w:bottom w:type="dxa" w:w="90"/>
              <w:right w:type="dxa" w:w="120"/>
            </w:tcMar>
            <w:vAlign w:val="center"/>
          </w:tcPr>
          <w:p>
            <w:pPr>
              <w:spacing w:after="0"/>
            </w:pPr>
            <w:r>
              <w:rPr>
                <w:color w:val="222222"/>
                <w:sz w:val="19"/>
                <w:szCs w:val="19"/>
              </w:rPr>
              <w:t xml:space="preserve">High-throughput A2P messaging, SLAs</w:t>
            </w:r>
          </w:p>
        </w:tc>
        <w:tc>
          <w:tcPr>
            <w:tcW w:type="dxa" w:w="1850"/>
            <w:shd w:fill="F5F7F5" w:val="clear"/>
            <w:tcMar>
              <w:top w:type="dxa" w:w="90"/>
              <w:left w:type="dxa" w:w="120"/>
              <w:bottom w:type="dxa" w:w="90"/>
              <w:right w:type="dxa" w:w="120"/>
            </w:tcMar>
            <w:vAlign w:val="center"/>
          </w:tcPr>
          <w:p>
            <w:pPr>
              <w:spacing w:after="0"/>
            </w:pPr>
            <w:r>
              <w:rPr>
                <w:color w:val="222222"/>
                <w:sz w:val="19"/>
                <w:szCs w:val="19"/>
              </w:rPr>
              <w:t xml:space="preserve">Direct SMPP + dedicated tenancy</w:t>
            </w:r>
          </w:p>
        </w:tc>
      </w:tr>
    </w:tbl>
    <w:p>
      <w:pPr>
        <w:spacing w:after="120"/>
      </w:pPr>
    </w:p>
    <w:p>
      <w:pPr>
        <w:pStyle w:val="Heading2"/>
        <w:spacing w:after="140" w:before="300"/>
      </w:pPr>
      <w:r>
        <w:rPr>
          <w:b/>
          <w:bCs/>
          <w:color w:val="13315C"/>
          <w:sz w:val="24"/>
          <w:szCs w:val="24"/>
        </w:rPr>
        <w:t xml:space="preserve">2.3 Competitive Landscape</w:t>
      </w:r>
    </w:p>
    <w:p>
      <w:pPr>
        <w:spacing w:after="160" w:line="276"/>
      </w:pPr>
      <w:r>
        <w:rPr>
          <w:color w:val="222222"/>
          <w:sz w:val="21"/>
          <w:szCs w:val="21"/>
        </w:rPr>
        <w:t xml:space="preserve">i3 Engage Cloud sits at the intersection of three competitor categories, none of which fully serve the East African mid-market with a unified, locally-integrated offering:</w:t>
      </w:r>
    </w:p>
    <w:p>
      <w:pPr>
        <w:pStyle w:val="ListParagraph"/>
        <w:numPr>
          <w:ilvl w:val="0"/>
          <w:numId w:val="2"/>
        </w:numPr>
        <w:spacing w:after="90" w:line="264"/>
      </w:pPr>
      <w:r>
        <w:rPr>
          <w:color w:val="222222"/>
          <w:sz w:val="21"/>
          <w:szCs w:val="21"/>
        </w:rPr>
        <w:t xml:space="preserve">Global CPaaS/aggregators (Twilio, Vonage, Infobip, Africa's Talking, Sinch) — strong messaging infrastructure but limited or no native CRM, journeys, or M-Pesa/Paystack receipting layered on top.</w:t>
      </w:r>
    </w:p>
    <w:p>
      <w:pPr>
        <w:pStyle w:val="ListParagraph"/>
        <w:numPr>
          <w:ilvl w:val="0"/>
          <w:numId w:val="2"/>
        </w:numPr>
        <w:spacing w:after="90" w:line="264"/>
      </w:pPr>
      <w:r>
        <w:rPr>
          <w:color w:val="222222"/>
          <w:sz w:val="21"/>
          <w:szCs w:val="21"/>
        </w:rPr>
        <w:t xml:space="preserve">Global MarTech suites (HubSpot, Salesforce Marketing Cloud, ActiveCampaign, Klaviyo, Braze) — rich CRM/automation but priced for the US/EU market, weak East African payment and SMS-carrier localisation, and no Agentic AI tuned to African use cases or languages.</w:t>
      </w:r>
    </w:p>
    <w:p>
      <w:pPr>
        <w:pStyle w:val="ListParagraph"/>
        <w:numPr>
          <w:ilvl w:val="0"/>
          <w:numId w:val="2"/>
        </w:numPr>
        <w:spacing w:after="90" w:line="264"/>
      </w:pPr>
      <w:r>
        <w:rPr>
          <w:color w:val="222222"/>
          <w:sz w:val="21"/>
          <w:szCs w:val="21"/>
        </w:rPr>
        <w:t xml:space="preserve">Local bulk-SMS resellers — cheap SMS credit, effectively no CRM, no journeys, no AI, and no receipting integration.</w:t>
      </w:r>
    </w:p>
    <w:p>
      <w:pPr>
        <w:spacing w:after="160" w:line="276"/>
      </w:pPr>
      <w:r>
        <w:rPr>
          <w:color w:val="222222"/>
          <w:sz w:val="21"/>
          <w:szCs w:val="21"/>
        </w:rPr>
        <w:t xml:space="preserve">i3's differentiation is the combination: unified CDP + omnichannel delivery + Agentic AI + native Safaricom Daraja and Paystack payments + i3's existing enterprise trust (IBM Silver Partner, Anthropic Claude Partner, Red Hat Partner) and delivery capacity (67+ certified engineers, i3 Academy talent pipeline, 50-node partner network).</w:t>
      </w:r>
    </w:p>
    <w:p>
      <w:pPr>
        <w:pStyle w:val="Heading2"/>
        <w:spacing w:after="140" w:before="300"/>
      </w:pPr>
      <w:r>
        <w:rPr>
          <w:b/>
          <w:bCs/>
          <w:color w:val="13315C"/>
          <w:sz w:val="24"/>
          <w:szCs w:val="24"/>
        </w:rPr>
        <w:t xml:space="preserve">2.4 Value Proposition &amp; Positioning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5E0CC" w:sz="2"/>
              <w:left w:val="single" w:color="0E7C7B" w:sz="24"/>
              <w:bottom w:val="single" w:color="E5E0CC" w:sz="2"/>
              <w:right w:val="single" w:color="E5E0CC" w:sz="2"/>
            </w:tcBorders>
            <w:shd w:fill="FBF8EE" w:val="clear"/>
            <w:tcMar>
              <w:top w:type="dxa" w:w="160"/>
              <w:left w:type="dxa" w:w="220"/>
              <w:bottom w:type="dxa" w:w="160"/>
              <w:right w:type="dxa" w:w="220"/>
            </w:tcMar>
          </w:tcPr>
          <w:p>
            <w:pPr>
              <w:spacing w:after="60"/>
            </w:pPr>
            <w:r>
              <w:rPr>
                <w:b/>
                <w:bCs/>
                <w:color w:val="0B2545"/>
                <w:sz w:val="21"/>
                <w:szCs w:val="21"/>
              </w:rPr>
              <w:t xml:space="preserve">Positioning statement</w:t>
            </w:r>
          </w:p>
          <w:p>
            <w:pPr>
              <w:spacing w:after="0"/>
            </w:pPr>
            <w:r>
              <w:rPr>
                <w:color w:val="333333"/>
                <w:sz w:val="20"/>
                <w:szCs w:val="20"/>
              </w:rPr>
              <w:t xml:space="preserve">“i3 Engage Cloud is the customer-engagement platform built for African businesses — one login for CRM, SMS, Email, WhatsApp and campaigns, powered by Agentic AI, billed and received in the way your customers actually pay: M-Pesa and card.”</w:t>
            </w:r>
          </w:p>
        </w:tc>
      </w:tr>
    </w:tbl>
    <w:p>
      <w:pPr>
        <w:spacing w:after="80"/>
      </w:pPr>
    </w:p>
    <w:p>
      <w:pPr>
        <w:pStyle w:val="Heading2"/>
        <w:spacing w:after="140" w:before="300"/>
      </w:pPr>
      <w:r>
        <w:rPr>
          <w:b/>
          <w:bCs/>
          <w:color w:val="13315C"/>
          <w:sz w:val="24"/>
          <w:szCs w:val="24"/>
        </w:rPr>
        <w:t xml:space="preserve">2.5 GTM Motion &amp; Sales Channels</w:t>
      </w:r>
    </w:p>
    <w:p>
      <w:pPr>
        <w:pStyle w:val="ListParagraph"/>
        <w:numPr>
          <w:ilvl w:val="0"/>
          <w:numId w:val="2"/>
        </w:numPr>
        <w:spacing w:after="90" w:line="264"/>
      </w:pPr>
      <w:r>
        <w:rPr>
          <w:color w:val="222222"/>
          <w:sz w:val="21"/>
          <w:szCs w:val="21"/>
        </w:rPr>
        <w:t xml:space="preserve">Direct enterprise sales into i3's existing relationships: banks, SACCOs, insurers, government (building on the KRA and AI HALISI relationships already in motion).</w:t>
      </w:r>
    </w:p>
    <w:p>
      <w:pPr>
        <w:pStyle w:val="ListParagraph"/>
        <w:numPr>
          <w:ilvl w:val="0"/>
          <w:numId w:val="2"/>
        </w:numPr>
        <w:spacing w:after="90" w:line="264"/>
      </w:pPr>
      <w:r>
        <w:rPr>
          <w:color w:val="222222"/>
          <w:sz w:val="21"/>
          <w:szCs w:val="21"/>
        </w:rPr>
        <w:t xml:space="preserve">Agency-led distribution: onboard 3–5 anchor digital/social marketing agencies in Nairobi as white-label resellers who bring their own client books.</w:t>
      </w:r>
    </w:p>
    <w:p>
      <w:pPr>
        <w:pStyle w:val="ListParagraph"/>
        <w:numPr>
          <w:ilvl w:val="0"/>
          <w:numId w:val="2"/>
        </w:numPr>
        <w:spacing w:after="90" w:line="264"/>
      </w:pPr>
      <w:r>
        <w:rPr>
          <w:color w:val="222222"/>
          <w:sz w:val="21"/>
          <w:szCs w:val="21"/>
        </w:rPr>
        <w:t xml:space="preserve">i3 Academy cross-sell: every bootcamp cohort, corporate training client, and certification candidate becomes a warm CRM/marketing-automation lead.</w:t>
      </w:r>
    </w:p>
    <w:p>
      <w:pPr>
        <w:pStyle w:val="ListParagraph"/>
        <w:numPr>
          <w:ilvl w:val="0"/>
          <w:numId w:val="2"/>
        </w:numPr>
        <w:spacing w:after="90" w:line="264"/>
      </w:pPr>
      <w:r>
        <w:rPr>
          <w:color w:val="222222"/>
          <w:sz w:val="21"/>
          <w:szCs w:val="21"/>
        </w:rPr>
        <w:t xml:space="preserve">Partner-node network: i3's 50-node partner network (7 countries, South Africa expansion planned) becomes the regional distribution and support arm.</w:t>
      </w:r>
    </w:p>
    <w:p>
      <w:pPr>
        <w:pStyle w:val="ListParagraph"/>
        <w:numPr>
          <w:ilvl w:val="0"/>
          <w:numId w:val="2"/>
        </w:numPr>
        <w:spacing w:after="90" w:line="264"/>
      </w:pPr>
      <w:r>
        <w:rPr>
          <w:color w:val="222222"/>
          <w:sz w:val="21"/>
          <w:szCs w:val="21"/>
        </w:rPr>
        <w:t xml:space="preserve">Product-led trial: a free-tier sandbox (limited contacts, limited SMS credit funded via Paystack/M-Pesa top-up) to reduce sales friction for SMEs.</w:t>
      </w:r>
    </w:p>
    <w:p>
      <w:pPr>
        <w:pStyle w:val="Heading2"/>
        <w:spacing w:after="140" w:before="300"/>
      </w:pPr>
      <w:r>
        <w:rPr>
          <w:b/>
          <w:bCs/>
          <w:color w:val="13315C"/>
          <w:sz w:val="24"/>
          <w:szCs w:val="24"/>
        </w:rPr>
        <w:t xml:space="preserve">2.6 Pricing &amp; Commercial Model</w:t>
      </w:r>
    </w:p>
    <w:p>
      <w:pPr>
        <w:spacing w:after="160" w:line="276"/>
      </w:pPr>
      <w:r>
        <w:rPr>
          <w:color w:val="222222"/>
          <w:sz w:val="21"/>
          <w:szCs w:val="21"/>
        </w:rPr>
        <w:t xml:space="preserve">Revenue is intentionally multi-stream rather than SMS-credit-only, so that unit economics do not depend solely on carrier margin: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950"/>
      </w:tblGrid>
      <w:tr>
        <w:trPr>
          <w:tblHeader/>
        </w:trPr>
        <w:tc>
          <w:tcPr>
            <w:tcW w:type="dxa" w:w="2500"/>
            <w:shd w:fill="0B2545" w:val="clear"/>
            <w:tcMar>
              <w:top w:type="dxa" w:w="100"/>
              <w:left w:type="dxa" w:w="120"/>
              <w:bottom w:type="dxa" w:w="100"/>
              <w:right w:type="dxa" w:w="120"/>
            </w:tcMar>
            <w:vAlign w:val="center"/>
          </w:tcPr>
          <w:p>
            <w:pPr>
              <w:spacing w:after="0"/>
            </w:pPr>
            <w:r>
              <w:rPr>
                <w:b/>
                <w:bCs/>
                <w:color w:val="FFFFFF"/>
                <w:sz w:val="19"/>
                <w:szCs w:val="19"/>
              </w:rPr>
              <w:t xml:space="preserve">Revenue Stream</w:t>
            </w:r>
          </w:p>
        </w:tc>
        <w:tc>
          <w:tcPr>
            <w:tcW w:type="dxa" w:w="2900"/>
            <w:shd w:fill="0B2545" w:val="clear"/>
            <w:tcMar>
              <w:top w:type="dxa" w:w="100"/>
              <w:left w:type="dxa" w:w="120"/>
              <w:bottom w:type="dxa" w:w="100"/>
              <w:right w:type="dxa" w:w="120"/>
            </w:tcMar>
            <w:vAlign w:val="center"/>
          </w:tcPr>
          <w:p>
            <w:pPr>
              <w:spacing w:after="0"/>
            </w:pPr>
            <w:r>
              <w:rPr>
                <w:b/>
                <w:bCs/>
                <w:color w:val="FFFFFF"/>
                <w:sz w:val="19"/>
                <w:szCs w:val="19"/>
              </w:rPr>
              <w:t xml:space="preserve">Model</w:t>
            </w:r>
          </w:p>
        </w:tc>
        <w:tc>
          <w:tcPr>
            <w:tcW w:type="dxa" w:w="3950"/>
            <w:shd w:fill="0B2545" w:val="clear"/>
            <w:tcMar>
              <w:top w:type="dxa" w:w="100"/>
              <w:left w:type="dxa" w:w="120"/>
              <w:bottom w:type="dxa" w:w="100"/>
              <w:right w:type="dxa" w:w="120"/>
            </w:tcMar>
            <w:vAlign w:val="center"/>
          </w:tcPr>
          <w:p>
            <w:pPr>
              <w:spacing w:after="0"/>
            </w:pPr>
            <w:r>
              <w:rPr>
                <w:b/>
                <w:bCs/>
                <w:color w:val="FFFFFF"/>
                <w:sz w:val="19"/>
                <w:szCs w:val="19"/>
              </w:rPr>
              <w:t xml:space="preserve">Illustrative Basis</w:t>
            </w:r>
          </w:p>
        </w:tc>
      </w:tr>
      <w:tr>
        <w:tc>
          <w:tcPr>
            <w:tcW w:type="dxa" w:w="2500"/>
            <w:shd w:fill="FFFFFF" w:val="clear"/>
            <w:tcMar>
              <w:top w:type="dxa" w:w="90"/>
              <w:left w:type="dxa" w:w="120"/>
              <w:bottom w:type="dxa" w:w="90"/>
              <w:right w:type="dxa" w:w="120"/>
            </w:tcMar>
            <w:vAlign w:val="center"/>
          </w:tcPr>
          <w:p>
            <w:pPr>
              <w:spacing w:after="0"/>
            </w:pPr>
            <w:r>
              <w:rPr>
                <w:color w:val="222222"/>
                <w:sz w:val="19"/>
                <w:szCs w:val="19"/>
              </w:rPr>
              <w:t xml:space="preserve">SaaS subscription</w:t>
            </w:r>
          </w:p>
        </w:tc>
        <w:tc>
          <w:tcPr>
            <w:tcW w:type="dxa" w:w="2900"/>
            <w:shd w:fill="FFFFFF" w:val="clear"/>
            <w:tcMar>
              <w:top w:type="dxa" w:w="90"/>
              <w:left w:type="dxa" w:w="120"/>
              <w:bottom w:type="dxa" w:w="90"/>
              <w:right w:type="dxa" w:w="120"/>
            </w:tcMar>
            <w:vAlign w:val="center"/>
          </w:tcPr>
          <w:p>
            <w:pPr>
              <w:spacing w:after="0"/>
            </w:pPr>
            <w:r>
              <w:rPr>
                <w:color w:val="222222"/>
                <w:sz w:val="19"/>
                <w:szCs w:val="19"/>
              </w:rPr>
              <w:t xml:space="preserve">Per-seat / per-tenant tiered</w:t>
            </w:r>
          </w:p>
        </w:tc>
        <w:tc>
          <w:tcPr>
            <w:tcW w:type="dxa" w:w="3950"/>
            <w:shd w:fill="FFFFFF" w:val="clear"/>
            <w:tcMar>
              <w:top w:type="dxa" w:w="90"/>
              <w:left w:type="dxa" w:w="120"/>
              <w:bottom w:type="dxa" w:w="90"/>
              <w:right w:type="dxa" w:w="120"/>
            </w:tcMar>
            <w:vAlign w:val="center"/>
          </w:tcPr>
          <w:p>
            <w:pPr>
              <w:spacing w:after="0"/>
            </w:pPr>
            <w:r>
              <w:rPr>
                <w:color w:val="222222"/>
                <w:sz w:val="19"/>
                <w:szCs w:val="19"/>
              </w:rPr>
              <w:t xml:space="preserve">Starter, Growth, Agency, Enterprise editions</w:t>
            </w:r>
          </w:p>
        </w:tc>
      </w:tr>
      <w:tr>
        <w:tc>
          <w:tcPr>
            <w:tcW w:type="dxa" w:w="2500"/>
            <w:shd w:fill="F5F7F5" w:val="clear"/>
            <w:tcMar>
              <w:top w:type="dxa" w:w="90"/>
              <w:left w:type="dxa" w:w="120"/>
              <w:bottom w:type="dxa" w:w="90"/>
              <w:right w:type="dxa" w:w="120"/>
            </w:tcMar>
            <w:vAlign w:val="center"/>
          </w:tcPr>
          <w:p>
            <w:pPr>
              <w:spacing w:after="0"/>
            </w:pPr>
            <w:r>
              <w:rPr>
                <w:color w:val="222222"/>
                <w:sz w:val="19"/>
                <w:szCs w:val="19"/>
              </w:rPr>
              <w:t xml:space="preserve">Messaging margin</w:t>
            </w:r>
          </w:p>
        </w:tc>
        <w:tc>
          <w:tcPr>
            <w:tcW w:type="dxa" w:w="2900"/>
            <w:shd w:fill="F5F7F5" w:val="clear"/>
            <w:tcMar>
              <w:top w:type="dxa" w:w="90"/>
              <w:left w:type="dxa" w:w="120"/>
              <w:bottom w:type="dxa" w:w="90"/>
              <w:right w:type="dxa" w:w="120"/>
            </w:tcMar>
            <w:vAlign w:val="center"/>
          </w:tcPr>
          <w:p>
            <w:pPr>
              <w:spacing w:after="0"/>
            </w:pPr>
            <w:r>
              <w:rPr>
                <w:color w:val="222222"/>
                <w:sz w:val="19"/>
                <w:szCs w:val="19"/>
              </w:rPr>
              <w:t xml:space="preserve">Per-SMS / per-email / per-WhatsApp markup</w:t>
            </w:r>
          </w:p>
        </w:tc>
        <w:tc>
          <w:tcPr>
            <w:tcW w:type="dxa" w:w="3950"/>
            <w:shd w:fill="F5F7F5" w:val="clear"/>
            <w:tcMar>
              <w:top w:type="dxa" w:w="90"/>
              <w:left w:type="dxa" w:w="120"/>
              <w:bottom w:type="dxa" w:w="90"/>
              <w:right w:type="dxa" w:w="120"/>
            </w:tcMar>
            <w:vAlign w:val="center"/>
          </w:tcPr>
          <w:p>
            <w:pPr>
              <w:spacing w:after="0"/>
            </w:pPr>
            <w:r>
              <w:rPr>
                <w:color w:val="222222"/>
                <w:sz w:val="19"/>
                <w:szCs w:val="19"/>
              </w:rPr>
              <w:t xml:space="preserve">Wholesale-to-retail spread on carrier/ESP cost</w:t>
            </w:r>
          </w:p>
        </w:tc>
      </w:tr>
      <w:tr>
        <w:tc>
          <w:tcPr>
            <w:tcW w:type="dxa" w:w="2500"/>
            <w:shd w:fill="FFFFFF" w:val="clear"/>
            <w:tcMar>
              <w:top w:type="dxa" w:w="90"/>
              <w:left w:type="dxa" w:w="120"/>
              <w:bottom w:type="dxa" w:w="90"/>
              <w:right w:type="dxa" w:w="120"/>
            </w:tcMar>
            <w:vAlign w:val="center"/>
          </w:tcPr>
          <w:p>
            <w:pPr>
              <w:spacing w:after="0"/>
            </w:pPr>
            <w:r>
              <w:rPr>
                <w:color w:val="222222"/>
                <w:sz w:val="19"/>
                <w:szCs w:val="19"/>
              </w:rPr>
              <w:t xml:space="preserve">Payment processing</w:t>
            </w:r>
          </w:p>
        </w:tc>
        <w:tc>
          <w:tcPr>
            <w:tcW w:type="dxa" w:w="2900"/>
            <w:shd w:fill="FFFFFF" w:val="clear"/>
            <w:tcMar>
              <w:top w:type="dxa" w:w="90"/>
              <w:left w:type="dxa" w:w="120"/>
              <w:bottom w:type="dxa" w:w="90"/>
              <w:right w:type="dxa" w:w="120"/>
            </w:tcMar>
            <w:vAlign w:val="center"/>
          </w:tcPr>
          <w:p>
            <w:pPr>
              <w:spacing w:after="0"/>
            </w:pPr>
            <w:r>
              <w:rPr>
                <w:color w:val="222222"/>
                <w:sz w:val="19"/>
                <w:szCs w:val="19"/>
              </w:rPr>
              <w:t xml:space="preserve">Small % on receipted M-Pesa/Paystack transactions</w:t>
            </w:r>
          </w:p>
        </w:tc>
        <w:tc>
          <w:tcPr>
            <w:tcW w:type="dxa" w:w="3950"/>
            <w:shd w:fill="FFFFFF" w:val="clear"/>
            <w:tcMar>
              <w:top w:type="dxa" w:w="90"/>
              <w:left w:type="dxa" w:w="120"/>
              <w:bottom w:type="dxa" w:w="90"/>
              <w:right w:type="dxa" w:w="120"/>
            </w:tcMar>
            <w:vAlign w:val="center"/>
          </w:tcPr>
          <w:p>
            <w:pPr>
              <w:spacing w:after="0"/>
            </w:pPr>
            <w:r>
              <w:rPr>
                <w:color w:val="222222"/>
                <w:sz w:val="19"/>
                <w:szCs w:val="19"/>
              </w:rPr>
              <w:t xml:space="preserve">Passed largely to Daraja/Paystack, i3 keeps convenience margin</w:t>
            </w:r>
          </w:p>
        </w:tc>
      </w:tr>
      <w:tr>
        <w:tc>
          <w:tcPr>
            <w:tcW w:type="dxa" w:w="2500"/>
            <w:shd w:fill="F5F7F5" w:val="clear"/>
            <w:tcMar>
              <w:top w:type="dxa" w:w="90"/>
              <w:left w:type="dxa" w:w="120"/>
              <w:bottom w:type="dxa" w:w="90"/>
              <w:right w:type="dxa" w:w="120"/>
            </w:tcMar>
            <w:vAlign w:val="center"/>
          </w:tcPr>
          <w:p>
            <w:pPr>
              <w:spacing w:after="0"/>
            </w:pPr>
            <w:r>
              <w:rPr>
                <w:color w:val="222222"/>
                <w:sz w:val="19"/>
                <w:szCs w:val="19"/>
              </w:rPr>
              <w:t xml:space="preserve">AI agent usage</w:t>
            </w:r>
          </w:p>
        </w:tc>
        <w:tc>
          <w:tcPr>
            <w:tcW w:type="dxa" w:w="2900"/>
            <w:shd w:fill="F5F7F5" w:val="clear"/>
            <w:tcMar>
              <w:top w:type="dxa" w:w="90"/>
              <w:left w:type="dxa" w:w="120"/>
              <w:bottom w:type="dxa" w:w="90"/>
              <w:right w:type="dxa" w:w="120"/>
            </w:tcMar>
            <w:vAlign w:val="center"/>
          </w:tcPr>
          <w:p>
            <w:pPr>
              <w:spacing w:after="0"/>
            </w:pPr>
            <w:r>
              <w:rPr>
                <w:color w:val="222222"/>
                <w:sz w:val="19"/>
                <w:szCs w:val="19"/>
              </w:rPr>
              <w:t xml:space="preserve">Token/agent-run metering above a bundled allowance</w:t>
            </w:r>
          </w:p>
        </w:tc>
        <w:tc>
          <w:tcPr>
            <w:tcW w:type="dxa" w:w="3950"/>
            <w:shd w:fill="F5F7F5" w:val="clear"/>
            <w:tcMar>
              <w:top w:type="dxa" w:w="90"/>
              <w:left w:type="dxa" w:w="120"/>
              <w:bottom w:type="dxa" w:w="90"/>
              <w:right w:type="dxa" w:w="120"/>
            </w:tcMar>
            <w:vAlign w:val="center"/>
          </w:tcPr>
          <w:p>
            <w:pPr>
              <w:spacing w:after="0"/>
            </w:pPr>
            <w:r>
              <w:rPr>
                <w:color w:val="222222"/>
                <w:sz w:val="19"/>
                <w:szCs w:val="19"/>
              </w:rPr>
              <w:t xml:space="preserve">Campaign, scoring, content, compliance agents</w:t>
            </w:r>
          </w:p>
        </w:tc>
      </w:tr>
      <w:tr>
        <w:tc>
          <w:tcPr>
            <w:tcW w:type="dxa" w:w="2500"/>
            <w:shd w:fill="FFFFFF" w:val="clear"/>
            <w:tcMar>
              <w:top w:type="dxa" w:w="90"/>
              <w:left w:type="dxa" w:w="120"/>
              <w:bottom w:type="dxa" w:w="90"/>
              <w:right w:type="dxa" w:w="120"/>
            </w:tcMar>
            <w:vAlign w:val="center"/>
          </w:tcPr>
          <w:p>
            <w:pPr>
              <w:spacing w:after="0"/>
            </w:pPr>
            <w:r>
              <w:rPr>
                <w:color w:val="222222"/>
                <w:sz w:val="19"/>
                <w:szCs w:val="19"/>
              </w:rPr>
              <w:t xml:space="preserve">Implementation &amp; managed services</w:t>
            </w:r>
          </w:p>
        </w:tc>
        <w:tc>
          <w:tcPr>
            <w:tcW w:type="dxa" w:w="2900"/>
            <w:shd w:fill="FFFFFF" w:val="clear"/>
            <w:tcMar>
              <w:top w:type="dxa" w:w="90"/>
              <w:left w:type="dxa" w:w="120"/>
              <w:bottom w:type="dxa" w:w="90"/>
              <w:right w:type="dxa" w:w="120"/>
            </w:tcMar>
            <w:vAlign w:val="center"/>
          </w:tcPr>
          <w:p>
            <w:pPr>
              <w:spacing w:after="0"/>
            </w:pPr>
            <w:r>
              <w:rPr>
                <w:color w:val="222222"/>
                <w:sz w:val="19"/>
                <w:szCs w:val="19"/>
              </w:rPr>
              <w:t xml:space="preserve">Fixed-fee or day-rate</w:t>
            </w:r>
          </w:p>
        </w:tc>
        <w:tc>
          <w:tcPr>
            <w:tcW w:type="dxa" w:w="3950"/>
            <w:shd w:fill="FFFFFF" w:val="clear"/>
            <w:tcMar>
              <w:top w:type="dxa" w:w="90"/>
              <w:left w:type="dxa" w:w="120"/>
              <w:bottom w:type="dxa" w:w="90"/>
              <w:right w:type="dxa" w:w="120"/>
            </w:tcMar>
            <w:vAlign w:val="center"/>
          </w:tcPr>
          <w:p>
            <w:pPr>
              <w:spacing w:after="0"/>
            </w:pPr>
            <w:r>
              <w:rPr>
                <w:color w:val="222222"/>
                <w:sz w:val="19"/>
                <w:szCs w:val="19"/>
              </w:rPr>
              <w:t xml:space="preserve">Onboarding, integration, dedicated tenancy setup</w:t>
            </w:r>
          </w:p>
        </w:tc>
      </w:tr>
      <w:tr>
        <w:tc>
          <w:tcPr>
            <w:tcW w:type="dxa" w:w="2500"/>
            <w:shd w:fill="F5F7F5" w:val="clear"/>
            <w:tcMar>
              <w:top w:type="dxa" w:w="90"/>
              <w:left w:type="dxa" w:w="120"/>
              <w:bottom w:type="dxa" w:w="90"/>
              <w:right w:type="dxa" w:w="120"/>
            </w:tcMar>
            <w:vAlign w:val="center"/>
          </w:tcPr>
          <w:p>
            <w:pPr>
              <w:spacing w:after="0"/>
            </w:pPr>
            <w:r>
              <w:rPr>
                <w:color w:val="222222"/>
                <w:sz w:val="19"/>
                <w:szCs w:val="19"/>
              </w:rPr>
              <w:t xml:space="preserve">Reseller / partner-node commission</w:t>
            </w:r>
          </w:p>
        </w:tc>
        <w:tc>
          <w:tcPr>
            <w:tcW w:type="dxa" w:w="2900"/>
            <w:shd w:fill="F5F7F5" w:val="clear"/>
            <w:tcMar>
              <w:top w:type="dxa" w:w="90"/>
              <w:left w:type="dxa" w:w="120"/>
              <w:bottom w:type="dxa" w:w="90"/>
              <w:right w:type="dxa" w:w="120"/>
            </w:tcMar>
            <w:vAlign w:val="center"/>
          </w:tcPr>
          <w:p>
            <w:pPr>
              <w:spacing w:after="0"/>
            </w:pPr>
            <w:r>
              <w:rPr>
                <w:color w:val="222222"/>
                <w:sz w:val="19"/>
                <w:szCs w:val="19"/>
              </w:rPr>
              <w:t xml:space="preserve">Wholesale rate to partners, retail rate to end clients</w:t>
            </w:r>
          </w:p>
        </w:tc>
        <w:tc>
          <w:tcPr>
            <w:tcW w:type="dxa" w:w="3950"/>
            <w:shd w:fill="F5F7F5" w:val="clear"/>
            <w:tcMar>
              <w:top w:type="dxa" w:w="90"/>
              <w:left w:type="dxa" w:w="120"/>
              <w:bottom w:type="dxa" w:w="90"/>
              <w:right w:type="dxa" w:w="120"/>
            </w:tcMar>
            <w:vAlign w:val="center"/>
          </w:tcPr>
          <w:p>
            <w:pPr>
              <w:spacing w:after="0"/>
            </w:pPr>
            <w:r>
              <w:rPr>
                <w:color w:val="222222"/>
                <w:sz w:val="19"/>
                <w:szCs w:val="19"/>
              </w:rPr>
              <w:t xml:space="preserve">Pan-African distribution via i3 partner network</w:t>
            </w:r>
          </w:p>
        </w:tc>
      </w:tr>
    </w:tbl>
    <w:p>
      <w:pPr>
        <w:spacing w:after="120"/>
      </w:pPr>
    </w:p>
    <w:p>
      <w:pPr>
        <w:pStyle w:val="Heading2"/>
        <w:spacing w:after="140" w:before="300"/>
      </w:pPr>
      <w:r>
        <w:rPr>
          <w:b/>
          <w:bCs/>
          <w:color w:val="13315C"/>
          <w:sz w:val="24"/>
          <w:szCs w:val="24"/>
        </w:rPr>
        <w:t xml:space="preserve">2.7 Phased Market Rollout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50"/>
      </w:tblGrid>
      <w:tr>
        <w:trPr>
          <w:tblHeader/>
        </w:trPr>
        <w:tc>
          <w:tcPr>
            <w:tcW w:type="dxa" w:w="1900"/>
            <w:shd w:fill="0B2545" w:val="clear"/>
            <w:tcMar>
              <w:top w:type="dxa" w:w="100"/>
              <w:left w:type="dxa" w:w="120"/>
              <w:bottom w:type="dxa" w:w="100"/>
              <w:right w:type="dxa" w:w="120"/>
            </w:tcMar>
            <w:vAlign w:val="center"/>
          </w:tcPr>
          <w:p>
            <w:pPr>
              <w:spacing w:after="0"/>
            </w:pPr>
            <w:r>
              <w:rPr>
                <w:b/>
                <w:bCs/>
                <w:color w:val="FFFFFF"/>
                <w:sz w:val="19"/>
                <w:szCs w:val="19"/>
              </w:rPr>
              <w:t xml:space="preserve">Phase</w:t>
            </w:r>
          </w:p>
        </w:tc>
        <w:tc>
          <w:tcPr>
            <w:tcW w:type="dxa" w:w="3200"/>
            <w:shd w:fill="0B2545" w:val="clear"/>
            <w:tcMar>
              <w:top w:type="dxa" w:w="100"/>
              <w:left w:type="dxa" w:w="120"/>
              <w:bottom w:type="dxa" w:w="100"/>
              <w:right w:type="dxa" w:w="120"/>
            </w:tcMar>
            <w:vAlign w:val="center"/>
          </w:tcPr>
          <w:p>
            <w:pPr>
              <w:spacing w:after="0"/>
            </w:pPr>
            <w:r>
              <w:rPr>
                <w:b/>
                <w:bCs/>
                <w:color w:val="FFFFFF"/>
                <w:sz w:val="19"/>
                <w:szCs w:val="19"/>
              </w:rPr>
              <w:t xml:space="preserve">Geography</w:t>
            </w:r>
          </w:p>
        </w:tc>
        <w:tc>
          <w:tcPr>
            <w:tcW w:type="dxa" w:w="4250"/>
            <w:shd w:fill="0B2545" w:val="clear"/>
            <w:tcMar>
              <w:top w:type="dxa" w:w="100"/>
              <w:left w:type="dxa" w:w="120"/>
              <w:bottom w:type="dxa" w:w="100"/>
              <w:right w:type="dxa" w:w="120"/>
            </w:tcMar>
            <w:vAlign w:val="center"/>
          </w:tcPr>
          <w:p>
            <w:pPr>
              <w:spacing w:after="0"/>
            </w:pPr>
            <w:r>
              <w:rPr>
                <w:b/>
                <w:bCs/>
                <w:color w:val="FFFFFF"/>
                <w:sz w:val="19"/>
                <w:szCs w:val="19"/>
              </w:rPr>
              <w:t xml:space="preserve">Focus</w:t>
            </w:r>
          </w:p>
        </w:tc>
      </w:tr>
      <w:tr>
        <w:tc>
          <w:tcPr>
            <w:tcW w:type="dxa" w:w="1900"/>
            <w:shd w:fill="FFFFFF" w:val="clear"/>
            <w:tcMar>
              <w:top w:type="dxa" w:w="90"/>
              <w:left w:type="dxa" w:w="120"/>
              <w:bottom w:type="dxa" w:w="90"/>
              <w:right w:type="dxa" w:w="120"/>
            </w:tcMar>
            <w:vAlign w:val="center"/>
          </w:tcPr>
          <w:p>
            <w:pPr>
              <w:spacing w:after="0"/>
            </w:pPr>
            <w:r>
              <w:rPr>
                <w:color w:val="222222"/>
                <w:sz w:val="19"/>
                <w:szCs w:val="19"/>
              </w:rPr>
              <w:t xml:space="preserve">Phase 1 (0–6 mo)</w:t>
            </w:r>
          </w:p>
        </w:tc>
        <w:tc>
          <w:tcPr>
            <w:tcW w:type="dxa" w:w="3200"/>
            <w:shd w:fill="FFFFFF" w:val="clear"/>
            <w:tcMar>
              <w:top w:type="dxa" w:w="90"/>
              <w:left w:type="dxa" w:w="120"/>
              <w:bottom w:type="dxa" w:w="90"/>
              <w:right w:type="dxa" w:w="120"/>
            </w:tcMar>
            <w:vAlign w:val="center"/>
          </w:tcPr>
          <w:p>
            <w:pPr>
              <w:spacing w:after="0"/>
            </w:pPr>
            <w:r>
              <w:rPr>
                <w:color w:val="222222"/>
                <w:sz w:val="19"/>
                <w:szCs w:val="19"/>
              </w:rPr>
              <w:t xml:space="preserve">Kenya</w:t>
            </w:r>
          </w:p>
        </w:tc>
        <w:tc>
          <w:tcPr>
            <w:tcW w:type="dxa" w:w="4250"/>
            <w:shd w:fill="FFFFFF" w:val="clear"/>
            <w:tcMar>
              <w:top w:type="dxa" w:w="90"/>
              <w:left w:type="dxa" w:w="120"/>
              <w:bottom w:type="dxa" w:w="90"/>
              <w:right w:type="dxa" w:w="120"/>
            </w:tcMar>
            <w:vAlign w:val="center"/>
          </w:tcPr>
          <w:p>
            <w:pPr>
              <w:spacing w:after="0"/>
            </w:pPr>
            <w:r>
              <w:rPr>
                <w:color w:val="222222"/>
                <w:sz w:val="19"/>
                <w:szCs w:val="19"/>
              </w:rPr>
              <w:t xml:space="preserve">Internal use (i3 Academy, AI HALISI) + first 10–20 commercial tenants via aggregator SMS + Paystack/Daraja live</w:t>
            </w:r>
          </w:p>
        </w:tc>
      </w:tr>
      <w:tr>
        <w:tc>
          <w:tcPr>
            <w:tcW w:type="dxa" w:w="1900"/>
            <w:shd w:fill="F5F7F5" w:val="clear"/>
            <w:tcMar>
              <w:top w:type="dxa" w:w="90"/>
              <w:left w:type="dxa" w:w="120"/>
              <w:bottom w:type="dxa" w:w="90"/>
              <w:right w:type="dxa" w:w="120"/>
            </w:tcMar>
            <w:vAlign w:val="center"/>
          </w:tcPr>
          <w:p>
            <w:pPr>
              <w:spacing w:after="0"/>
            </w:pPr>
            <w:r>
              <w:rPr>
                <w:color w:val="222222"/>
                <w:sz w:val="19"/>
                <w:szCs w:val="19"/>
              </w:rPr>
              <w:t xml:space="preserve">Phase 2 (6–12 mo)</w:t>
            </w:r>
          </w:p>
        </w:tc>
        <w:tc>
          <w:tcPr>
            <w:tcW w:type="dxa" w:w="3200"/>
            <w:shd w:fill="F5F7F5" w:val="clear"/>
            <w:tcMar>
              <w:top w:type="dxa" w:w="90"/>
              <w:left w:type="dxa" w:w="120"/>
              <w:bottom w:type="dxa" w:w="90"/>
              <w:right w:type="dxa" w:w="120"/>
            </w:tcMar>
            <w:vAlign w:val="center"/>
          </w:tcPr>
          <w:p>
            <w:pPr>
              <w:spacing w:after="0"/>
            </w:pPr>
            <w:r>
              <w:rPr>
                <w:color w:val="222222"/>
                <w:sz w:val="19"/>
                <w:szCs w:val="19"/>
              </w:rPr>
              <w:t xml:space="preserve">Kenya + Uganda + Tanzania</w:t>
            </w:r>
          </w:p>
        </w:tc>
        <w:tc>
          <w:tcPr>
            <w:tcW w:type="dxa" w:w="4250"/>
            <w:shd w:fill="F5F7F5" w:val="clear"/>
            <w:tcMar>
              <w:top w:type="dxa" w:w="90"/>
              <w:left w:type="dxa" w:w="120"/>
              <w:bottom w:type="dxa" w:w="90"/>
              <w:right w:type="dxa" w:w="120"/>
            </w:tcMar>
            <w:vAlign w:val="center"/>
          </w:tcPr>
          <w:p>
            <w:pPr>
              <w:spacing w:after="0"/>
            </w:pPr>
            <w:r>
              <w:rPr>
                <w:color w:val="222222"/>
                <w:sz w:val="19"/>
                <w:szCs w:val="19"/>
              </w:rPr>
              <w:t xml:space="preserve">Agency reseller channel live; direct Safaricom/Airtel SMPP in progress</w:t>
            </w:r>
          </w:p>
        </w:tc>
      </w:tr>
      <w:tr>
        <w:tc>
          <w:tcPr>
            <w:tcW w:type="dxa" w:w="1900"/>
            <w:shd w:fill="FFFFFF" w:val="clear"/>
            <w:tcMar>
              <w:top w:type="dxa" w:w="90"/>
              <w:left w:type="dxa" w:w="120"/>
              <w:bottom w:type="dxa" w:w="90"/>
              <w:right w:type="dxa" w:w="120"/>
            </w:tcMar>
            <w:vAlign w:val="center"/>
          </w:tcPr>
          <w:p>
            <w:pPr>
              <w:spacing w:after="0"/>
            </w:pPr>
            <w:r>
              <w:rPr>
                <w:color w:val="222222"/>
                <w:sz w:val="19"/>
                <w:szCs w:val="19"/>
              </w:rPr>
              <w:t xml:space="preserve">Phase 3 (12–18 mo)</w:t>
            </w:r>
          </w:p>
        </w:tc>
        <w:tc>
          <w:tcPr>
            <w:tcW w:type="dxa" w:w="3200"/>
            <w:shd w:fill="FFFFFF" w:val="clear"/>
            <w:tcMar>
              <w:top w:type="dxa" w:w="90"/>
              <w:left w:type="dxa" w:w="120"/>
              <w:bottom w:type="dxa" w:w="90"/>
              <w:right w:type="dxa" w:w="120"/>
            </w:tcMar>
            <w:vAlign w:val="center"/>
          </w:tcPr>
          <w:p>
            <w:pPr>
              <w:spacing w:after="0"/>
            </w:pPr>
            <w:r>
              <w:rPr>
                <w:color w:val="222222"/>
                <w:sz w:val="19"/>
                <w:szCs w:val="19"/>
              </w:rPr>
              <w:t xml:space="preserve">Rwanda + Ghana (via i3 Accra office)</w:t>
            </w:r>
          </w:p>
        </w:tc>
        <w:tc>
          <w:tcPr>
            <w:tcW w:type="dxa" w:w="4250"/>
            <w:shd w:fill="FFFFFF" w:val="clear"/>
            <w:tcMar>
              <w:top w:type="dxa" w:w="90"/>
              <w:left w:type="dxa" w:w="120"/>
              <w:bottom w:type="dxa" w:w="90"/>
              <w:right w:type="dxa" w:w="120"/>
            </w:tcMar>
            <w:vAlign w:val="center"/>
          </w:tcPr>
          <w:p>
            <w:pPr>
              <w:spacing w:after="0"/>
            </w:pPr>
            <w:r>
              <w:rPr>
                <w:color w:val="222222"/>
                <w:sz w:val="19"/>
                <w:szCs w:val="19"/>
              </w:rPr>
              <w:t xml:space="preserve">Multi-country billing, local payment-rail adapters beyond M-Pesa/Paystack</w:t>
            </w:r>
          </w:p>
        </w:tc>
      </w:tr>
      <w:tr>
        <w:tc>
          <w:tcPr>
            <w:tcW w:type="dxa" w:w="1900"/>
            <w:shd w:fill="F5F7F5" w:val="clear"/>
            <w:tcMar>
              <w:top w:type="dxa" w:w="90"/>
              <w:left w:type="dxa" w:w="120"/>
              <w:bottom w:type="dxa" w:w="90"/>
              <w:right w:type="dxa" w:w="120"/>
            </w:tcMar>
            <w:vAlign w:val="center"/>
          </w:tcPr>
          <w:p>
            <w:pPr>
              <w:spacing w:after="0"/>
            </w:pPr>
            <w:r>
              <w:rPr>
                <w:color w:val="222222"/>
                <w:sz w:val="19"/>
                <w:szCs w:val="19"/>
              </w:rPr>
              <w:t xml:space="preserve">Phase 4 (18+ mo)</w:t>
            </w:r>
          </w:p>
        </w:tc>
        <w:tc>
          <w:tcPr>
            <w:tcW w:type="dxa" w:w="3200"/>
            <w:shd w:fill="F5F7F5" w:val="clear"/>
            <w:tcMar>
              <w:top w:type="dxa" w:w="90"/>
              <w:left w:type="dxa" w:w="120"/>
              <w:bottom w:type="dxa" w:w="90"/>
              <w:right w:type="dxa" w:w="120"/>
            </w:tcMar>
            <w:vAlign w:val="center"/>
          </w:tcPr>
          <w:p>
            <w:pPr>
              <w:spacing w:after="0"/>
            </w:pPr>
            <w:r>
              <w:rPr>
                <w:color w:val="222222"/>
                <w:sz w:val="19"/>
                <w:szCs w:val="19"/>
              </w:rPr>
              <w:t xml:space="preserve">Pan-African / CPaaS reseller network</w:t>
            </w:r>
          </w:p>
        </w:tc>
        <w:tc>
          <w:tcPr>
            <w:tcW w:type="dxa" w:w="4250"/>
            <w:shd w:fill="F5F7F5" w:val="clear"/>
            <w:tcMar>
              <w:top w:type="dxa" w:w="90"/>
              <w:left w:type="dxa" w:w="120"/>
              <w:bottom w:type="dxa" w:w="90"/>
              <w:right w:type="dxa" w:w="120"/>
            </w:tcMar>
            <w:vAlign w:val="center"/>
          </w:tcPr>
          <w:p>
            <w:pPr>
              <w:spacing w:after="0"/>
            </w:pPr>
            <w:r>
              <w:rPr>
                <w:color w:val="222222"/>
                <w:sz w:val="19"/>
                <w:szCs w:val="19"/>
              </w:rPr>
              <w:t xml:space="preserve">i3 becomes a Pan-African CPaaS + MarTech distributor through its partner-node network</w:t>
            </w:r>
          </w:p>
        </w:tc>
      </w:tr>
    </w:tbl>
    <w:p>
      <w:pPr>
        <w:spacing w:after="120"/>
      </w:pPr>
    </w:p>
    <w:p>
      <w:r>
        <w:br w:type="page"/>
      </w:r>
    </w:p>
    <w:p>
      <w:pPr>
        <w:pStyle w:val="Heading1"/>
        <w:pBdr>
          <w:bottom w:val="single" w:color="0E7C7B" w:sz="8" w:space="4"/>
        </w:pBdr>
        <w:spacing w:after="200" w:before="420"/>
      </w:pPr>
      <w:r>
        <w:rPr>
          <w:b/>
          <w:bCs/>
          <w:color w:val="0B2545"/>
          <w:sz w:val="30"/>
          <w:szCs w:val="30"/>
        </w:rPr>
        <w:t xml:space="preserve">3. Product Vision: i3 Engage Cloud</w:t>
      </w:r>
    </w:p>
    <w:p>
      <w:pPr>
        <w:pStyle w:val="Heading2"/>
        <w:spacing w:after="140" w:before="300"/>
      </w:pPr>
      <w:r>
        <w:rPr>
          <w:b/>
          <w:bCs/>
          <w:color w:val="13315C"/>
          <w:sz w:val="24"/>
          <w:szCs w:val="24"/>
        </w:rPr>
        <w:t xml:space="preserve">3.1 One Platform, Not Three Products</w:t>
      </w:r>
    </w:p>
    <w:p>
      <w:pPr>
        <w:spacing w:after="160" w:line="276"/>
      </w:pPr>
      <w:r>
        <w:rPr>
          <w:color w:val="222222"/>
          <w:sz w:val="21"/>
          <w:szCs w:val="21"/>
        </w:rPr>
        <w:t xml:space="preserve">The central architectural decision is not to build separate “SMS,” “Email,” and “CRM” products. i3 builds one customer-engagement platform — i3 Engage Cloud — with a shared customer-data layer (Customer-360/CDP) and independent, pluggable communication channels: SMS, Email, WhatsApp, Push, and Social. This is what allows a single campaign, a single consent record, and a single AI agent conversation to reason across every channel a customer has touched.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3F7" w:val="clear"/>
            <w:tcMar>
              <w:top w:type="dxa" w:w="180"/>
              <w:left w:type="dxa" w:w="200"/>
              <w:bottom w:type="dxa" w:w="180"/>
              <w:right w:type="dxa" w:w="200"/>
            </w:tcMar>
          </w:tcPr>
          <w:p>
            <w:pPr>
              <w:spacing w:after="0"/>
            </w:pPr>
            <w:r>
              <w:rPr>
                <w:rFonts w:ascii="Consolas" w:cs="Consolas" w:eastAsia="Consolas" w:hAnsi="Consolas"/>
                <w:color w:val="1B2A3A"/>
                <w:sz w:val="17"/>
                <w:szCs w:val="17"/>
              </w:rPr>
              <w:t xml:space="preserve">                         i3 ENGAGE CLOUD</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                      CUSTOMER PORTAL                          |</w:t>
            </w:r>
          </w:p>
          <w:p>
            <w:pPr>
              <w:spacing w:after="0"/>
            </w:pPr>
            <w:r>
              <w:rPr>
                <w:rFonts w:ascii="Consolas" w:cs="Consolas" w:eastAsia="Consolas" w:hAnsi="Consolas"/>
                <w:color w:val="1B2A3A"/>
                <w:sz w:val="17"/>
                <w:szCs w:val="17"/>
              </w:rPr>
              <w:t xml:space="preserve">  | CRM | Campaigns | Contacts | Journeys | Reports | AI | Billing|</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API Gateway</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                      |                       |</w:t>
            </w:r>
          </w:p>
          <w:p>
            <w:pPr>
              <w:spacing w:after="0"/>
            </w:pPr>
            <w:r>
              <w:rPr>
                <w:rFonts w:ascii="Consolas" w:cs="Consolas" w:eastAsia="Consolas" w:hAnsi="Consolas"/>
                <w:color w:val="1B2A3A"/>
                <w:sz w:val="17"/>
                <w:szCs w:val="17"/>
              </w:rPr>
              <w:t xml:space="preserve">     CRM / CDP          Campaign Engine            AI Agents</w:t>
            </w:r>
          </w:p>
          <w:p>
            <w:pPr>
              <w:spacing w:after="0"/>
            </w:pPr>
            <w:r>
              <w:rPr>
                <w:rFonts w:ascii="Consolas" w:cs="Consolas" w:eastAsia="Consolas" w:hAnsi="Consolas"/>
                <w:color w:val="1B2A3A"/>
                <w:sz w:val="17"/>
                <w:szCs w:val="17"/>
              </w:rPr>
              <w:t xml:space="preserve">        |                      |                       |</w:t>
            </w:r>
          </w:p>
          <w:p>
            <w:pPr>
              <w:spacing w:after="0"/>
            </w:pPr>
            <w:r>
              <w:rPr>
                <w:rFonts w:ascii="Consolas" w:cs="Consolas" w:eastAsia="Consolas" w:hAnsi="Consolas"/>
                <w:color w:val="1B2A3A"/>
                <w:sz w:val="17"/>
                <w:szCs w:val="17"/>
              </w:rPr>
              <w:t xml:space="preserve">        +----------------- Event Bus ----------------- +</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          |          |           |          |           |</w:t>
            </w:r>
          </w:p>
          <w:p>
            <w:pPr>
              <w:spacing w:after="0"/>
            </w:pPr>
            <w:r>
              <w:rPr>
                <w:rFonts w:ascii="Consolas" w:cs="Consolas" w:eastAsia="Consolas" w:hAnsi="Consolas"/>
                <w:color w:val="1B2A3A"/>
                <w:sz w:val="17"/>
                <w:szCs w:val="17"/>
              </w:rPr>
              <w:t xml:space="preserve">  SMS       Email    WhatsApp       Push      Social     Payments</w:t>
            </w:r>
          </w:p>
          <w:p>
            <w:pPr>
              <w:spacing w:after="0"/>
            </w:pPr>
            <w:r>
              <w:rPr>
                <w:rFonts w:ascii="Consolas" w:cs="Consolas" w:eastAsia="Consolas" w:hAnsi="Consolas"/>
                <w:color w:val="1B2A3A"/>
                <w:sz w:val="17"/>
                <w:szCs w:val="17"/>
              </w:rPr>
              <w:t xml:space="preserve">   |          |          |           |          |           |</w:t>
            </w:r>
          </w:p>
          <w:p>
            <w:pPr>
              <w:spacing w:after="0"/>
            </w:pPr>
            <w:r>
              <w:rPr>
                <w:rFonts w:ascii="Consolas" w:cs="Consolas" w:eastAsia="Consolas" w:hAnsi="Consolas"/>
                <w:color w:val="1B2A3A"/>
                <w:sz w:val="17"/>
                <w:szCs w:val="17"/>
              </w:rPr>
              <w:t xml:space="preserve"> SMPP     SMTP/API    Meta API     FCM/APNS    APIs   Daraja/Paystack</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 Carrier / Aggregator Routing Layer                            |</w:t>
            </w:r>
          </w:p>
          <w:p>
            <w:pPr>
              <w:spacing w:after="0"/>
            </w:pPr>
            <w:r>
              <w:rPr>
                <w:rFonts w:ascii="Consolas" w:cs="Consolas" w:eastAsia="Consolas" w:hAnsi="Consolas"/>
                <w:color w:val="1B2A3A"/>
                <w:sz w:val="17"/>
                <w:szCs w:val="17"/>
              </w:rPr>
              <w:t xml:space="preserve">  | Safaricom | Airtel | Telkom | Equitel | International routes |</w:t>
            </w:r>
          </w:p>
          <w:p>
            <w:pPr>
              <w:spacing w:after="0"/>
            </w:pPr>
            <w:r>
              <w:rPr>
                <w:rFonts w:ascii="Consolas" w:cs="Consolas" w:eastAsia="Consolas" w:hAnsi="Consolas"/>
                <w:color w:val="1B2A3A"/>
                <w:sz w:val="17"/>
                <w:szCs w:val="17"/>
              </w:rPr>
              <w:t xml:space="preserve">  +---------------------------------------------------------------+</w:t>
            </w:r>
          </w:p>
        </w:tc>
      </w:tr>
    </w:tbl>
    <w:p>
      <w:pPr>
        <w:spacing w:after="220" w:before="60"/>
      </w:pPr>
      <w:r>
        <w:rPr>
          <w:i/>
          <w:iCs/>
          <w:color w:val="5B6472"/>
          <w:sz w:val="18"/>
          <w:szCs w:val="18"/>
        </w:rPr>
        <w:t xml:space="preserve">Figure 1. i3 Engage Cloud logical product view — a shared CDP driving all channels.</w:t>
      </w:r>
    </w:p>
    <w:p>
      <w:pPr>
        <w:pStyle w:val="Heading2"/>
        <w:spacing w:after="140" w:before="300"/>
      </w:pPr>
      <w:r>
        <w:rPr>
          <w:b/>
          <w:bCs/>
          <w:color w:val="13315C"/>
          <w:sz w:val="24"/>
          <w:szCs w:val="24"/>
        </w:rPr>
        <w:t xml:space="preserve">3.2 Product Editions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50"/>
      </w:tblGrid>
      <w:tr>
        <w:trPr>
          <w:tblHeader/>
        </w:trPr>
        <w:tc>
          <w:tcPr>
            <w:tcW w:type="dxa" w:w="1700"/>
            <w:shd w:fill="0B2545" w:val="clear"/>
            <w:tcMar>
              <w:top w:type="dxa" w:w="100"/>
              <w:left w:type="dxa" w:w="120"/>
              <w:bottom w:type="dxa" w:w="100"/>
              <w:right w:type="dxa" w:w="120"/>
            </w:tcMar>
            <w:vAlign w:val="center"/>
          </w:tcPr>
          <w:p>
            <w:pPr>
              <w:spacing w:after="0"/>
            </w:pPr>
            <w:r>
              <w:rPr>
                <w:b/>
                <w:bCs/>
                <w:color w:val="FFFFFF"/>
                <w:sz w:val="19"/>
                <w:szCs w:val="19"/>
              </w:rPr>
              <w:t xml:space="preserve">Edition</w:t>
            </w:r>
          </w:p>
        </w:tc>
        <w:tc>
          <w:tcPr>
            <w:tcW w:type="dxa" w:w="3400"/>
            <w:shd w:fill="0B2545" w:val="clear"/>
            <w:tcMar>
              <w:top w:type="dxa" w:w="100"/>
              <w:left w:type="dxa" w:w="120"/>
              <w:bottom w:type="dxa" w:w="100"/>
              <w:right w:type="dxa" w:w="120"/>
            </w:tcMar>
            <w:vAlign w:val="center"/>
          </w:tcPr>
          <w:p>
            <w:pPr>
              <w:spacing w:after="0"/>
            </w:pPr>
            <w:r>
              <w:rPr>
                <w:b/>
                <w:bCs/>
                <w:color w:val="FFFFFF"/>
                <w:sz w:val="19"/>
                <w:szCs w:val="19"/>
              </w:rPr>
              <w:t xml:space="preserve">Target buyer</w:t>
            </w:r>
          </w:p>
        </w:tc>
        <w:tc>
          <w:tcPr>
            <w:tcW w:type="dxa" w:w="4250"/>
            <w:shd w:fill="0B2545" w:val="clear"/>
            <w:tcMar>
              <w:top w:type="dxa" w:w="100"/>
              <w:left w:type="dxa" w:w="120"/>
              <w:bottom w:type="dxa" w:w="100"/>
              <w:right w:type="dxa" w:w="120"/>
            </w:tcMar>
            <w:vAlign w:val="center"/>
          </w:tcPr>
          <w:p>
            <w:pPr>
              <w:spacing w:after="0"/>
            </w:pPr>
            <w:r>
              <w:rPr>
                <w:b/>
                <w:bCs/>
                <w:color w:val="FFFFFF"/>
                <w:sz w:val="19"/>
                <w:szCs w:val="19"/>
              </w:rPr>
              <w:t xml:space="preserve">Included</w:t>
            </w:r>
          </w:p>
        </w:tc>
      </w:tr>
      <w:tr>
        <w:tc>
          <w:tcPr>
            <w:tcW w:type="dxa" w:w="1700"/>
            <w:shd w:fill="FFFFFF" w:val="clear"/>
            <w:tcMar>
              <w:top w:type="dxa" w:w="90"/>
              <w:left w:type="dxa" w:w="120"/>
              <w:bottom w:type="dxa" w:w="90"/>
              <w:right w:type="dxa" w:w="120"/>
            </w:tcMar>
            <w:vAlign w:val="center"/>
          </w:tcPr>
          <w:p>
            <w:pPr>
              <w:spacing w:after="0"/>
            </w:pPr>
            <w:r>
              <w:rPr>
                <w:color w:val="222222"/>
                <w:sz w:val="19"/>
                <w:szCs w:val="19"/>
              </w:rPr>
              <w:t xml:space="preserve">Starter</w:t>
            </w:r>
          </w:p>
        </w:tc>
        <w:tc>
          <w:tcPr>
            <w:tcW w:type="dxa" w:w="3400"/>
            <w:shd w:fill="FFFFFF" w:val="clear"/>
            <w:tcMar>
              <w:top w:type="dxa" w:w="90"/>
              <w:left w:type="dxa" w:w="120"/>
              <w:bottom w:type="dxa" w:w="90"/>
              <w:right w:type="dxa" w:w="120"/>
            </w:tcMar>
            <w:vAlign w:val="center"/>
          </w:tcPr>
          <w:p>
            <w:pPr>
              <w:spacing w:after="0"/>
            </w:pPr>
            <w:r>
              <w:rPr>
                <w:color w:val="222222"/>
                <w:sz w:val="19"/>
                <w:szCs w:val="19"/>
              </w:rPr>
              <w:t xml:space="preserve">SMEs, small NGOs</w:t>
            </w:r>
          </w:p>
        </w:tc>
        <w:tc>
          <w:tcPr>
            <w:tcW w:type="dxa" w:w="4250"/>
            <w:shd w:fill="FFFFFF" w:val="clear"/>
            <w:tcMar>
              <w:top w:type="dxa" w:w="90"/>
              <w:left w:type="dxa" w:w="120"/>
              <w:bottom w:type="dxa" w:w="90"/>
              <w:right w:type="dxa" w:w="120"/>
            </w:tcMar>
            <w:vAlign w:val="center"/>
          </w:tcPr>
          <w:p>
            <w:pPr>
              <w:spacing w:after="0"/>
            </w:pPr>
            <w:r>
              <w:rPr>
                <w:color w:val="222222"/>
                <w:sz w:val="19"/>
                <w:szCs w:val="19"/>
              </w:rPr>
              <w:t xml:space="preserve">Single tenant, shared IP/sender pools, self-serve, M-Pesa top-up</w:t>
            </w:r>
          </w:p>
        </w:tc>
      </w:tr>
      <w:tr>
        <w:tc>
          <w:tcPr>
            <w:tcW w:type="dxa" w:w="1700"/>
            <w:shd w:fill="F5F7F5" w:val="clear"/>
            <w:tcMar>
              <w:top w:type="dxa" w:w="90"/>
              <w:left w:type="dxa" w:w="120"/>
              <w:bottom w:type="dxa" w:w="90"/>
              <w:right w:type="dxa" w:w="120"/>
            </w:tcMar>
            <w:vAlign w:val="center"/>
          </w:tcPr>
          <w:p>
            <w:pPr>
              <w:spacing w:after="0"/>
            </w:pPr>
            <w:r>
              <w:rPr>
                <w:color w:val="222222"/>
                <w:sz w:val="19"/>
                <w:szCs w:val="19"/>
              </w:rPr>
              <w:t xml:space="preserve">Growth</w:t>
            </w:r>
          </w:p>
        </w:tc>
        <w:tc>
          <w:tcPr>
            <w:tcW w:type="dxa" w:w="3400"/>
            <w:shd w:fill="F5F7F5" w:val="clear"/>
            <w:tcMar>
              <w:top w:type="dxa" w:w="90"/>
              <w:left w:type="dxa" w:w="120"/>
              <w:bottom w:type="dxa" w:w="90"/>
              <w:right w:type="dxa" w:w="120"/>
            </w:tcMar>
            <w:vAlign w:val="center"/>
          </w:tcPr>
          <w:p>
            <w:pPr>
              <w:spacing w:after="0"/>
            </w:pPr>
            <w:r>
              <w:rPr>
                <w:color w:val="222222"/>
                <w:sz w:val="19"/>
                <w:szCs w:val="19"/>
              </w:rPr>
              <w:t xml:space="preserve">Mid-market, schools, retail chains</w:t>
            </w:r>
          </w:p>
        </w:tc>
        <w:tc>
          <w:tcPr>
            <w:tcW w:type="dxa" w:w="4250"/>
            <w:shd w:fill="F5F7F5" w:val="clear"/>
            <w:tcMar>
              <w:top w:type="dxa" w:w="90"/>
              <w:left w:type="dxa" w:w="120"/>
              <w:bottom w:type="dxa" w:w="90"/>
              <w:right w:type="dxa" w:w="120"/>
            </w:tcMar>
            <w:vAlign w:val="center"/>
          </w:tcPr>
          <w:p>
            <w:pPr>
              <w:spacing w:after="0"/>
            </w:pPr>
            <w:r>
              <w:rPr>
                <w:color w:val="222222"/>
                <w:sz w:val="19"/>
                <w:szCs w:val="19"/>
              </w:rPr>
              <w:t xml:space="preserve">Journeys, AI agents (bundled quota), dedicated sender ID</w:t>
            </w:r>
          </w:p>
        </w:tc>
      </w:tr>
      <w:tr>
        <w:tc>
          <w:tcPr>
            <w:tcW w:type="dxa" w:w="1700"/>
            <w:shd w:fill="FFFFFF" w:val="clear"/>
            <w:tcMar>
              <w:top w:type="dxa" w:w="90"/>
              <w:left w:type="dxa" w:w="120"/>
              <w:bottom w:type="dxa" w:w="90"/>
              <w:right w:type="dxa" w:w="120"/>
            </w:tcMar>
            <w:vAlign w:val="center"/>
          </w:tcPr>
          <w:p>
            <w:pPr>
              <w:spacing w:after="0"/>
            </w:pPr>
            <w:r>
              <w:rPr>
                <w:color w:val="222222"/>
                <w:sz w:val="19"/>
                <w:szCs w:val="19"/>
              </w:rPr>
              <w:t xml:space="preserve">Agency</w:t>
            </w:r>
          </w:p>
        </w:tc>
        <w:tc>
          <w:tcPr>
            <w:tcW w:type="dxa" w:w="3400"/>
            <w:shd w:fill="FFFFFF" w:val="clear"/>
            <w:tcMar>
              <w:top w:type="dxa" w:w="90"/>
              <w:left w:type="dxa" w:w="120"/>
              <w:bottom w:type="dxa" w:w="90"/>
              <w:right w:type="dxa" w:w="120"/>
            </w:tcMar>
            <w:vAlign w:val="center"/>
          </w:tcPr>
          <w:p>
            <w:pPr>
              <w:spacing w:after="0"/>
            </w:pPr>
            <w:r>
              <w:rPr>
                <w:color w:val="222222"/>
                <w:sz w:val="19"/>
                <w:szCs w:val="19"/>
              </w:rPr>
              <w:t xml:space="preserve">Digital/social marketing agencies</w:t>
            </w:r>
          </w:p>
        </w:tc>
        <w:tc>
          <w:tcPr>
            <w:tcW w:type="dxa" w:w="4250"/>
            <w:shd w:fill="FFFFFF" w:val="clear"/>
            <w:tcMar>
              <w:top w:type="dxa" w:w="90"/>
              <w:left w:type="dxa" w:w="120"/>
              <w:bottom w:type="dxa" w:w="90"/>
              <w:right w:type="dxa" w:w="120"/>
            </w:tcMar>
            <w:vAlign w:val="center"/>
          </w:tcPr>
          <w:p>
            <w:pPr>
              <w:spacing w:after="0"/>
            </w:pPr>
            <w:r>
              <w:rPr>
                <w:color w:val="222222"/>
                <w:sz w:val="19"/>
                <w:szCs w:val="19"/>
              </w:rPr>
              <w:t xml:space="preserve">Multi-tenant sub-accounts, white-labelling, client billing</w:t>
            </w:r>
          </w:p>
        </w:tc>
      </w:tr>
      <w:tr>
        <w:tc>
          <w:tcPr>
            <w:tcW w:type="dxa" w:w="1700"/>
            <w:shd w:fill="F5F7F5" w:val="clear"/>
            <w:tcMar>
              <w:top w:type="dxa" w:w="90"/>
              <w:left w:type="dxa" w:w="120"/>
              <w:bottom w:type="dxa" w:w="90"/>
              <w:right w:type="dxa" w:w="120"/>
            </w:tcMar>
            <w:vAlign w:val="center"/>
          </w:tcPr>
          <w:p>
            <w:pPr>
              <w:spacing w:after="0"/>
            </w:pPr>
            <w:r>
              <w:rPr>
                <w:color w:val="222222"/>
                <w:sz w:val="19"/>
                <w:szCs w:val="19"/>
              </w:rPr>
              <w:t xml:space="preserve">Enterprise</w:t>
            </w:r>
          </w:p>
        </w:tc>
        <w:tc>
          <w:tcPr>
            <w:tcW w:type="dxa" w:w="3400"/>
            <w:shd w:fill="F5F7F5" w:val="clear"/>
            <w:tcMar>
              <w:top w:type="dxa" w:w="90"/>
              <w:left w:type="dxa" w:w="120"/>
              <w:bottom w:type="dxa" w:w="90"/>
              <w:right w:type="dxa" w:w="120"/>
            </w:tcMar>
            <w:vAlign w:val="center"/>
          </w:tcPr>
          <w:p>
            <w:pPr>
              <w:spacing w:after="0"/>
            </w:pPr>
            <w:r>
              <w:rPr>
                <w:color w:val="222222"/>
                <w:sz w:val="19"/>
                <w:szCs w:val="19"/>
              </w:rPr>
              <w:t xml:space="preserve">Banks, SACCOs, insurers, government</w:t>
            </w:r>
          </w:p>
        </w:tc>
        <w:tc>
          <w:tcPr>
            <w:tcW w:type="dxa" w:w="4250"/>
            <w:shd w:fill="F5F7F5" w:val="clear"/>
            <w:tcMar>
              <w:top w:type="dxa" w:w="90"/>
              <w:left w:type="dxa" w:w="120"/>
              <w:bottom w:type="dxa" w:w="90"/>
              <w:right w:type="dxa" w:w="120"/>
            </w:tcMar>
            <w:vAlign w:val="center"/>
          </w:tcPr>
          <w:p>
            <w:pPr>
              <w:spacing w:after="0"/>
            </w:pPr>
            <w:r>
              <w:rPr>
                <w:color w:val="222222"/>
                <w:sz w:val="19"/>
                <w:szCs w:val="19"/>
              </w:rPr>
              <w:t xml:space="preserve">Dedicated tenancy/namespace, direct SMPP option, SLAs, audit logs</w:t>
            </w:r>
          </w:p>
        </w:tc>
      </w:tr>
    </w:tbl>
    <w:p>
      <w:pPr>
        <w:spacing w:after="120"/>
      </w:pPr>
    </w:p>
    <w:p>
      <w:r>
        <w:br w:type="page"/>
      </w:r>
    </w:p>
    <w:p>
      <w:pPr>
        <w:pStyle w:val="Heading1"/>
        <w:pBdr>
          <w:bottom w:val="single" w:color="0E7C7B" w:sz="8" w:space="4"/>
        </w:pBdr>
        <w:spacing w:after="200" w:before="420"/>
      </w:pPr>
      <w:r>
        <w:rPr>
          <w:b/>
          <w:bCs/>
          <w:color w:val="0B2545"/>
          <w:sz w:val="30"/>
          <w:szCs w:val="30"/>
        </w:rPr>
        <w:t xml:space="preserve">4. Solution Architecture</w:t>
      </w:r>
    </w:p>
    <w:p>
      <w:pPr>
        <w:pStyle w:val="Heading2"/>
        <w:spacing w:after="140" w:before="300"/>
      </w:pPr>
      <w:r>
        <w:rPr>
          <w:b/>
          <w:bCs/>
          <w:color w:val="13315C"/>
          <w:sz w:val="24"/>
          <w:szCs w:val="24"/>
        </w:rPr>
        <w:t xml:space="preserve">4.1 Architecture Principles</w:t>
      </w:r>
    </w:p>
    <w:p>
      <w:pPr>
        <w:pStyle w:val="ListParagraph"/>
        <w:numPr>
          <w:ilvl w:val="0"/>
          <w:numId w:val="2"/>
        </w:numPr>
        <w:spacing w:after="90" w:line="264"/>
      </w:pPr>
      <w:r>
        <w:rPr>
          <w:color w:val="222222"/>
          <w:sz w:val="21"/>
          <w:szCs w:val="21"/>
        </w:rPr>
        <w:t xml:space="preserve">Compose, don't build from scratch: adopt battle-tested open-source components for CRM, marketing automation, SMS gateway, and email delivery; invest i3 engineering in the CDP, routing/billing, AI, and payments layers that are the actual IP.</w:t>
      </w:r>
    </w:p>
    <w:p>
      <w:pPr>
        <w:pStyle w:val="ListParagraph"/>
        <w:numPr>
          <w:ilvl w:val="0"/>
          <w:numId w:val="2"/>
        </w:numPr>
        <w:spacing w:after="90" w:line="264"/>
      </w:pPr>
      <w:r>
        <w:rPr>
          <w:color w:val="222222"/>
          <w:sz w:val="21"/>
          <w:szCs w:val="21"/>
        </w:rPr>
        <w:t xml:space="preserve">Event-driven, not point-to-point: every domain (CRM, campaigns, messaging, payments, admissions, ERP) publishes events onto a shared bus; consumers subscribe only to what they need.</w:t>
      </w:r>
    </w:p>
    <w:p>
      <w:pPr>
        <w:pStyle w:val="ListParagraph"/>
        <w:numPr>
          <w:ilvl w:val="0"/>
          <w:numId w:val="2"/>
        </w:numPr>
        <w:spacing w:after="90" w:line="264"/>
      </w:pPr>
      <w:r>
        <w:rPr>
          <w:color w:val="222222"/>
          <w:sz w:val="21"/>
          <w:szCs w:val="21"/>
        </w:rPr>
        <w:t xml:space="preserve">Multi-tenant by design: tenant isolation is enforced at the service and data layer from day one, not retrofitted — Organization → Workspace → Project → Users/Roles.</w:t>
      </w:r>
    </w:p>
    <w:p>
      <w:pPr>
        <w:pStyle w:val="ListParagraph"/>
        <w:numPr>
          <w:ilvl w:val="0"/>
          <w:numId w:val="2"/>
        </w:numPr>
        <w:spacing w:after="90" w:line="264"/>
      </w:pPr>
      <w:r>
        <w:rPr>
          <w:color w:val="222222"/>
          <w:sz w:val="21"/>
          <w:szCs w:val="21"/>
        </w:rPr>
        <w:t xml:space="preserve">Provider abstraction everywhere: SMS, Email, WhatsApp, and Payment providers sit behind an internal interface so i3 is never locked to one carrier, ESP, or payment processor.</w:t>
      </w:r>
    </w:p>
    <w:p>
      <w:pPr>
        <w:pStyle w:val="ListParagraph"/>
        <w:numPr>
          <w:ilvl w:val="0"/>
          <w:numId w:val="2"/>
        </w:numPr>
        <w:spacing w:after="90" w:line="264"/>
      </w:pPr>
      <w:r>
        <w:rPr>
          <w:color w:val="222222"/>
          <w:sz w:val="21"/>
          <w:szCs w:val="21"/>
        </w:rPr>
        <w:t xml:space="preserve">Consent and compliance in the data model, not bolted onto individual channels — opt-in/opt-out status is a first-class CDP attribute.</w:t>
      </w:r>
    </w:p>
    <w:p>
      <w:pPr>
        <w:pStyle w:val="Heading2"/>
        <w:spacing w:after="140" w:before="300"/>
      </w:pPr>
      <w:r>
        <w:rPr>
          <w:b/>
          <w:bCs/>
          <w:color w:val="13315C"/>
          <w:sz w:val="24"/>
          <w:szCs w:val="24"/>
        </w:rPr>
        <w:t xml:space="preserve">4.2 Target Architecture on Red Hat OpenShift (IBM Cloud)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3F7" w:val="clear"/>
            <w:tcMar>
              <w:top w:type="dxa" w:w="180"/>
              <w:left w:type="dxa" w:w="200"/>
              <w:bottom w:type="dxa" w:w="180"/>
              <w:right w:type="dxa" w:w="200"/>
            </w:tcMar>
          </w:tcPr>
          <w:p>
            <w:pPr>
              <w:spacing w:after="0"/>
            </w:pPr>
            <w:r>
              <w:rPr>
                <w:rFonts w:ascii="Consolas" w:cs="Consolas" w:eastAsia="Consolas" w:hAnsi="Consolas"/>
                <w:color w:val="1B2A3A"/>
                <w:sz w:val="17"/>
                <w:szCs w:val="17"/>
              </w:rPr>
              <w:t xml:space="preserve">                       INTERNET</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IBM Cloud Internet Services (WAF / DDoS / DNS)</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API Gateway</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OpenShift Ingress / Routes</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 OPENSHIFT (ROKS) ---------------------------+</w:t>
            </w:r>
          </w:p>
          <w:p>
            <w:pPr>
              <w:spacing w:after="0"/>
            </w:pPr>
            <w:r>
              <w:rPr>
                <w:rFonts w:ascii="Consolas" w:cs="Consolas" w:eastAsia="Consolas" w:hAnsi="Consolas"/>
                <w:color w:val="1B2A3A"/>
                <w:sz w:val="17"/>
                <w:szCs w:val="17"/>
              </w:rPr>
              <w:t xml:space="preserve">  | Tenant Svc      Campaign Svc     Customer/CDP Svc            |</w:t>
            </w:r>
          </w:p>
          <w:p>
            <w:pPr>
              <w:spacing w:after="0"/>
            </w:pPr>
            <w:r>
              <w:rPr>
                <w:rFonts w:ascii="Consolas" w:cs="Consolas" w:eastAsia="Consolas" w:hAnsi="Consolas"/>
                <w:color w:val="1B2A3A"/>
                <w:sz w:val="17"/>
                <w:szCs w:val="17"/>
              </w:rPr>
              <w:t xml:space="preserve">  | CRM API         Journey Svc      Template Svc                |</w:t>
            </w:r>
          </w:p>
          <w:p>
            <w:pPr>
              <w:spacing w:after="0"/>
            </w:pPr>
            <w:r>
              <w:rPr>
                <w:rFonts w:ascii="Consolas" w:cs="Consolas" w:eastAsia="Consolas" w:hAnsi="Consolas"/>
                <w:color w:val="1B2A3A"/>
                <w:sz w:val="17"/>
                <w:szCs w:val="17"/>
              </w:rPr>
              <w:t xml:space="preserve">  | Messaging API   SMS Dispatcher   Email Dispatcher            |</w:t>
            </w:r>
          </w:p>
          <w:p>
            <w:pPr>
              <w:spacing w:after="0"/>
            </w:pPr>
            <w:r>
              <w:rPr>
                <w:rFonts w:ascii="Consolas" w:cs="Consolas" w:eastAsia="Consolas" w:hAnsi="Consolas"/>
                <w:color w:val="1B2A3A"/>
                <w:sz w:val="17"/>
                <w:szCs w:val="17"/>
              </w:rPr>
              <w:t xml:space="preserve">  | WhatsApp Svc    Social Svc       Payments/Receipting Svc     |</w:t>
            </w:r>
          </w:p>
          <w:p>
            <w:pPr>
              <w:spacing w:after="0"/>
            </w:pPr>
            <w:r>
              <w:rPr>
                <w:rFonts w:ascii="Consolas" w:cs="Consolas" w:eastAsia="Consolas" w:hAnsi="Consolas"/>
                <w:color w:val="1B2A3A"/>
                <w:sz w:val="17"/>
                <w:szCs w:val="17"/>
              </w:rPr>
              <w:t xml:space="preserve">  | Billing/Wallet  Analytics API    AI Agent Orchestrator       |</w:t>
            </w:r>
          </w:p>
          <w:p>
            <w:pPr>
              <w:spacing w:after="0"/>
            </w:pPr>
            <w:r>
              <w:rPr>
                <w:rFonts w:ascii="Consolas" w:cs="Consolas" w:eastAsia="Consolas" w:hAnsi="Consolas"/>
                <w:color w:val="1B2A3A"/>
                <w:sz w:val="17"/>
                <w:szCs w:val="17"/>
              </w:rPr>
              <w:t xml:space="preserve">  | Webhook Svc     Scheduler        Compliance/Consent Svc      |</w:t>
            </w:r>
          </w:p>
          <w:p>
            <w:pPr>
              <w:spacing w:after="0"/>
            </w:pPr>
            <w:r>
              <w:rPr>
                <w:rFonts w:ascii="Consolas" w:cs="Consolas" w:eastAsia="Consolas" w:hAnsi="Consolas"/>
                <w:color w:val="1B2A3A"/>
                <w:sz w:val="17"/>
                <w:szCs w:val="17"/>
              </w:rPr>
              <w:t xml:space="preserve">  |                                                              |</w:t>
            </w:r>
          </w:p>
          <w:p>
            <w:pPr>
              <w:spacing w:after="0"/>
            </w:pPr>
            <w:r>
              <w:rPr>
                <w:rFonts w:ascii="Consolas" w:cs="Consolas" w:eastAsia="Consolas" w:hAnsi="Consolas"/>
                <w:color w:val="1B2A3A"/>
                <w:sz w:val="17"/>
                <w:szCs w:val="17"/>
              </w:rPr>
              <w:t xml:space="preserve">  | Jasmin SMS Gateway | Mautic/Dittofeed | Chatwoot | Twenty    |</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                |</w:t>
            </w:r>
          </w:p>
          <w:p>
            <w:pPr>
              <w:spacing w:after="0"/>
            </w:pPr>
            <w:r>
              <w:rPr>
                <w:rFonts w:ascii="Consolas" w:cs="Consolas" w:eastAsia="Consolas" w:hAnsi="Consolas"/>
                <w:color w:val="1B2A3A"/>
                <w:sz w:val="17"/>
                <w:szCs w:val="17"/>
              </w:rPr>
              <w:t xml:space="preserve">         IBM Event Streams (Kafka)   Redis (cache / rate limits)</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PostgreSQL (managed)  --  IBM Cloud Object Storage</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 Delivery / Connectivity Layer                                 |</w:t>
            </w:r>
          </w:p>
          <w:p>
            <w:pPr>
              <w:spacing w:after="0"/>
            </w:pPr>
            <w:r>
              <w:rPr>
                <w:rFonts w:ascii="Consolas" w:cs="Consolas" w:eastAsia="Consolas" w:hAnsi="Consolas"/>
                <w:color w:val="1B2A3A"/>
                <w:sz w:val="17"/>
                <w:szCs w:val="17"/>
              </w:rPr>
              <w:t xml:space="preserve">  | SMPP -&gt; Safaricom / Airtel      SMTP/API -&gt; ESP (Postal/SES)  |</w:t>
            </w:r>
          </w:p>
          <w:p>
            <w:pPr>
              <w:spacing w:after="0"/>
            </w:pPr>
            <w:r>
              <w:rPr>
                <w:rFonts w:ascii="Consolas" w:cs="Consolas" w:eastAsia="Consolas" w:hAnsi="Consolas"/>
                <w:color w:val="1B2A3A"/>
                <w:sz w:val="17"/>
                <w:szCs w:val="17"/>
              </w:rPr>
              <w:t xml:space="preserve">  | Daraja API -&gt; M-Pesa            Paystack API -&gt; Cards/Bank    |</w:t>
            </w:r>
          </w:p>
          <w:p>
            <w:pPr>
              <w:spacing w:after="0"/>
            </w:pPr>
            <w:r>
              <w:rPr>
                <w:rFonts w:ascii="Consolas" w:cs="Consolas" w:eastAsia="Consolas" w:hAnsi="Consolas"/>
                <w:color w:val="1B2A3A"/>
                <w:sz w:val="17"/>
                <w:szCs w:val="17"/>
              </w:rPr>
              <w:t xml:space="preserve">  +---------------------------------------------------------------+</w:t>
            </w:r>
          </w:p>
        </w:tc>
      </w:tr>
    </w:tbl>
    <w:p>
      <w:pPr>
        <w:spacing w:after="220" w:before="60"/>
      </w:pPr>
      <w:r>
        <w:rPr>
          <w:i/>
          <w:iCs/>
          <w:color w:val="5B6472"/>
          <w:sz w:val="18"/>
          <w:szCs w:val="18"/>
        </w:rPr>
        <w:t xml:space="preserve">Figure 2. Target deployment on Red Hat OpenShift on IBM Cloud (ROKS), including the payments layer.</w:t>
      </w:r>
    </w:p>
    <w:p>
      <w:pPr>
        <w:pStyle w:val="Heading2"/>
        <w:spacing w:after="140" w:before="300"/>
      </w:pPr>
      <w:r>
        <w:rPr>
          <w:b/>
          <w:bCs/>
          <w:color w:val="13315C"/>
          <w:sz w:val="24"/>
          <w:szCs w:val="24"/>
        </w:rPr>
        <w:t xml:space="preserve">4.3 Core Platform Layers</w:t>
      </w:r>
    </w:p>
    <w:p>
      <w:pPr>
        <w:pStyle w:val="Heading3"/>
        <w:spacing w:after="100" w:before="200"/>
      </w:pPr>
      <w:r>
        <w:rPr>
          <w:b/>
          <w:bCs/>
          <w:color w:val="0E7C7B"/>
          <w:sz w:val="21"/>
          <w:szCs w:val="21"/>
        </w:rPr>
        <w:t xml:space="preserve">Customer-360 / CDP</w:t>
      </w:r>
    </w:p>
    <w:p>
      <w:pPr>
        <w:spacing w:after="160" w:line="276"/>
      </w:pPr>
      <w:r>
        <w:rPr>
          <w:color w:val="222222"/>
          <w:sz w:val="21"/>
          <w:szCs w:val="21"/>
        </w:rPr>
        <w:t xml:space="preserve">Instead of five disconnected records — an email address, a phone number, a WhatsApp thread, a web visitor cookie, and a CRM contact — an identity-resolution service recognises them as one customer and merges every touchpoint (site visit, brochure download, email open, SMS click, WhatsApp reply, admission, invoice, payment, certificate) into a single timeline. This timeline is what makes lead scoring, journeys, and AI agents genuinely useful rather than five separate reporting dashboards.</w:t>
      </w:r>
    </w:p>
    <w:p>
      <w:pPr>
        <w:pStyle w:val="Heading3"/>
        <w:spacing w:after="100" w:before="200"/>
      </w:pPr>
      <w:r>
        <w:rPr>
          <w:b/>
          <w:bCs/>
          <w:color w:val="0E7C7B"/>
          <w:sz w:val="21"/>
          <w:szCs w:val="21"/>
        </w:rPr>
        <w:t xml:space="preserve">CRM Core</w:t>
      </w:r>
    </w:p>
    <w:p>
      <w:pPr>
        <w:spacing w:after="160" w:line="276"/>
      </w:pPr>
      <w:r>
        <w:rPr>
          <w:color w:val="222222"/>
          <w:sz w:val="21"/>
          <w:szCs w:val="21"/>
        </w:rPr>
        <w:t xml:space="preserve">Contacts, Leads, Accounts, Deals/Opportunities, Activities, and Pipelines, with custom fields (JSONB), timelines, and scoring. Recommended foundation: Twenty (TypeScript/NestJS/PostgreSQL/React) as the long-term AI-native CRM base, with EspoCRM as a lighter-weight alternative; both are evaluated for licence terms before commercial white-labelling.</w:t>
      </w:r>
    </w:p>
    <w:p>
      <w:pPr>
        <w:pStyle w:val="Heading3"/>
        <w:spacing w:after="100" w:before="200"/>
      </w:pPr>
      <w:r>
        <w:rPr>
          <w:b/>
          <w:bCs/>
          <w:color w:val="0E7C7B"/>
          <w:sz w:val="21"/>
          <w:szCs w:val="21"/>
        </w:rPr>
        <w:t xml:space="preserve">Campaign &amp; Journey Engine</w:t>
      </w:r>
    </w:p>
    <w:p>
      <w:pPr>
        <w:spacing w:after="160" w:line="276"/>
      </w:pPr>
      <w:r>
        <w:rPr>
          <w:color w:val="222222"/>
          <w:sz w:val="21"/>
          <w:szCs w:val="21"/>
        </w:rPr>
        <w:t xml:space="preserve">Segments, lead scoring, visual journey/workflow builder, landing pages and forms, A/B testing, and multi-channel triggers. Mautic and Dittofeed are the reference implementations to study and, where licensing allows, integrate directly rather than re-implement.</w:t>
      </w:r>
    </w:p>
    <w:p>
      <w:pPr>
        <w:pStyle w:val="Heading3"/>
        <w:spacing w:after="100" w:before="200"/>
      </w:pPr>
      <w:r>
        <w:rPr>
          <w:b/>
          <w:bCs/>
          <w:color w:val="0E7C7B"/>
          <w:sz w:val="21"/>
          <w:szCs w:val="21"/>
        </w:rPr>
        <w:t xml:space="preserve">Messaging &amp; Delivery</w:t>
      </w:r>
    </w:p>
    <w:p>
      <w:pPr>
        <w:spacing w:after="160" w:line="276"/>
      </w:pPr>
      <w:r>
        <w:rPr>
          <w:color w:val="222222"/>
          <w:sz w:val="21"/>
          <w:szCs w:val="21"/>
        </w:rPr>
        <w:t xml:space="preserve">A unified outbound/inbound engine for SMS, Email, and WhatsApp, backed by Jasmin (SMS/SMPP gateway), Postal or a managed ESP (email), and the WhatsApp Business Platform (Meta) — all behind i3's own provider-abstraction API so no single vendor is a single point of failure.</w:t>
      </w:r>
    </w:p>
    <w:p>
      <w:pPr>
        <w:pStyle w:val="Heading3"/>
        <w:spacing w:after="100" w:before="200"/>
      </w:pPr>
      <w:r>
        <w:rPr>
          <w:b/>
          <w:bCs/>
          <w:color w:val="0E7C7B"/>
          <w:sz w:val="21"/>
          <w:szCs w:val="21"/>
        </w:rPr>
        <w:t xml:space="preserve">Payments &amp; Receipting</w:t>
      </w:r>
    </w:p>
    <w:p>
      <w:pPr>
        <w:spacing w:after="160" w:line="276"/>
      </w:pPr>
      <w:r>
        <w:rPr>
          <w:color w:val="222222"/>
          <w:sz w:val="21"/>
          <w:szCs w:val="21"/>
        </w:rPr>
        <w:t xml:space="preserve">A first-class service (not an afterthought) handling Safaricom Daraja and Paystack transactions, wallet top-ups, invoicing, and receipt generation — detailed in Section 7.</w:t>
      </w:r>
    </w:p>
    <w:p>
      <w:pPr>
        <w:pStyle w:val="Heading3"/>
        <w:spacing w:after="100" w:before="200"/>
      </w:pPr>
      <w:r>
        <w:rPr>
          <w:b/>
          <w:bCs/>
          <w:color w:val="0E7C7B"/>
          <w:sz w:val="21"/>
          <w:szCs w:val="21"/>
        </w:rPr>
        <w:t xml:space="preserve">Analytics &amp; Reporting</w:t>
      </w:r>
    </w:p>
    <w:p>
      <w:pPr>
        <w:spacing w:after="160" w:line="276"/>
      </w:pPr>
      <w:r>
        <w:rPr>
          <w:color w:val="222222"/>
          <w:sz w:val="21"/>
          <w:szCs w:val="21"/>
        </w:rPr>
        <w:t xml:space="preserve">Delivery, open/click, conversion, and attribution reporting, plus campaign profitability (spend vs. leads vs. revenue) so agencies can show clients ROI, not just “we sent 10,000 messages.”</w:t>
      </w:r>
    </w:p>
    <w:p>
      <w:pPr>
        <w:pStyle w:val="Heading2"/>
        <w:spacing w:after="140" w:before="300"/>
      </w:pPr>
      <w:r>
        <w:rPr>
          <w:b/>
          <w:bCs/>
          <w:color w:val="13315C"/>
          <w:sz w:val="24"/>
          <w:szCs w:val="24"/>
        </w:rPr>
        <w:t xml:space="preserve">4.4 Multi-Tenancy &amp; White-Labelling</w:t>
      </w:r>
    </w:p>
    <w:p>
      <w:pPr>
        <w:spacing w:after="160" w:line="276"/>
      </w:pPr>
      <w:r>
        <w:rPr>
          <w:color w:val="222222"/>
          <w:sz w:val="21"/>
          <w:szCs w:val="21"/>
        </w:rPr>
        <w:t xml:space="preserve">Two operating modes run on the same platform: i3 Technologies internal/agency mode (own campaigns, i3 Academy admissions, AI HALISI outreach, enterprise sales) and Platform/white-label mode (an i3 client logs into marketing.client.co.ke while another gets engage.client2.co.ke). Each tenant has its own contacts, sender IDs, domains, templates, SMS wallet, users, analytics, and AI agents.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50"/>
      </w:tblGrid>
      <w:tr>
        <w:trPr>
          <w:tblHeader/>
        </w:trPr>
        <w:tc>
          <w:tcPr>
            <w:tcW w:type="dxa" w:w="2600"/>
            <w:shd w:fill="0B2545" w:val="clear"/>
            <w:tcMar>
              <w:top w:type="dxa" w:w="100"/>
              <w:left w:type="dxa" w:w="120"/>
              <w:bottom w:type="dxa" w:w="100"/>
              <w:right w:type="dxa" w:w="120"/>
            </w:tcMar>
            <w:vAlign w:val="center"/>
          </w:tcPr>
          <w:p>
            <w:pPr>
              <w:spacing w:after="0"/>
            </w:pPr>
            <w:r>
              <w:rPr>
                <w:b/>
                <w:bCs/>
                <w:color w:val="FFFFFF"/>
                <w:sz w:val="19"/>
                <w:szCs w:val="19"/>
              </w:rPr>
              <w:t xml:space="preserve">Tier</w:t>
            </w:r>
          </w:p>
        </w:tc>
        <w:tc>
          <w:tcPr>
            <w:tcW w:type="dxa" w:w="3700"/>
            <w:shd w:fill="0B2545" w:val="clear"/>
            <w:tcMar>
              <w:top w:type="dxa" w:w="100"/>
              <w:left w:type="dxa" w:w="120"/>
              <w:bottom w:type="dxa" w:w="100"/>
              <w:right w:type="dxa" w:w="120"/>
            </w:tcMar>
            <w:vAlign w:val="center"/>
          </w:tcPr>
          <w:p>
            <w:pPr>
              <w:spacing w:after="0"/>
            </w:pPr>
            <w:r>
              <w:rPr>
                <w:b/>
                <w:bCs/>
                <w:color w:val="FFFFFF"/>
                <w:sz w:val="19"/>
                <w:szCs w:val="19"/>
              </w:rPr>
              <w:t xml:space="preserve">Isolation model</w:t>
            </w:r>
          </w:p>
        </w:tc>
        <w:tc>
          <w:tcPr>
            <w:tcW w:type="dxa" w:w="3050"/>
            <w:shd w:fill="0B2545" w:val="clear"/>
            <w:tcMar>
              <w:top w:type="dxa" w:w="100"/>
              <w:left w:type="dxa" w:w="120"/>
              <w:bottom w:type="dxa" w:w="100"/>
              <w:right w:type="dxa" w:w="120"/>
            </w:tcMar>
            <w:vAlign w:val="center"/>
          </w:tcPr>
          <w:p>
            <w:pPr>
              <w:spacing w:after="0"/>
            </w:pPr>
            <w:r>
              <w:rPr>
                <w:b/>
                <w:bCs/>
                <w:color w:val="FFFFFF"/>
                <w:sz w:val="19"/>
                <w:szCs w:val="19"/>
              </w:rPr>
              <w:t xml:space="preserve">Fit</w:t>
            </w:r>
          </w:p>
        </w:tc>
      </w:tr>
      <w:tr>
        <w:tc>
          <w:tcPr>
            <w:tcW w:type="dxa" w:w="2600"/>
            <w:shd w:fill="FFFFFF" w:val="clear"/>
            <w:tcMar>
              <w:top w:type="dxa" w:w="90"/>
              <w:left w:type="dxa" w:w="120"/>
              <w:bottom w:type="dxa" w:w="90"/>
              <w:right w:type="dxa" w:w="120"/>
            </w:tcMar>
            <w:vAlign w:val="center"/>
          </w:tcPr>
          <w:p>
            <w:pPr>
              <w:spacing w:after="0"/>
            </w:pPr>
            <w:r>
              <w:rPr>
                <w:color w:val="222222"/>
                <w:sz w:val="19"/>
                <w:szCs w:val="19"/>
              </w:rPr>
              <w:t xml:space="preserve">Shared SaaS</w:t>
            </w:r>
          </w:p>
        </w:tc>
        <w:tc>
          <w:tcPr>
            <w:tcW w:type="dxa" w:w="3700"/>
            <w:shd w:fill="FFFFFF" w:val="clear"/>
            <w:tcMar>
              <w:top w:type="dxa" w:w="90"/>
              <w:left w:type="dxa" w:w="120"/>
              <w:bottom w:type="dxa" w:w="90"/>
              <w:right w:type="dxa" w:w="120"/>
            </w:tcMar>
            <w:vAlign w:val="center"/>
          </w:tcPr>
          <w:p>
            <w:pPr>
              <w:spacing w:after="0"/>
            </w:pPr>
            <w:r>
              <w:rPr>
                <w:color w:val="222222"/>
                <w:sz w:val="19"/>
                <w:szCs w:val="19"/>
              </w:rPr>
              <w:t xml:space="preserve">Row-level security, tenant_id, shared DB cluster</w:t>
            </w:r>
          </w:p>
        </w:tc>
        <w:tc>
          <w:tcPr>
            <w:tcW w:type="dxa" w:w="3050"/>
            <w:shd w:fill="FFFFFF" w:val="clear"/>
            <w:tcMar>
              <w:top w:type="dxa" w:w="90"/>
              <w:left w:type="dxa" w:w="120"/>
              <w:bottom w:type="dxa" w:w="90"/>
              <w:right w:type="dxa" w:w="120"/>
            </w:tcMar>
            <w:vAlign w:val="center"/>
          </w:tcPr>
          <w:p>
            <w:pPr>
              <w:spacing w:after="0"/>
            </w:pPr>
            <w:r>
              <w:rPr>
                <w:color w:val="222222"/>
                <w:sz w:val="19"/>
                <w:szCs w:val="19"/>
              </w:rPr>
              <w:t xml:space="preserve">SMEs, self-serve Starter tier</w:t>
            </w:r>
          </w:p>
        </w:tc>
      </w:tr>
      <w:tr>
        <w:tc>
          <w:tcPr>
            <w:tcW w:type="dxa" w:w="2600"/>
            <w:shd w:fill="F5F7F5" w:val="clear"/>
            <w:tcMar>
              <w:top w:type="dxa" w:w="90"/>
              <w:left w:type="dxa" w:w="120"/>
              <w:bottom w:type="dxa" w:w="90"/>
              <w:right w:type="dxa" w:w="120"/>
            </w:tcMar>
            <w:vAlign w:val="center"/>
          </w:tcPr>
          <w:p>
            <w:pPr>
              <w:spacing w:after="0"/>
            </w:pPr>
            <w:r>
              <w:rPr>
                <w:color w:val="222222"/>
                <w:sz w:val="19"/>
                <w:szCs w:val="19"/>
              </w:rPr>
              <w:t xml:space="preserve">Dedicated schema/namespace</w:t>
            </w:r>
          </w:p>
        </w:tc>
        <w:tc>
          <w:tcPr>
            <w:tcW w:type="dxa" w:w="3700"/>
            <w:shd w:fill="F5F7F5" w:val="clear"/>
            <w:tcMar>
              <w:top w:type="dxa" w:w="90"/>
              <w:left w:type="dxa" w:w="120"/>
              <w:bottom w:type="dxa" w:w="90"/>
              <w:right w:type="dxa" w:w="120"/>
            </w:tcMar>
            <w:vAlign w:val="center"/>
          </w:tcPr>
          <w:p>
            <w:pPr>
              <w:spacing w:after="0"/>
            </w:pPr>
            <w:r>
              <w:rPr>
                <w:color w:val="222222"/>
                <w:sz w:val="19"/>
                <w:szCs w:val="19"/>
              </w:rPr>
              <w:t xml:space="preserve">OpenShift namespace + schema-per-tenant PostgreSQL</w:t>
            </w:r>
          </w:p>
        </w:tc>
        <w:tc>
          <w:tcPr>
            <w:tcW w:type="dxa" w:w="3050"/>
            <w:shd w:fill="F5F7F5" w:val="clear"/>
            <w:tcMar>
              <w:top w:type="dxa" w:w="90"/>
              <w:left w:type="dxa" w:w="120"/>
              <w:bottom w:type="dxa" w:w="90"/>
              <w:right w:type="dxa" w:w="120"/>
            </w:tcMar>
            <w:vAlign w:val="center"/>
          </w:tcPr>
          <w:p>
            <w:pPr>
              <w:spacing w:after="0"/>
            </w:pPr>
            <w:r>
              <w:rPr>
                <w:color w:val="222222"/>
                <w:sz w:val="19"/>
                <w:szCs w:val="19"/>
              </w:rPr>
              <w:t xml:space="preserve">Growth / Agency tenants</w:t>
            </w:r>
          </w:p>
        </w:tc>
      </w:tr>
      <w:tr>
        <w:tc>
          <w:tcPr>
            <w:tcW w:type="dxa" w:w="2600"/>
            <w:shd w:fill="FFFFFF" w:val="clear"/>
            <w:tcMar>
              <w:top w:type="dxa" w:w="90"/>
              <w:left w:type="dxa" w:w="120"/>
              <w:bottom w:type="dxa" w:w="90"/>
              <w:right w:type="dxa" w:w="120"/>
            </w:tcMar>
            <w:vAlign w:val="center"/>
          </w:tcPr>
          <w:p>
            <w:pPr>
              <w:spacing w:after="0"/>
            </w:pPr>
            <w:r>
              <w:rPr>
                <w:color w:val="222222"/>
                <w:sz w:val="19"/>
                <w:szCs w:val="19"/>
              </w:rPr>
              <w:t xml:space="preserve">Dedicated cluster / account</w:t>
            </w:r>
          </w:p>
        </w:tc>
        <w:tc>
          <w:tcPr>
            <w:tcW w:type="dxa" w:w="3700"/>
            <w:shd w:fill="FFFFFF" w:val="clear"/>
            <w:tcMar>
              <w:top w:type="dxa" w:w="90"/>
              <w:left w:type="dxa" w:w="120"/>
              <w:bottom w:type="dxa" w:w="90"/>
              <w:right w:type="dxa" w:w="120"/>
            </w:tcMar>
            <w:vAlign w:val="center"/>
          </w:tcPr>
          <w:p>
            <w:pPr>
              <w:spacing w:after="0"/>
            </w:pPr>
            <w:r>
              <w:rPr>
                <w:color w:val="222222"/>
                <w:sz w:val="19"/>
                <w:szCs w:val="19"/>
              </w:rPr>
              <w:t xml:space="preserve">Full OpenShift project or IBM Cloud account</w:t>
            </w:r>
          </w:p>
        </w:tc>
        <w:tc>
          <w:tcPr>
            <w:tcW w:type="dxa" w:w="3050"/>
            <w:shd w:fill="FFFFFF" w:val="clear"/>
            <w:tcMar>
              <w:top w:type="dxa" w:w="90"/>
              <w:left w:type="dxa" w:w="120"/>
              <w:bottom w:type="dxa" w:w="90"/>
              <w:right w:type="dxa" w:w="120"/>
            </w:tcMar>
            <w:vAlign w:val="center"/>
          </w:tcPr>
          <w:p>
            <w:pPr>
              <w:spacing w:after="0"/>
            </w:pPr>
            <w:r>
              <w:rPr>
                <w:color w:val="222222"/>
                <w:sz w:val="19"/>
                <w:szCs w:val="19"/>
              </w:rPr>
              <w:t xml:space="preserve">Regulated enterprise (banks, government)</w:t>
            </w:r>
          </w:p>
        </w:tc>
      </w:tr>
    </w:tbl>
    <w:p>
      <w:pPr>
        <w:spacing w:after="120"/>
      </w:pPr>
    </w:p>
    <w:p>
      <w:pPr>
        <w:pStyle w:val="Heading2"/>
        <w:spacing w:after="140" w:before="300"/>
      </w:pPr>
      <w:r>
        <w:rPr>
          <w:b/>
          <w:bCs/>
          <w:color w:val="13315C"/>
          <w:sz w:val="24"/>
          <w:szCs w:val="24"/>
        </w:rPr>
        <w:t xml:space="preserve">4.5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rPr>
          <w:tblHeader/>
        </w:trPr>
        <w:tc>
          <w:tcPr>
            <w:tcW w:type="dxa" w:w="2650"/>
            <w:shd w:fill="0B2545" w:val="clear"/>
            <w:tcMar>
              <w:top w:type="dxa" w:w="100"/>
              <w:left w:type="dxa" w:w="120"/>
              <w:bottom w:type="dxa" w:w="100"/>
              <w:right w:type="dxa" w:w="120"/>
            </w:tcMar>
            <w:vAlign w:val="center"/>
          </w:tcPr>
          <w:p>
            <w:pPr>
              <w:spacing w:after="0"/>
            </w:pPr>
            <w:r>
              <w:rPr>
                <w:b/>
                <w:bCs/>
                <w:color w:val="FFFFFF"/>
                <w:sz w:val="19"/>
                <w:szCs w:val="19"/>
              </w:rPr>
              <w:t xml:space="preserve">Layer</w:t>
            </w:r>
          </w:p>
        </w:tc>
        <w:tc>
          <w:tcPr>
            <w:tcW w:type="dxa" w:w="6700"/>
            <w:shd w:fill="0B2545" w:val="clear"/>
            <w:tcMar>
              <w:top w:type="dxa" w:w="100"/>
              <w:left w:type="dxa" w:w="120"/>
              <w:bottom w:type="dxa" w:w="100"/>
              <w:right w:type="dxa" w:w="120"/>
            </w:tcMar>
            <w:vAlign w:val="center"/>
          </w:tcPr>
          <w:p>
            <w:pPr>
              <w:spacing w:after="0"/>
            </w:pPr>
            <w:r>
              <w:rPr>
                <w:b/>
                <w:bCs/>
                <w:color w:val="FFFFFF"/>
                <w:sz w:val="19"/>
                <w:szCs w:val="19"/>
              </w:rPr>
              <w:t xml:space="preserve">Recommended technology</w:t>
            </w:r>
          </w:p>
        </w:tc>
      </w:tr>
      <w:tr>
        <w:tc>
          <w:tcPr>
            <w:tcW w:type="dxa" w:w="2650"/>
            <w:shd w:fill="FFFFFF" w:val="clear"/>
            <w:tcMar>
              <w:top w:type="dxa" w:w="90"/>
              <w:left w:type="dxa" w:w="120"/>
              <w:bottom w:type="dxa" w:w="90"/>
              <w:right w:type="dxa" w:w="120"/>
            </w:tcMar>
            <w:vAlign w:val="center"/>
          </w:tcPr>
          <w:p>
            <w:pPr>
              <w:spacing w:after="0"/>
            </w:pPr>
            <w:r>
              <w:rPr>
                <w:color w:val="222222"/>
                <w:sz w:val="19"/>
                <w:szCs w:val="19"/>
              </w:rPr>
              <w:t xml:space="preserve">Frontend</w:t>
            </w:r>
          </w:p>
        </w:tc>
        <w:tc>
          <w:tcPr>
            <w:tcW w:type="dxa" w:w="6700"/>
            <w:shd w:fill="FFFFFF" w:val="clear"/>
            <w:tcMar>
              <w:top w:type="dxa" w:w="90"/>
              <w:left w:type="dxa" w:w="120"/>
              <w:bottom w:type="dxa" w:w="90"/>
              <w:right w:type="dxa" w:w="120"/>
            </w:tcMar>
            <w:vAlign w:val="center"/>
          </w:tcPr>
          <w:p>
            <w:pPr>
              <w:spacing w:after="0"/>
            </w:pPr>
            <w:r>
              <w:rPr>
                <w:color w:val="222222"/>
                <w:sz w:val="19"/>
                <w:szCs w:val="19"/>
              </w:rPr>
              <w:t xml:space="preserve">Next.js + TypeScript + Tailwind + shadcn/ui</w:t>
            </w:r>
          </w:p>
        </w:tc>
      </w:tr>
      <w:tr>
        <w:tc>
          <w:tcPr>
            <w:tcW w:type="dxa" w:w="2650"/>
            <w:shd w:fill="F5F7F5" w:val="clear"/>
            <w:tcMar>
              <w:top w:type="dxa" w:w="90"/>
              <w:left w:type="dxa" w:w="120"/>
              <w:bottom w:type="dxa" w:w="90"/>
              <w:right w:type="dxa" w:w="120"/>
            </w:tcMar>
            <w:vAlign w:val="center"/>
          </w:tcPr>
          <w:p>
            <w:pPr>
              <w:spacing w:after="0"/>
            </w:pPr>
            <w:r>
              <w:rPr>
                <w:color w:val="222222"/>
                <w:sz w:val="19"/>
                <w:szCs w:val="19"/>
              </w:rPr>
              <w:t xml:space="preserve">API / Application</w:t>
            </w:r>
          </w:p>
        </w:tc>
        <w:tc>
          <w:tcPr>
            <w:tcW w:type="dxa" w:w="6700"/>
            <w:shd w:fill="F5F7F5" w:val="clear"/>
            <w:tcMar>
              <w:top w:type="dxa" w:w="90"/>
              <w:left w:type="dxa" w:w="120"/>
              <w:bottom w:type="dxa" w:w="90"/>
              <w:right w:type="dxa" w:w="120"/>
            </w:tcMar>
            <w:vAlign w:val="center"/>
          </w:tcPr>
          <w:p>
            <w:pPr>
              <w:spacing w:after="0"/>
            </w:pPr>
            <w:r>
              <w:rPr>
                <w:color w:val="222222"/>
                <w:sz w:val="19"/>
                <w:szCs w:val="19"/>
              </w:rPr>
              <w:t xml:space="preserve">NestJS (Node) or FastAPI (Python); REST + GraphQL</w:t>
            </w:r>
          </w:p>
        </w:tc>
      </w:tr>
      <w:tr>
        <w:tc>
          <w:tcPr>
            <w:tcW w:type="dxa" w:w="2650"/>
            <w:shd w:fill="FFFFFF" w:val="clear"/>
            <w:tcMar>
              <w:top w:type="dxa" w:w="90"/>
              <w:left w:type="dxa" w:w="120"/>
              <w:bottom w:type="dxa" w:w="90"/>
              <w:right w:type="dxa" w:w="120"/>
            </w:tcMar>
            <w:vAlign w:val="center"/>
          </w:tcPr>
          <w:p>
            <w:pPr>
              <w:spacing w:after="0"/>
            </w:pPr>
            <w:r>
              <w:rPr>
                <w:color w:val="222222"/>
                <w:sz w:val="19"/>
                <w:szCs w:val="19"/>
              </w:rPr>
              <w:t xml:space="preserve">CRM foundation</w:t>
            </w:r>
          </w:p>
        </w:tc>
        <w:tc>
          <w:tcPr>
            <w:tcW w:type="dxa" w:w="6700"/>
            <w:shd w:fill="FFFFFF" w:val="clear"/>
            <w:tcMar>
              <w:top w:type="dxa" w:w="90"/>
              <w:left w:type="dxa" w:w="120"/>
              <w:bottom w:type="dxa" w:w="90"/>
              <w:right w:type="dxa" w:w="120"/>
            </w:tcMar>
            <w:vAlign w:val="center"/>
          </w:tcPr>
          <w:p>
            <w:pPr>
              <w:spacing w:after="0"/>
            </w:pPr>
            <w:r>
              <w:rPr>
                <w:color w:val="222222"/>
                <w:sz w:val="19"/>
                <w:szCs w:val="19"/>
              </w:rPr>
              <w:t xml:space="preserve">Twenty (primary) or EspoCRM (alternative)</w:t>
            </w:r>
          </w:p>
        </w:tc>
      </w:tr>
      <w:tr>
        <w:tc>
          <w:tcPr>
            <w:tcW w:type="dxa" w:w="2650"/>
            <w:shd w:fill="F5F7F5" w:val="clear"/>
            <w:tcMar>
              <w:top w:type="dxa" w:w="90"/>
              <w:left w:type="dxa" w:w="120"/>
              <w:bottom w:type="dxa" w:w="90"/>
              <w:right w:type="dxa" w:w="120"/>
            </w:tcMar>
            <w:vAlign w:val="center"/>
          </w:tcPr>
          <w:p>
            <w:pPr>
              <w:spacing w:after="0"/>
            </w:pPr>
            <w:r>
              <w:rPr>
                <w:color w:val="222222"/>
                <w:sz w:val="19"/>
                <w:szCs w:val="19"/>
              </w:rPr>
              <w:t xml:space="preserve">Marketing automation</w:t>
            </w:r>
          </w:p>
        </w:tc>
        <w:tc>
          <w:tcPr>
            <w:tcW w:type="dxa" w:w="6700"/>
            <w:shd w:fill="F5F7F5" w:val="clear"/>
            <w:tcMar>
              <w:top w:type="dxa" w:w="90"/>
              <w:left w:type="dxa" w:w="120"/>
              <w:bottom w:type="dxa" w:w="90"/>
              <w:right w:type="dxa" w:w="120"/>
            </w:tcMar>
            <w:vAlign w:val="center"/>
          </w:tcPr>
          <w:p>
            <w:pPr>
              <w:spacing w:after="0"/>
            </w:pPr>
            <w:r>
              <w:rPr>
                <w:color w:val="222222"/>
                <w:sz w:val="19"/>
                <w:szCs w:val="19"/>
              </w:rPr>
              <w:t xml:space="preserve">Mautic / Dittofeed (integrated or pattern-adopted)</w:t>
            </w:r>
          </w:p>
        </w:tc>
      </w:tr>
      <w:tr>
        <w:tc>
          <w:tcPr>
            <w:tcW w:type="dxa" w:w="2650"/>
            <w:shd w:fill="FFFFFF" w:val="clear"/>
            <w:tcMar>
              <w:top w:type="dxa" w:w="90"/>
              <w:left w:type="dxa" w:w="120"/>
              <w:bottom w:type="dxa" w:w="90"/>
              <w:right w:type="dxa" w:w="120"/>
            </w:tcMar>
            <w:vAlign w:val="center"/>
          </w:tcPr>
          <w:p>
            <w:pPr>
              <w:spacing w:after="0"/>
            </w:pPr>
            <w:r>
              <w:rPr>
                <w:color w:val="222222"/>
                <w:sz w:val="19"/>
                <w:szCs w:val="19"/>
              </w:rPr>
              <w:t xml:space="preserve">SMS gateway</w:t>
            </w:r>
          </w:p>
        </w:tc>
        <w:tc>
          <w:tcPr>
            <w:tcW w:type="dxa" w:w="6700"/>
            <w:shd w:fill="FFFFFF" w:val="clear"/>
            <w:tcMar>
              <w:top w:type="dxa" w:w="90"/>
              <w:left w:type="dxa" w:w="120"/>
              <w:bottom w:type="dxa" w:w="90"/>
              <w:right w:type="dxa" w:w="120"/>
            </w:tcMar>
            <w:vAlign w:val="center"/>
          </w:tcPr>
          <w:p>
            <w:pPr>
              <w:spacing w:after="0"/>
            </w:pPr>
            <w:r>
              <w:rPr>
                <w:color w:val="222222"/>
                <w:sz w:val="19"/>
                <w:szCs w:val="19"/>
              </w:rPr>
              <w:t xml:space="preserve">Jasmin (SMPP 3.4 / HTTP API, DLR, routing, failover)</w:t>
            </w:r>
          </w:p>
        </w:tc>
      </w:tr>
      <w:tr>
        <w:tc>
          <w:tcPr>
            <w:tcW w:type="dxa" w:w="2650"/>
            <w:shd w:fill="F5F7F5" w:val="clear"/>
            <w:tcMar>
              <w:top w:type="dxa" w:w="90"/>
              <w:left w:type="dxa" w:w="120"/>
              <w:bottom w:type="dxa" w:w="90"/>
              <w:right w:type="dxa" w:w="120"/>
            </w:tcMar>
            <w:vAlign w:val="center"/>
          </w:tcPr>
          <w:p>
            <w:pPr>
              <w:spacing w:after="0"/>
            </w:pPr>
            <w:r>
              <w:rPr>
                <w:color w:val="222222"/>
                <w:sz w:val="19"/>
                <w:szCs w:val="19"/>
              </w:rPr>
              <w:t xml:space="preserve">Email delivery</w:t>
            </w:r>
          </w:p>
        </w:tc>
        <w:tc>
          <w:tcPr>
            <w:tcW w:type="dxa" w:w="6700"/>
            <w:shd w:fill="F5F7F5" w:val="clear"/>
            <w:tcMar>
              <w:top w:type="dxa" w:w="90"/>
              <w:left w:type="dxa" w:w="120"/>
              <w:bottom w:type="dxa" w:w="90"/>
              <w:right w:type="dxa" w:w="120"/>
            </w:tcMar>
            <w:vAlign w:val="center"/>
          </w:tcPr>
          <w:p>
            <w:pPr>
              <w:spacing w:after="0"/>
            </w:pPr>
            <w:r>
              <w:rPr>
                <w:color w:val="222222"/>
                <w:sz w:val="19"/>
                <w:szCs w:val="19"/>
              </w:rPr>
              <w:t xml:space="preserve">Postal (self-hosted) or managed ESP (SES/SendGrid/Mailgun), pluggable</w:t>
            </w:r>
          </w:p>
        </w:tc>
      </w:tr>
      <w:tr>
        <w:tc>
          <w:tcPr>
            <w:tcW w:type="dxa" w:w="2650"/>
            <w:shd w:fill="FFFFFF" w:val="clear"/>
            <w:tcMar>
              <w:top w:type="dxa" w:w="90"/>
              <w:left w:type="dxa" w:w="120"/>
              <w:bottom w:type="dxa" w:w="90"/>
              <w:right w:type="dxa" w:w="120"/>
            </w:tcMar>
            <w:vAlign w:val="center"/>
          </w:tcPr>
          <w:p>
            <w:pPr>
              <w:spacing w:after="0"/>
            </w:pPr>
            <w:r>
              <w:rPr>
                <w:color w:val="222222"/>
                <w:sz w:val="19"/>
                <w:szCs w:val="19"/>
              </w:rPr>
              <w:t xml:space="preserve">Omnichannel inbox</w:t>
            </w:r>
          </w:p>
        </w:tc>
        <w:tc>
          <w:tcPr>
            <w:tcW w:type="dxa" w:w="6700"/>
            <w:shd w:fill="FFFFFF" w:val="clear"/>
            <w:tcMar>
              <w:top w:type="dxa" w:w="90"/>
              <w:left w:type="dxa" w:w="120"/>
              <w:bottom w:type="dxa" w:w="90"/>
              <w:right w:type="dxa" w:w="120"/>
            </w:tcMar>
            <w:vAlign w:val="center"/>
          </w:tcPr>
          <w:p>
            <w:pPr>
              <w:spacing w:after="0"/>
            </w:pPr>
            <w:r>
              <w:rPr>
                <w:color w:val="222222"/>
                <w:sz w:val="19"/>
                <w:szCs w:val="19"/>
              </w:rPr>
              <w:t xml:space="preserve">Chatwoot (WhatsApp, web chat, email, social unified)</w:t>
            </w:r>
          </w:p>
        </w:tc>
      </w:tr>
      <w:tr>
        <w:tc>
          <w:tcPr>
            <w:tcW w:type="dxa" w:w="2650"/>
            <w:shd w:fill="F5F7F5" w:val="clear"/>
            <w:tcMar>
              <w:top w:type="dxa" w:w="90"/>
              <w:left w:type="dxa" w:w="120"/>
              <w:bottom w:type="dxa" w:w="90"/>
              <w:right w:type="dxa" w:w="120"/>
            </w:tcMar>
            <w:vAlign w:val="center"/>
          </w:tcPr>
          <w:p>
            <w:pPr>
              <w:spacing w:after="0"/>
            </w:pPr>
            <w:r>
              <w:rPr>
                <w:color w:val="222222"/>
                <w:sz w:val="19"/>
                <w:szCs w:val="19"/>
              </w:rPr>
              <w:t xml:space="preserve">Event backbone</w:t>
            </w:r>
          </w:p>
        </w:tc>
        <w:tc>
          <w:tcPr>
            <w:tcW w:type="dxa" w:w="6700"/>
            <w:shd w:fill="F5F7F5" w:val="clear"/>
            <w:tcMar>
              <w:top w:type="dxa" w:w="90"/>
              <w:left w:type="dxa" w:w="120"/>
              <w:bottom w:type="dxa" w:w="90"/>
              <w:right w:type="dxa" w:w="120"/>
            </w:tcMar>
            <w:vAlign w:val="center"/>
          </w:tcPr>
          <w:p>
            <w:pPr>
              <w:spacing w:after="0"/>
            </w:pPr>
            <w:r>
              <w:rPr>
                <w:color w:val="222222"/>
                <w:sz w:val="19"/>
                <w:szCs w:val="19"/>
              </w:rPr>
              <w:t xml:space="preserve">IBM Event Streams (managed Apache Kafka) / Strimzi on OpenShift</w:t>
            </w:r>
          </w:p>
        </w:tc>
      </w:tr>
      <w:tr>
        <w:tc>
          <w:tcPr>
            <w:tcW w:type="dxa" w:w="2650"/>
            <w:shd w:fill="FFFFFF" w:val="clear"/>
            <w:tcMar>
              <w:top w:type="dxa" w:w="90"/>
              <w:left w:type="dxa" w:w="120"/>
              <w:bottom w:type="dxa" w:w="90"/>
              <w:right w:type="dxa" w:w="120"/>
            </w:tcMar>
            <w:vAlign w:val="center"/>
          </w:tcPr>
          <w:p>
            <w:pPr>
              <w:spacing w:after="0"/>
            </w:pPr>
            <w:r>
              <w:rPr>
                <w:color w:val="222222"/>
                <w:sz w:val="19"/>
                <w:szCs w:val="19"/>
              </w:rPr>
              <w:t xml:space="preserve">Data</w:t>
            </w:r>
          </w:p>
        </w:tc>
        <w:tc>
          <w:tcPr>
            <w:tcW w:type="dxa" w:w="6700"/>
            <w:shd w:fill="FFFFFF" w:val="clear"/>
            <w:tcMar>
              <w:top w:type="dxa" w:w="90"/>
              <w:left w:type="dxa" w:w="120"/>
              <w:bottom w:type="dxa" w:w="90"/>
              <w:right w:type="dxa" w:w="120"/>
            </w:tcMar>
            <w:vAlign w:val="center"/>
          </w:tcPr>
          <w:p>
            <w:pPr>
              <w:spacing w:after="0"/>
            </w:pPr>
            <w:r>
              <w:rPr>
                <w:color w:val="222222"/>
                <w:sz w:val="19"/>
                <w:szCs w:val="19"/>
              </w:rPr>
              <w:t xml:space="preserve">PostgreSQL (managed), Redis, IBM Cloud Object Storage</w:t>
            </w:r>
          </w:p>
        </w:tc>
      </w:tr>
      <w:tr>
        <w:tc>
          <w:tcPr>
            <w:tcW w:type="dxa" w:w="2650"/>
            <w:shd w:fill="F5F7F5" w:val="clear"/>
            <w:tcMar>
              <w:top w:type="dxa" w:w="90"/>
              <w:left w:type="dxa" w:w="120"/>
              <w:bottom w:type="dxa" w:w="90"/>
              <w:right w:type="dxa" w:w="120"/>
            </w:tcMar>
            <w:vAlign w:val="center"/>
          </w:tcPr>
          <w:p>
            <w:pPr>
              <w:spacing w:after="0"/>
            </w:pPr>
            <w:r>
              <w:rPr>
                <w:color w:val="222222"/>
                <w:sz w:val="19"/>
                <w:szCs w:val="19"/>
              </w:rPr>
              <w:t xml:space="preserve">Identity &amp; secrets</w:t>
            </w:r>
          </w:p>
        </w:tc>
        <w:tc>
          <w:tcPr>
            <w:tcW w:type="dxa" w:w="6700"/>
            <w:shd w:fill="F5F7F5" w:val="clear"/>
            <w:tcMar>
              <w:top w:type="dxa" w:w="90"/>
              <w:left w:type="dxa" w:w="120"/>
              <w:bottom w:type="dxa" w:w="90"/>
              <w:right w:type="dxa" w:w="120"/>
            </w:tcMar>
            <w:vAlign w:val="center"/>
          </w:tcPr>
          <w:p>
            <w:pPr>
              <w:spacing w:after="0"/>
            </w:pPr>
            <w:r>
              <w:rPr>
                <w:color w:val="222222"/>
                <w:sz w:val="19"/>
                <w:szCs w:val="19"/>
              </w:rPr>
              <w:t xml:space="preserve">Keycloak (multi-tenant realms), IBM Secrets Manager, Key Protect</w:t>
            </w:r>
          </w:p>
        </w:tc>
      </w:tr>
      <w:tr>
        <w:tc>
          <w:tcPr>
            <w:tcW w:type="dxa" w:w="2650"/>
            <w:shd w:fill="FFFFFF" w:val="clear"/>
            <w:tcMar>
              <w:top w:type="dxa" w:w="90"/>
              <w:left w:type="dxa" w:w="120"/>
              <w:bottom w:type="dxa" w:w="90"/>
              <w:right w:type="dxa" w:w="120"/>
            </w:tcMar>
            <w:vAlign w:val="center"/>
          </w:tcPr>
          <w:p>
            <w:pPr>
              <w:spacing w:after="0"/>
            </w:pPr>
            <w:r>
              <w:rPr>
                <w:color w:val="222222"/>
                <w:sz w:val="19"/>
                <w:szCs w:val="19"/>
              </w:rPr>
              <w:t xml:space="preserve">Infrastructure</w:t>
            </w:r>
          </w:p>
        </w:tc>
        <w:tc>
          <w:tcPr>
            <w:tcW w:type="dxa" w:w="6700"/>
            <w:shd w:fill="FFFFFF" w:val="clear"/>
            <w:tcMar>
              <w:top w:type="dxa" w:w="90"/>
              <w:left w:type="dxa" w:w="120"/>
              <w:bottom w:type="dxa" w:w="90"/>
              <w:right w:type="dxa" w:w="120"/>
            </w:tcMar>
            <w:vAlign w:val="center"/>
          </w:tcPr>
          <w:p>
            <w:pPr>
              <w:spacing w:after="0"/>
            </w:pPr>
            <w:r>
              <w:rPr>
                <w:color w:val="222222"/>
                <w:sz w:val="19"/>
                <w:szCs w:val="19"/>
              </w:rPr>
              <w:t xml:space="preserve">Red Hat OpenShift on IBM Cloud (ROKS), GitOps (Argo CD), Helm/Operators</w:t>
            </w:r>
          </w:p>
        </w:tc>
      </w:tr>
      <w:tr>
        <w:tc>
          <w:tcPr>
            <w:tcW w:type="dxa" w:w="2650"/>
            <w:shd w:fill="F5F7F5" w:val="clear"/>
            <w:tcMar>
              <w:top w:type="dxa" w:w="90"/>
              <w:left w:type="dxa" w:w="120"/>
              <w:bottom w:type="dxa" w:w="90"/>
              <w:right w:type="dxa" w:w="120"/>
            </w:tcMar>
            <w:vAlign w:val="center"/>
          </w:tcPr>
          <w:p>
            <w:pPr>
              <w:spacing w:after="0"/>
            </w:pPr>
            <w:r>
              <w:rPr>
                <w:color w:val="222222"/>
                <w:sz w:val="19"/>
                <w:szCs w:val="19"/>
              </w:rPr>
              <w:t xml:space="preserve">Observability</w:t>
            </w:r>
          </w:p>
        </w:tc>
        <w:tc>
          <w:tcPr>
            <w:tcW w:type="dxa" w:w="6700"/>
            <w:shd w:fill="F5F7F5" w:val="clear"/>
            <w:tcMar>
              <w:top w:type="dxa" w:w="90"/>
              <w:left w:type="dxa" w:w="120"/>
              <w:bottom w:type="dxa" w:w="90"/>
              <w:right w:type="dxa" w:w="120"/>
            </w:tcMar>
            <w:vAlign w:val="center"/>
          </w:tcPr>
          <w:p>
            <w:pPr>
              <w:spacing w:after="0"/>
            </w:pPr>
            <w:r>
              <w:rPr>
                <w:color w:val="222222"/>
                <w:sz w:val="19"/>
                <w:szCs w:val="19"/>
              </w:rPr>
              <w:t xml:space="preserve">Prometheus, Grafana, Loki/ELK, Jaeger</w:t>
            </w:r>
          </w:p>
        </w:tc>
      </w:tr>
    </w:tbl>
    <w:p>
      <w:pPr>
        <w:spacing w:after="120"/>
      </w:pPr>
    </w:p>
    <w:p>
      <w:r>
        <w:br w:type="page"/>
      </w:r>
    </w:p>
    <w:p>
      <w:pPr>
        <w:pStyle w:val="Heading1"/>
        <w:pBdr>
          <w:bottom w:val="single" w:color="0E7C7B" w:sz="8" w:space="4"/>
        </w:pBdr>
        <w:spacing w:after="200" w:before="420"/>
      </w:pPr>
      <w:r>
        <w:rPr>
          <w:b/>
          <w:bCs/>
          <w:color w:val="0B2545"/>
          <w:sz w:val="30"/>
          <w:szCs w:val="30"/>
        </w:rPr>
        <w:t xml:space="preserve">5. Agentic AI Layer — AI Agents Across the Board</w:t>
      </w:r>
    </w:p>
    <w:p>
      <w:pPr>
        <w:spacing w:after="160" w:line="276"/>
      </w:pPr>
      <w:r>
        <w:rPr>
          <w:color w:val="222222"/>
          <w:sz w:val="21"/>
          <w:szCs w:val="21"/>
        </w:rPr>
        <w:t xml:space="preserve">Agentic AI is where i3 differentiates the platform rather than competing purely on messaging price. AI is not restricted to a single chatbot widget — it is a roster of specialised agents embedded at every stage of the customer-engagement lifecycle, each with a narrow mandate, tool access, and human-approval gates for anything that touches mass messaging, spend, or customer data.</w:t>
      </w:r>
    </w:p>
    <w:p>
      <w:pPr>
        <w:pStyle w:val="Heading2"/>
        <w:spacing w:after="140" w:before="300"/>
      </w:pPr>
      <w:r>
        <w:rPr>
          <w:b/>
          <w:bCs/>
          <w:color w:val="13315C"/>
          <w:sz w:val="24"/>
          <w:szCs w:val="24"/>
        </w:rPr>
        <w:t xml:space="preserve">5.1 Agent Roster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6300"/>
      </w:tblGrid>
      <w:tr>
        <w:trPr>
          <w:tblHeader/>
        </w:trPr>
        <w:tc>
          <w:tcPr>
            <w:tcW w:type="dxa" w:w="3050"/>
            <w:shd w:fill="0B2545" w:val="clear"/>
            <w:tcMar>
              <w:top w:type="dxa" w:w="100"/>
              <w:left w:type="dxa" w:w="120"/>
              <w:bottom w:type="dxa" w:w="100"/>
              <w:right w:type="dxa" w:w="120"/>
            </w:tcMar>
            <w:vAlign w:val="center"/>
          </w:tcPr>
          <w:p>
            <w:pPr>
              <w:spacing w:after="0"/>
            </w:pPr>
            <w:r>
              <w:rPr>
                <w:b/>
                <w:bCs/>
                <w:color w:val="FFFFFF"/>
                <w:sz w:val="19"/>
                <w:szCs w:val="19"/>
              </w:rPr>
              <w:t xml:space="preserve">Agent</w:t>
            </w:r>
          </w:p>
        </w:tc>
        <w:tc>
          <w:tcPr>
            <w:tcW w:type="dxa" w:w="6300"/>
            <w:shd w:fill="0B2545" w:val="clear"/>
            <w:tcMar>
              <w:top w:type="dxa" w:w="100"/>
              <w:left w:type="dxa" w:w="120"/>
              <w:bottom w:type="dxa" w:w="100"/>
              <w:right w:type="dxa" w:w="120"/>
            </w:tcMar>
            <w:vAlign w:val="center"/>
          </w:tcPr>
          <w:p>
            <w:pPr>
              <w:spacing w:after="0"/>
            </w:pPr>
            <w:r>
              <w:rPr>
                <w:b/>
                <w:bCs/>
                <w:color w:val="FFFFFF"/>
                <w:sz w:val="19"/>
                <w:szCs w:val="19"/>
              </w:rPr>
              <w:t xml:space="preserve">Mandate</w:t>
            </w:r>
          </w:p>
        </w:tc>
      </w:tr>
      <w:tr>
        <w:tc>
          <w:tcPr>
            <w:tcW w:type="dxa" w:w="3050"/>
            <w:shd w:fill="FFFFFF" w:val="clear"/>
            <w:tcMar>
              <w:top w:type="dxa" w:w="90"/>
              <w:left w:type="dxa" w:w="120"/>
              <w:bottom w:type="dxa" w:w="90"/>
              <w:right w:type="dxa" w:w="120"/>
            </w:tcMar>
            <w:vAlign w:val="center"/>
          </w:tcPr>
          <w:p>
            <w:pPr>
              <w:spacing w:after="0"/>
            </w:pPr>
            <w:r>
              <w:rPr>
                <w:color w:val="222222"/>
                <w:sz w:val="19"/>
                <w:szCs w:val="19"/>
              </w:rPr>
              <w:t xml:space="preserve">Campaign Strategy Agent</w:t>
            </w:r>
          </w:p>
        </w:tc>
        <w:tc>
          <w:tcPr>
            <w:tcW w:type="dxa" w:w="6300"/>
            <w:shd w:fill="FFFFFF" w:val="clear"/>
            <w:tcMar>
              <w:top w:type="dxa" w:w="90"/>
              <w:left w:type="dxa" w:w="120"/>
              <w:bottom w:type="dxa" w:w="90"/>
              <w:right w:type="dxa" w:w="120"/>
            </w:tcMar>
            <w:vAlign w:val="center"/>
          </w:tcPr>
          <w:p>
            <w:pPr>
              <w:spacing w:after="0"/>
            </w:pPr>
            <w:r>
              <w:rPr>
                <w:color w:val="222222"/>
                <w:sz w:val="19"/>
                <w:szCs w:val="19"/>
              </w:rPr>
              <w:t xml:space="preserve">Turns a business goal + audience + budget + deadline into a segment plan, calendar, and channel mix</w:t>
            </w:r>
          </w:p>
        </w:tc>
      </w:tr>
      <w:tr>
        <w:tc>
          <w:tcPr>
            <w:tcW w:type="dxa" w:w="3050"/>
            <w:shd w:fill="F5F7F5" w:val="clear"/>
            <w:tcMar>
              <w:top w:type="dxa" w:w="90"/>
              <w:left w:type="dxa" w:w="120"/>
              <w:bottom w:type="dxa" w:w="90"/>
              <w:right w:type="dxa" w:w="120"/>
            </w:tcMar>
            <w:vAlign w:val="center"/>
          </w:tcPr>
          <w:p>
            <w:pPr>
              <w:spacing w:after="0"/>
            </w:pPr>
            <w:r>
              <w:rPr>
                <w:color w:val="222222"/>
                <w:sz w:val="19"/>
                <w:szCs w:val="19"/>
              </w:rPr>
              <w:t xml:space="preserve">Lead Qualification Agent</w:t>
            </w:r>
          </w:p>
        </w:tc>
        <w:tc>
          <w:tcPr>
            <w:tcW w:type="dxa" w:w="6300"/>
            <w:shd w:fill="F5F7F5" w:val="clear"/>
            <w:tcMar>
              <w:top w:type="dxa" w:w="90"/>
              <w:left w:type="dxa" w:w="120"/>
              <w:bottom w:type="dxa" w:w="90"/>
              <w:right w:type="dxa" w:w="120"/>
            </w:tcMar>
            <w:vAlign w:val="center"/>
          </w:tcPr>
          <w:p>
            <w:pPr>
              <w:spacing w:after="0"/>
            </w:pPr>
            <w:r>
              <w:rPr>
                <w:color w:val="222222"/>
                <w:sz w:val="19"/>
                <w:szCs w:val="19"/>
              </w:rPr>
              <w:t xml:space="preserve">Scores and routes inbound leads based on behavioural and firmographic signals</w:t>
            </w:r>
          </w:p>
        </w:tc>
      </w:tr>
      <w:tr>
        <w:tc>
          <w:tcPr>
            <w:tcW w:type="dxa" w:w="3050"/>
            <w:shd w:fill="FFFFFF" w:val="clear"/>
            <w:tcMar>
              <w:top w:type="dxa" w:w="90"/>
              <w:left w:type="dxa" w:w="120"/>
              <w:bottom w:type="dxa" w:w="90"/>
              <w:right w:type="dxa" w:w="120"/>
            </w:tcMar>
            <w:vAlign w:val="center"/>
          </w:tcPr>
          <w:p>
            <w:pPr>
              <w:spacing w:after="0"/>
            </w:pPr>
            <w:r>
              <w:rPr>
                <w:color w:val="222222"/>
                <w:sz w:val="19"/>
                <w:szCs w:val="19"/>
              </w:rPr>
              <w:t xml:space="preserve">Content Agent</w:t>
            </w:r>
          </w:p>
        </w:tc>
        <w:tc>
          <w:tcPr>
            <w:tcW w:type="dxa" w:w="6300"/>
            <w:shd w:fill="FFFFFF" w:val="clear"/>
            <w:tcMar>
              <w:top w:type="dxa" w:w="90"/>
              <w:left w:type="dxa" w:w="120"/>
              <w:bottom w:type="dxa" w:w="90"/>
              <w:right w:type="dxa" w:w="120"/>
            </w:tcMar>
            <w:vAlign w:val="center"/>
          </w:tcPr>
          <w:p>
            <w:pPr>
              <w:spacing w:after="0"/>
            </w:pPr>
            <w:r>
              <w:rPr>
                <w:color w:val="222222"/>
                <w:sz w:val="19"/>
                <w:szCs w:val="19"/>
              </w:rPr>
              <w:t xml:space="preserve">Drafts email/SMS/WhatsApp/landing-page copy and creative variants for human review</w:t>
            </w:r>
          </w:p>
        </w:tc>
      </w:tr>
      <w:tr>
        <w:tc>
          <w:tcPr>
            <w:tcW w:type="dxa" w:w="3050"/>
            <w:shd w:fill="F5F7F5" w:val="clear"/>
            <w:tcMar>
              <w:top w:type="dxa" w:w="90"/>
              <w:left w:type="dxa" w:w="120"/>
              <w:bottom w:type="dxa" w:w="90"/>
              <w:right w:type="dxa" w:w="120"/>
            </w:tcMar>
            <w:vAlign w:val="center"/>
          </w:tcPr>
          <w:p>
            <w:pPr>
              <w:spacing w:after="0"/>
            </w:pPr>
            <w:r>
              <w:rPr>
                <w:color w:val="222222"/>
                <w:sz w:val="19"/>
                <w:szCs w:val="19"/>
              </w:rPr>
              <w:t xml:space="preserve">SEO &amp; Social Media Agent</w:t>
            </w:r>
          </w:p>
        </w:tc>
        <w:tc>
          <w:tcPr>
            <w:tcW w:type="dxa" w:w="6300"/>
            <w:shd w:fill="F5F7F5" w:val="clear"/>
            <w:tcMar>
              <w:top w:type="dxa" w:w="90"/>
              <w:left w:type="dxa" w:w="120"/>
              <w:bottom w:type="dxa" w:w="90"/>
              <w:right w:type="dxa" w:w="120"/>
            </w:tcMar>
            <w:vAlign w:val="center"/>
          </w:tcPr>
          <w:p>
            <w:pPr>
              <w:spacing w:after="0"/>
            </w:pPr>
            <w:r>
              <w:rPr>
                <w:color w:val="222222"/>
                <w:sz w:val="19"/>
                <w:szCs w:val="19"/>
              </w:rPr>
              <w:t xml:space="preserve">Plans and schedules organic content, monitors engagement</w:t>
            </w:r>
          </w:p>
        </w:tc>
      </w:tr>
      <w:tr>
        <w:tc>
          <w:tcPr>
            <w:tcW w:type="dxa" w:w="3050"/>
            <w:shd w:fill="FFFFFF" w:val="clear"/>
            <w:tcMar>
              <w:top w:type="dxa" w:w="90"/>
              <w:left w:type="dxa" w:w="120"/>
              <w:bottom w:type="dxa" w:w="90"/>
              <w:right w:type="dxa" w:w="120"/>
            </w:tcMar>
            <w:vAlign w:val="center"/>
          </w:tcPr>
          <w:p>
            <w:pPr>
              <w:spacing w:after="0"/>
            </w:pPr>
            <w:r>
              <w:rPr>
                <w:color w:val="222222"/>
                <w:sz w:val="19"/>
                <w:szCs w:val="19"/>
              </w:rPr>
              <w:t xml:space="preserve">Email Agent / SMS Agent</w:t>
            </w:r>
          </w:p>
        </w:tc>
        <w:tc>
          <w:tcPr>
            <w:tcW w:type="dxa" w:w="6300"/>
            <w:shd w:fill="FFFFFF" w:val="clear"/>
            <w:tcMar>
              <w:top w:type="dxa" w:w="90"/>
              <w:left w:type="dxa" w:w="120"/>
              <w:bottom w:type="dxa" w:w="90"/>
              <w:right w:type="dxa" w:w="120"/>
            </w:tcMar>
            <w:vAlign w:val="center"/>
          </w:tcPr>
          <w:p>
            <w:pPr>
              <w:spacing w:after="0"/>
            </w:pPr>
            <w:r>
              <w:rPr>
                <w:color w:val="222222"/>
                <w:sz w:val="19"/>
                <w:szCs w:val="19"/>
              </w:rPr>
              <w:t xml:space="preserve">Optimises send-time, subject lines, personalisation tokens, and A/B variants per channel</w:t>
            </w:r>
          </w:p>
        </w:tc>
      </w:tr>
      <w:tr>
        <w:tc>
          <w:tcPr>
            <w:tcW w:type="dxa" w:w="3050"/>
            <w:shd w:fill="F5F7F5" w:val="clear"/>
            <w:tcMar>
              <w:top w:type="dxa" w:w="90"/>
              <w:left w:type="dxa" w:w="120"/>
              <w:bottom w:type="dxa" w:w="90"/>
              <w:right w:type="dxa" w:w="120"/>
            </w:tcMar>
            <w:vAlign w:val="center"/>
          </w:tcPr>
          <w:p>
            <w:pPr>
              <w:spacing w:after="0"/>
            </w:pPr>
            <w:r>
              <w:rPr>
                <w:color w:val="222222"/>
                <w:sz w:val="19"/>
                <w:szCs w:val="19"/>
              </w:rPr>
              <w:t xml:space="preserve">Sales Agent</w:t>
            </w:r>
          </w:p>
        </w:tc>
        <w:tc>
          <w:tcPr>
            <w:tcW w:type="dxa" w:w="6300"/>
            <w:shd w:fill="F5F7F5" w:val="clear"/>
            <w:tcMar>
              <w:top w:type="dxa" w:w="90"/>
              <w:left w:type="dxa" w:w="120"/>
              <w:bottom w:type="dxa" w:w="90"/>
              <w:right w:type="dxa" w:w="120"/>
            </w:tcMar>
            <w:vAlign w:val="center"/>
          </w:tcPr>
          <w:p>
            <w:pPr>
              <w:spacing w:after="0"/>
            </w:pPr>
            <w:r>
              <w:rPr>
                <w:color w:val="222222"/>
                <w:sz w:val="19"/>
                <w:szCs w:val="19"/>
              </w:rPr>
              <w:t xml:space="preserve">Drafts follow-ups, books meetings, updates CRM opportunity stages</w:t>
            </w:r>
          </w:p>
        </w:tc>
      </w:tr>
      <w:tr>
        <w:tc>
          <w:tcPr>
            <w:tcW w:type="dxa" w:w="3050"/>
            <w:shd w:fill="FFFFFF" w:val="clear"/>
            <w:tcMar>
              <w:top w:type="dxa" w:w="90"/>
              <w:left w:type="dxa" w:w="120"/>
              <w:bottom w:type="dxa" w:w="90"/>
              <w:right w:type="dxa" w:w="120"/>
            </w:tcMar>
            <w:vAlign w:val="center"/>
          </w:tcPr>
          <w:p>
            <w:pPr>
              <w:spacing w:after="0"/>
            </w:pPr>
            <w:r>
              <w:rPr>
                <w:color w:val="222222"/>
                <w:sz w:val="19"/>
                <w:szCs w:val="19"/>
              </w:rPr>
              <w:t xml:space="preserve">Customer Service Agent</w:t>
            </w:r>
          </w:p>
        </w:tc>
        <w:tc>
          <w:tcPr>
            <w:tcW w:type="dxa" w:w="6300"/>
            <w:shd w:fill="FFFFFF" w:val="clear"/>
            <w:tcMar>
              <w:top w:type="dxa" w:w="90"/>
              <w:left w:type="dxa" w:w="120"/>
              <w:bottom w:type="dxa" w:w="90"/>
              <w:right w:type="dxa" w:w="120"/>
            </w:tcMar>
            <w:vAlign w:val="center"/>
          </w:tcPr>
          <w:p>
            <w:pPr>
              <w:spacing w:after="0"/>
            </w:pPr>
            <w:r>
              <w:rPr>
                <w:color w:val="222222"/>
                <w:sz w:val="19"/>
                <w:szCs w:val="19"/>
              </w:rPr>
              <w:t xml:space="preserve">Handles first-line WhatsApp/webchat queries via Chatwoot, escalates to humans on low confidence</w:t>
            </w:r>
          </w:p>
        </w:tc>
      </w:tr>
      <w:tr>
        <w:tc>
          <w:tcPr>
            <w:tcW w:type="dxa" w:w="3050"/>
            <w:shd w:fill="F5F7F5" w:val="clear"/>
            <w:tcMar>
              <w:top w:type="dxa" w:w="90"/>
              <w:left w:type="dxa" w:w="120"/>
              <w:bottom w:type="dxa" w:w="90"/>
              <w:right w:type="dxa" w:w="120"/>
            </w:tcMar>
            <w:vAlign w:val="center"/>
          </w:tcPr>
          <w:p>
            <w:pPr>
              <w:spacing w:after="0"/>
            </w:pPr>
            <w:r>
              <w:rPr>
                <w:color w:val="222222"/>
                <w:sz w:val="19"/>
                <w:szCs w:val="19"/>
              </w:rPr>
              <w:t xml:space="preserve">Analytics Agent</w:t>
            </w:r>
          </w:p>
        </w:tc>
        <w:tc>
          <w:tcPr>
            <w:tcW w:type="dxa" w:w="6300"/>
            <w:shd w:fill="F5F7F5" w:val="clear"/>
            <w:tcMar>
              <w:top w:type="dxa" w:w="90"/>
              <w:left w:type="dxa" w:w="120"/>
              <w:bottom w:type="dxa" w:w="90"/>
              <w:right w:type="dxa" w:w="120"/>
            </w:tcMar>
            <w:vAlign w:val="center"/>
          </w:tcPr>
          <w:p>
            <w:pPr>
              <w:spacing w:after="0"/>
            </w:pPr>
            <w:r>
              <w:rPr>
                <w:color w:val="222222"/>
                <w:sz w:val="19"/>
                <w:szCs w:val="19"/>
              </w:rPr>
              <w:t xml:space="preserve">Surfaces campaign performance, attribution, and anomalies in plain language</w:t>
            </w:r>
          </w:p>
        </w:tc>
      </w:tr>
      <w:tr>
        <w:tc>
          <w:tcPr>
            <w:tcW w:type="dxa" w:w="3050"/>
            <w:shd w:fill="FFFFFF" w:val="clear"/>
            <w:tcMar>
              <w:top w:type="dxa" w:w="90"/>
              <w:left w:type="dxa" w:w="120"/>
              <w:bottom w:type="dxa" w:w="90"/>
              <w:right w:type="dxa" w:w="120"/>
            </w:tcMar>
            <w:vAlign w:val="center"/>
          </w:tcPr>
          <w:p>
            <w:pPr>
              <w:spacing w:after="0"/>
            </w:pPr>
            <w:r>
              <w:rPr>
                <w:color w:val="222222"/>
                <w:sz w:val="19"/>
                <w:szCs w:val="19"/>
              </w:rPr>
              <w:t xml:space="preserve">Compliance Agent</w:t>
            </w:r>
          </w:p>
        </w:tc>
        <w:tc>
          <w:tcPr>
            <w:tcW w:type="dxa" w:w="6300"/>
            <w:shd w:fill="FFFFFF" w:val="clear"/>
            <w:tcMar>
              <w:top w:type="dxa" w:w="90"/>
              <w:left w:type="dxa" w:w="120"/>
              <w:bottom w:type="dxa" w:w="90"/>
              <w:right w:type="dxa" w:w="120"/>
            </w:tcMar>
            <w:vAlign w:val="center"/>
          </w:tcPr>
          <w:p>
            <w:pPr>
              <w:spacing w:after="0"/>
            </w:pPr>
            <w:r>
              <w:rPr>
                <w:color w:val="222222"/>
                <w:sz w:val="19"/>
                <w:szCs w:val="19"/>
              </w:rPr>
              <w:t xml:space="preserve">Checks consent status, suppression lists, and content against opt-in/regulatory rules before any send</w:t>
            </w:r>
          </w:p>
        </w:tc>
      </w:tr>
      <w:tr>
        <w:tc>
          <w:tcPr>
            <w:tcW w:type="dxa" w:w="3050"/>
            <w:shd w:fill="F5F7F5" w:val="clear"/>
            <w:tcMar>
              <w:top w:type="dxa" w:w="90"/>
              <w:left w:type="dxa" w:w="120"/>
              <w:bottom w:type="dxa" w:w="90"/>
              <w:right w:type="dxa" w:w="120"/>
            </w:tcMar>
            <w:vAlign w:val="center"/>
          </w:tcPr>
          <w:p>
            <w:pPr>
              <w:spacing w:after="0"/>
            </w:pPr>
            <w:r>
              <w:rPr>
                <w:color w:val="222222"/>
                <w:sz w:val="19"/>
                <w:szCs w:val="19"/>
              </w:rPr>
              <w:t xml:space="preserve">Campaign Optimisation Agent</w:t>
            </w:r>
          </w:p>
        </w:tc>
        <w:tc>
          <w:tcPr>
            <w:tcW w:type="dxa" w:w="6300"/>
            <w:shd w:fill="F5F7F5" w:val="clear"/>
            <w:tcMar>
              <w:top w:type="dxa" w:w="90"/>
              <w:left w:type="dxa" w:w="120"/>
              <w:bottom w:type="dxa" w:w="90"/>
              <w:right w:type="dxa" w:w="120"/>
            </w:tcMar>
            <w:vAlign w:val="center"/>
          </w:tcPr>
          <w:p>
            <w:pPr>
              <w:spacing w:after="0"/>
            </w:pPr>
            <w:r>
              <w:rPr>
                <w:color w:val="222222"/>
                <w:sz w:val="19"/>
                <w:szCs w:val="19"/>
              </w:rPr>
              <w:t xml:space="preserve">Continuously reallocates budget/channel mix toward best-performing segments</w:t>
            </w:r>
          </w:p>
        </w:tc>
      </w:tr>
    </w:tbl>
    <w:p>
      <w:pPr>
        <w:spacing w:after="120"/>
      </w:pPr>
    </w:p>
    <w:p>
      <w:pPr>
        <w:pStyle w:val="Heading2"/>
        <w:spacing w:after="140" w:before="300"/>
      </w:pPr>
      <w:r>
        <w:rPr>
          <w:b/>
          <w:bCs/>
          <w:color w:val="13315C"/>
          <w:sz w:val="24"/>
          <w:szCs w:val="24"/>
        </w:rPr>
        <w:t xml:space="preserve">5.2 Agent Architecture &amp; Guardrails</w:t>
      </w:r>
    </w:p>
    <w:p>
      <w:pPr>
        <w:pStyle w:val="ListParagraph"/>
        <w:numPr>
          <w:ilvl w:val="0"/>
          <w:numId w:val="2"/>
        </w:numPr>
        <w:spacing w:after="90" w:line="264"/>
      </w:pPr>
      <w:r>
        <w:rPr>
          <w:color w:val="222222"/>
          <w:sz w:val="21"/>
          <w:szCs w:val="21"/>
        </w:rPr>
        <w:t xml:space="preserve">Agents operate as tools/services orchestrated behind the API gateway, invoked by the Campaign Engine or directly by tenant users through a natural-language interface.</w:t>
      </w:r>
    </w:p>
    <w:p>
      <w:pPr>
        <w:pStyle w:val="ListParagraph"/>
        <w:numPr>
          <w:ilvl w:val="0"/>
          <w:numId w:val="2"/>
        </w:numPr>
        <w:spacing w:after="90" w:line="264"/>
      </w:pPr>
      <w:r>
        <w:rPr>
          <w:color w:val="222222"/>
          <w:sz w:val="21"/>
          <w:szCs w:val="21"/>
        </w:rPr>
        <w:t xml:space="preserve">Every agent action involving mass messaging, spend, or data export remains subject to tenant policies, role-based permissions, and explicit human approval before dispatch.</w:t>
      </w:r>
    </w:p>
    <w:p>
      <w:pPr>
        <w:pStyle w:val="ListParagraph"/>
        <w:numPr>
          <w:ilvl w:val="0"/>
          <w:numId w:val="2"/>
        </w:numPr>
        <w:spacing w:after="90" w:line="264"/>
      </w:pPr>
      <w:r>
        <w:rPr>
          <w:color w:val="222222"/>
          <w:sz w:val="21"/>
          <w:szCs w:val="21"/>
        </w:rPr>
        <w:t xml:space="preserve">The Compliance Agent runs as a mandatory pre-send gate: no campaign leaves the platform without a consent and suppression-list check.</w:t>
      </w:r>
    </w:p>
    <w:p>
      <w:pPr>
        <w:pStyle w:val="ListParagraph"/>
        <w:numPr>
          <w:ilvl w:val="0"/>
          <w:numId w:val="2"/>
        </w:numPr>
        <w:spacing w:after="90" w:line="264"/>
      </w:pPr>
      <w:r>
        <w:rPr>
          <w:color w:val="222222"/>
          <w:sz w:val="21"/>
          <w:szCs w:val="21"/>
        </w:rPr>
        <w:t xml:space="preserve">Agent activity is logged to the same event bus and audit trail as human actions, for auditability in regulated tenants (banks, government, insurers).</w:t>
      </w:r>
    </w:p>
    <w:p>
      <w:pPr>
        <w:pStyle w:val="Heading2"/>
        <w:spacing w:after="140" w:before="300"/>
      </w:pPr>
      <w:r>
        <w:rPr>
          <w:b/>
          <w:bCs/>
          <w:color w:val="13315C"/>
          <w:sz w:val="24"/>
          <w:szCs w:val="24"/>
        </w:rPr>
        <w:t xml:space="preserve">5.3 Natural-Language Campaign Interface</w:t>
      </w:r>
    </w:p>
    <w:p>
      <w:pPr>
        <w:spacing w:after="160" w:line="276"/>
      </w:pPr>
      <w:r>
        <w:rPr>
          <w:color w:val="222222"/>
          <w:sz w:val="21"/>
          <w:szCs w:val="21"/>
        </w:rPr>
        <w:t xml:space="preserve">A tenant can instruct the platform directly, for example: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5E0CC" w:sz="2"/>
              <w:left w:val="single" w:color="C9A227" w:sz="24"/>
              <w:bottom w:val="single" w:color="E5E0CC" w:sz="2"/>
              <w:right w:val="single" w:color="E5E0CC" w:sz="2"/>
            </w:tcBorders>
            <w:shd w:fill="FBF8EE" w:val="clear"/>
            <w:tcMar>
              <w:top w:type="dxa" w:w="160"/>
              <w:left w:type="dxa" w:w="220"/>
              <w:bottom w:type="dxa" w:w="160"/>
              <w:right w:type="dxa" w:w="220"/>
            </w:tcMar>
          </w:tcPr>
          <w:p>
            <w:pPr>
              <w:spacing w:after="60"/>
            </w:pPr>
            <w:r>
              <w:rPr>
                <w:b/>
                <w:bCs/>
                <w:color w:val="0B2545"/>
                <w:sz w:val="21"/>
                <w:szCs w:val="21"/>
              </w:rPr>
              <w:t xml:space="preserve">Example prompt</w:t>
            </w:r>
          </w:p>
          <w:p>
            <w:pPr>
              <w:spacing w:after="0"/>
            </w:pPr>
            <w:r>
              <w:rPr>
                <w:color w:val="333333"/>
                <w:sz w:val="20"/>
                <w:szCs w:val="20"/>
              </w:rPr>
              <w:t xml:space="preserve">“Launch a cybersecurity-awareness campaign targeted at Kenyan banks and SACCOs, promoting our QRadar bootcamp. Use LinkedIn, email and SMS. Budget KES 200,000. Target 40 qualified leads. Do not contact anyone without valid marketing consent.”</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3F7" w:val="clear"/>
            <w:tcMar>
              <w:top w:type="dxa" w:w="180"/>
              <w:left w:type="dxa" w:w="200"/>
              <w:bottom w:type="dxa" w:w="180"/>
              <w:right w:type="dxa" w:w="200"/>
            </w:tcMar>
          </w:tcPr>
          <w:p>
            <w:pPr>
              <w:spacing w:after="0"/>
            </w:pPr>
            <w:r>
              <w:rPr>
                <w:rFonts w:ascii="Consolas" w:cs="Consolas" w:eastAsia="Consolas" w:hAnsi="Consolas"/>
                <w:color w:val="1B2A3A"/>
                <w:sz w:val="17"/>
                <w:szCs w:val="17"/>
              </w:rPr>
              <w:t xml:space="preserve">  Natural-language brief</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Campaign Strategy Agent -&gt; Audience query -&gt; Consent check</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Segment preview -&gt; Email/SMS/WhatsApp templates -&gt; Approval</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Scheduled send -&gt; Event trigger -&gt; Follow-up sequence</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AI lead scoring -&gt; CRM opportunity -&gt; Sales Agent follow-up</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Analytics Agent -&gt; Spend / Leads / Revenue / ROI report</w:t>
            </w:r>
          </w:p>
        </w:tc>
      </w:tr>
    </w:tbl>
    <w:p>
      <w:pPr>
        <w:spacing w:after="220" w:before="60"/>
      </w:pPr>
      <w:r>
        <w:rPr>
          <w:i/>
          <w:iCs/>
          <w:color w:val="5B6472"/>
          <w:sz w:val="18"/>
          <w:szCs w:val="18"/>
        </w:rPr>
        <w:t xml:space="preserve">Figure 3. Natural-language campaign brief flowing through the agent pipeline to a measurable ROI report.</w:t>
      </w:r>
    </w:p>
    <w:p>
      <w:pPr>
        <w:pStyle w:val="Heading2"/>
        <w:spacing w:after="140" w:before="300"/>
      </w:pPr>
      <w:r>
        <w:rPr>
          <w:b/>
          <w:bCs/>
          <w:color w:val="13315C"/>
          <w:sz w:val="24"/>
          <w:szCs w:val="24"/>
        </w:rPr>
        <w:t xml:space="preserve">5.4 Lead Scoring Example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00"/>
        <w:gridCol w:w="3450"/>
      </w:tblGrid>
      <w:tr>
        <w:trPr>
          <w:tblHeader/>
        </w:trPr>
        <w:tc>
          <w:tcPr>
            <w:tcW w:type="dxa" w:w="5900"/>
            <w:shd w:fill="0B2545" w:val="clear"/>
            <w:tcMar>
              <w:top w:type="dxa" w:w="100"/>
              <w:left w:type="dxa" w:w="120"/>
              <w:bottom w:type="dxa" w:w="100"/>
              <w:right w:type="dxa" w:w="120"/>
            </w:tcMar>
            <w:vAlign w:val="center"/>
          </w:tcPr>
          <w:p>
            <w:pPr>
              <w:spacing w:after="0"/>
            </w:pPr>
            <w:r>
              <w:rPr>
                <w:b/>
                <w:bCs/>
                <w:color w:val="FFFFFF"/>
                <w:sz w:val="19"/>
                <w:szCs w:val="19"/>
              </w:rPr>
              <w:t xml:space="preserve">Signal</w:t>
            </w:r>
          </w:p>
        </w:tc>
        <w:tc>
          <w:tcPr>
            <w:tcW w:type="dxa" w:w="3450"/>
            <w:shd w:fill="0B2545" w:val="clear"/>
            <w:tcMar>
              <w:top w:type="dxa" w:w="100"/>
              <w:left w:type="dxa" w:w="120"/>
              <w:bottom w:type="dxa" w:w="100"/>
              <w:right w:type="dxa" w:w="120"/>
            </w:tcMar>
            <w:vAlign w:val="center"/>
          </w:tcPr>
          <w:p>
            <w:pPr>
              <w:spacing w:after="0"/>
            </w:pPr>
            <w:r>
              <w:rPr>
                <w:b/>
                <w:bCs/>
                <w:color w:val="FFFFFF"/>
                <w:sz w:val="19"/>
                <w:szCs w:val="19"/>
              </w:rPr>
              <w:t xml:space="preserve">Score</w:t>
            </w:r>
          </w:p>
        </w:tc>
      </w:tr>
      <w:tr>
        <w:tc>
          <w:tcPr>
            <w:tcW w:type="dxa" w:w="5900"/>
            <w:shd w:fill="FFFFFF" w:val="clear"/>
            <w:tcMar>
              <w:top w:type="dxa" w:w="90"/>
              <w:left w:type="dxa" w:w="120"/>
              <w:bottom w:type="dxa" w:w="90"/>
              <w:right w:type="dxa" w:w="120"/>
            </w:tcMar>
            <w:vAlign w:val="center"/>
          </w:tcPr>
          <w:p>
            <w:pPr>
              <w:spacing w:after="0"/>
            </w:pPr>
            <w:r>
              <w:rPr>
                <w:color w:val="222222"/>
                <w:sz w:val="19"/>
                <w:szCs w:val="19"/>
              </w:rPr>
              <w:t xml:space="preserve">Visits course/product page</w:t>
            </w:r>
          </w:p>
        </w:tc>
        <w:tc>
          <w:tcPr>
            <w:tcW w:type="dxa" w:w="3450"/>
            <w:shd w:fill="FFFFFF" w:val="clear"/>
            <w:tcMar>
              <w:top w:type="dxa" w:w="90"/>
              <w:left w:type="dxa" w:w="120"/>
              <w:bottom w:type="dxa" w:w="90"/>
              <w:right w:type="dxa" w:w="120"/>
            </w:tcMar>
            <w:vAlign w:val="center"/>
          </w:tcPr>
          <w:p>
            <w:pPr>
              <w:spacing w:after="0"/>
            </w:pPr>
            <w:r>
              <w:rPr>
                <w:color w:val="222222"/>
                <w:sz w:val="19"/>
                <w:szCs w:val="19"/>
              </w:rPr>
              <w:t xml:space="preserve">+5</w:t>
            </w:r>
          </w:p>
        </w:tc>
      </w:tr>
      <w:tr>
        <w:tc>
          <w:tcPr>
            <w:tcW w:type="dxa" w:w="5900"/>
            <w:shd w:fill="F5F7F5" w:val="clear"/>
            <w:tcMar>
              <w:top w:type="dxa" w:w="90"/>
              <w:left w:type="dxa" w:w="120"/>
              <w:bottom w:type="dxa" w:w="90"/>
              <w:right w:type="dxa" w:w="120"/>
            </w:tcMar>
            <w:vAlign w:val="center"/>
          </w:tcPr>
          <w:p>
            <w:pPr>
              <w:spacing w:after="0"/>
            </w:pPr>
            <w:r>
              <w:rPr>
                <w:color w:val="222222"/>
                <w:sz w:val="19"/>
                <w:szCs w:val="19"/>
              </w:rPr>
              <w:t xml:space="preserve">Downloads brochure</w:t>
            </w:r>
          </w:p>
        </w:tc>
        <w:tc>
          <w:tcPr>
            <w:tcW w:type="dxa" w:w="3450"/>
            <w:shd w:fill="F5F7F5" w:val="clear"/>
            <w:tcMar>
              <w:top w:type="dxa" w:w="90"/>
              <w:left w:type="dxa" w:w="120"/>
              <w:bottom w:type="dxa" w:w="90"/>
              <w:right w:type="dxa" w:w="120"/>
            </w:tcMar>
            <w:vAlign w:val="center"/>
          </w:tcPr>
          <w:p>
            <w:pPr>
              <w:spacing w:after="0"/>
            </w:pPr>
            <w:r>
              <w:rPr>
                <w:color w:val="222222"/>
                <w:sz w:val="19"/>
                <w:szCs w:val="19"/>
              </w:rPr>
              <w:t xml:space="preserve">+10</w:t>
            </w:r>
          </w:p>
        </w:tc>
      </w:tr>
      <w:tr>
        <w:tc>
          <w:tcPr>
            <w:tcW w:type="dxa" w:w="5900"/>
            <w:shd w:fill="FFFFFF" w:val="clear"/>
            <w:tcMar>
              <w:top w:type="dxa" w:w="90"/>
              <w:left w:type="dxa" w:w="120"/>
              <w:bottom w:type="dxa" w:w="90"/>
              <w:right w:type="dxa" w:w="120"/>
            </w:tcMar>
            <w:vAlign w:val="center"/>
          </w:tcPr>
          <w:p>
            <w:pPr>
              <w:spacing w:after="0"/>
            </w:pPr>
            <w:r>
              <w:rPr>
                <w:color w:val="222222"/>
                <w:sz w:val="19"/>
                <w:szCs w:val="19"/>
              </w:rPr>
              <w:t xml:space="preserve">Opens email</w:t>
            </w:r>
          </w:p>
        </w:tc>
        <w:tc>
          <w:tcPr>
            <w:tcW w:type="dxa" w:w="3450"/>
            <w:shd w:fill="FFFFFF" w:val="clear"/>
            <w:tcMar>
              <w:top w:type="dxa" w:w="90"/>
              <w:left w:type="dxa" w:w="120"/>
              <w:bottom w:type="dxa" w:w="90"/>
              <w:right w:type="dxa" w:w="120"/>
            </w:tcMar>
            <w:vAlign w:val="center"/>
          </w:tcPr>
          <w:p>
            <w:pPr>
              <w:spacing w:after="0"/>
            </w:pPr>
            <w:r>
              <w:rPr>
                <w:color w:val="222222"/>
                <w:sz w:val="19"/>
                <w:szCs w:val="19"/>
              </w:rPr>
              <w:t xml:space="preserve">+3</w:t>
            </w:r>
          </w:p>
        </w:tc>
      </w:tr>
      <w:tr>
        <w:tc>
          <w:tcPr>
            <w:tcW w:type="dxa" w:w="5900"/>
            <w:shd w:fill="F5F7F5" w:val="clear"/>
            <w:tcMar>
              <w:top w:type="dxa" w:w="90"/>
              <w:left w:type="dxa" w:w="120"/>
              <w:bottom w:type="dxa" w:w="90"/>
              <w:right w:type="dxa" w:w="120"/>
            </w:tcMar>
            <w:vAlign w:val="center"/>
          </w:tcPr>
          <w:p>
            <w:pPr>
              <w:spacing w:after="0"/>
            </w:pPr>
            <w:r>
              <w:rPr>
                <w:color w:val="222222"/>
                <w:sz w:val="19"/>
                <w:szCs w:val="19"/>
              </w:rPr>
              <w:t xml:space="preserve">Clicks pricing</w:t>
            </w:r>
          </w:p>
        </w:tc>
        <w:tc>
          <w:tcPr>
            <w:tcW w:type="dxa" w:w="3450"/>
            <w:shd w:fill="F5F7F5" w:val="clear"/>
            <w:tcMar>
              <w:top w:type="dxa" w:w="90"/>
              <w:left w:type="dxa" w:w="120"/>
              <w:bottom w:type="dxa" w:w="90"/>
              <w:right w:type="dxa" w:w="120"/>
            </w:tcMar>
            <w:vAlign w:val="center"/>
          </w:tcPr>
          <w:p>
            <w:pPr>
              <w:spacing w:after="0"/>
            </w:pPr>
            <w:r>
              <w:rPr>
                <w:color w:val="222222"/>
                <w:sz w:val="19"/>
                <w:szCs w:val="19"/>
              </w:rPr>
              <w:t xml:space="preserve">+15</w:t>
            </w:r>
          </w:p>
        </w:tc>
      </w:tr>
      <w:tr>
        <w:tc>
          <w:tcPr>
            <w:tcW w:type="dxa" w:w="5900"/>
            <w:shd w:fill="FFFFFF" w:val="clear"/>
            <w:tcMar>
              <w:top w:type="dxa" w:w="90"/>
              <w:left w:type="dxa" w:w="120"/>
              <w:bottom w:type="dxa" w:w="90"/>
              <w:right w:type="dxa" w:w="120"/>
            </w:tcMar>
            <w:vAlign w:val="center"/>
          </w:tcPr>
          <w:p>
            <w:pPr>
              <w:spacing w:after="0"/>
            </w:pPr>
            <w:r>
              <w:rPr>
                <w:color w:val="222222"/>
                <w:sz w:val="19"/>
                <w:szCs w:val="19"/>
              </w:rPr>
              <w:t xml:space="preserve">Attends webinar</w:t>
            </w:r>
          </w:p>
        </w:tc>
        <w:tc>
          <w:tcPr>
            <w:tcW w:type="dxa" w:w="3450"/>
            <w:shd w:fill="FFFFFF" w:val="clear"/>
            <w:tcMar>
              <w:top w:type="dxa" w:w="90"/>
              <w:left w:type="dxa" w:w="120"/>
              <w:bottom w:type="dxa" w:w="90"/>
              <w:right w:type="dxa" w:w="120"/>
            </w:tcMar>
            <w:vAlign w:val="center"/>
          </w:tcPr>
          <w:p>
            <w:pPr>
              <w:spacing w:after="0"/>
            </w:pPr>
            <w:r>
              <w:rPr>
                <w:color w:val="222222"/>
                <w:sz w:val="19"/>
                <w:szCs w:val="19"/>
              </w:rPr>
              <w:t xml:space="preserve">+30</w:t>
            </w:r>
          </w:p>
        </w:tc>
      </w:tr>
      <w:tr>
        <w:tc>
          <w:tcPr>
            <w:tcW w:type="dxa" w:w="5900"/>
            <w:shd w:fill="F5F7F5" w:val="clear"/>
            <w:tcMar>
              <w:top w:type="dxa" w:w="90"/>
              <w:left w:type="dxa" w:w="120"/>
              <w:bottom w:type="dxa" w:w="90"/>
              <w:right w:type="dxa" w:w="120"/>
            </w:tcMar>
            <w:vAlign w:val="center"/>
          </w:tcPr>
          <w:p>
            <w:pPr>
              <w:spacing w:after="0"/>
            </w:pPr>
            <w:r>
              <w:rPr>
                <w:color w:val="222222"/>
                <w:sz w:val="19"/>
                <w:szCs w:val="19"/>
              </w:rPr>
              <w:t xml:space="preserve">Replies on WhatsApp</w:t>
            </w:r>
          </w:p>
        </w:tc>
        <w:tc>
          <w:tcPr>
            <w:tcW w:type="dxa" w:w="3450"/>
            <w:shd w:fill="F5F7F5" w:val="clear"/>
            <w:tcMar>
              <w:top w:type="dxa" w:w="90"/>
              <w:left w:type="dxa" w:w="120"/>
              <w:bottom w:type="dxa" w:w="90"/>
              <w:right w:type="dxa" w:w="120"/>
            </w:tcMar>
            <w:vAlign w:val="center"/>
          </w:tcPr>
          <w:p>
            <w:pPr>
              <w:spacing w:after="0"/>
            </w:pPr>
            <w:r>
              <w:rPr>
                <w:color w:val="222222"/>
                <w:sz w:val="19"/>
                <w:szCs w:val="19"/>
              </w:rPr>
              <w:t xml:space="preserve">+25</w:t>
            </w:r>
          </w:p>
        </w:tc>
      </w:tr>
      <w:tr>
        <w:tc>
          <w:tcPr>
            <w:tcW w:type="dxa" w:w="5900"/>
            <w:shd w:fill="FFFFFF" w:val="clear"/>
            <w:tcMar>
              <w:top w:type="dxa" w:w="90"/>
              <w:left w:type="dxa" w:w="120"/>
              <w:bottom w:type="dxa" w:w="90"/>
              <w:right w:type="dxa" w:w="120"/>
            </w:tcMar>
            <w:vAlign w:val="center"/>
          </w:tcPr>
          <w:p>
            <w:pPr>
              <w:spacing w:after="0"/>
            </w:pPr>
            <w:r>
              <w:rPr>
                <w:color w:val="222222"/>
                <w:sz w:val="19"/>
                <w:szCs w:val="19"/>
              </w:rPr>
              <w:t xml:space="preserve">Opens enrollment / checkout page</w:t>
            </w:r>
          </w:p>
        </w:tc>
        <w:tc>
          <w:tcPr>
            <w:tcW w:type="dxa" w:w="3450"/>
            <w:shd w:fill="FFFFFF" w:val="clear"/>
            <w:tcMar>
              <w:top w:type="dxa" w:w="90"/>
              <w:left w:type="dxa" w:w="120"/>
              <w:bottom w:type="dxa" w:w="90"/>
              <w:right w:type="dxa" w:w="120"/>
            </w:tcMar>
            <w:vAlign w:val="center"/>
          </w:tcPr>
          <w:p>
            <w:pPr>
              <w:spacing w:after="0"/>
            </w:pPr>
            <w:r>
              <w:rPr>
                <w:color w:val="222222"/>
                <w:sz w:val="19"/>
                <w:szCs w:val="19"/>
              </w:rPr>
              <w:t xml:space="preserve">+20</w:t>
            </w:r>
          </w:p>
        </w:tc>
      </w:tr>
    </w:tbl>
    <w:p>
      <w:pPr>
        <w:spacing w:after="80"/>
      </w:pPr>
    </w:p>
    <w:p>
      <w:pPr>
        <w:spacing w:after="160" w:line="276"/>
      </w:pPr>
      <w:r>
        <w:rPr>
          <w:color w:val="222222"/>
          <w:sz w:val="21"/>
          <w:szCs w:val="21"/>
        </w:rPr>
        <w:t xml:space="preserve">A resulting score of 100+ is surfaced by the Lead Qualification Agent as “Hot — high estimated conversion,” and the CRM automatically creates a follow-up task for a human sales adviser — AI augments the sales team rather than replacing the relationship.</w:t>
      </w:r>
    </w:p>
    <w:p>
      <w:r>
        <w:br w:type="page"/>
      </w:r>
    </w:p>
    <w:p>
      <w:pPr>
        <w:pStyle w:val="Heading1"/>
        <w:pBdr>
          <w:bottom w:val="single" w:color="0E7C7B" w:sz="8" w:space="4"/>
        </w:pBdr>
        <w:spacing w:after="200" w:before="420"/>
      </w:pPr>
      <w:r>
        <w:rPr>
          <w:b/>
          <w:bCs/>
          <w:color w:val="0B2545"/>
          <w:sz w:val="30"/>
          <w:szCs w:val="30"/>
        </w:rPr>
        <w:t xml:space="preserve">6. Messaging &amp; Delivery Layer</w:t>
      </w:r>
    </w:p>
    <w:p>
      <w:pPr>
        <w:pStyle w:val="Heading2"/>
        <w:spacing w:after="140" w:before="300"/>
      </w:pPr>
      <w:r>
        <w:rPr>
          <w:b/>
          <w:bCs/>
          <w:color w:val="13315C"/>
          <w:sz w:val="24"/>
          <w:szCs w:val="24"/>
        </w:rPr>
        <w:t xml:space="preserve">6.1 SMS Delivery Architecture</w:t>
      </w:r>
    </w:p>
    <w:p>
      <w:pPr>
        <w:spacing w:after="160" w:line="276"/>
      </w:pPr>
      <w:r>
        <w:rPr>
          <w:color w:val="222222"/>
          <w:sz w:val="21"/>
          <w:szCs w:val="21"/>
        </w:rPr>
        <w:t xml:space="preserve">For serious SMS volumes, the platform uses SMPP 3.4 rather than REST-only integration. i3 builds its own carrier-abstraction layer so customer applications never integrate against Safaricom or Airtel directly — they call i3's own API, and i3's router decides the best route.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3F7" w:val="clear"/>
            <w:tcMar>
              <w:top w:type="dxa" w:w="180"/>
              <w:left w:type="dxa" w:w="200"/>
              <w:bottom w:type="dxa" w:w="180"/>
              <w:right w:type="dxa" w:w="200"/>
            </w:tcMar>
          </w:tcPr>
          <w:p>
            <w:pPr>
              <w:spacing w:after="0"/>
            </w:pPr>
            <w:r>
              <w:rPr>
                <w:rFonts w:ascii="Consolas" w:cs="Consolas" w:eastAsia="Consolas" w:hAnsi="Consolas"/>
                <w:color w:val="1B2A3A"/>
                <w:sz w:val="17"/>
                <w:szCs w:val="17"/>
              </w:rPr>
              <w:t xml:space="preserve">  Customer / API</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i3 Messaging API</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Kafka / Event Streams</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SMS Dispatcher -&gt; Routing / Billing Engine</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Jasmin SMS Gateway</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SMPP     SMPP</w:t>
            </w:r>
          </w:p>
          <w:p>
            <w:pPr>
              <w:spacing w:after="0"/>
            </w:pPr>
            <w:r>
              <w:rPr>
                <w:rFonts w:ascii="Consolas" w:cs="Consolas" w:eastAsia="Consolas" w:hAnsi="Consolas"/>
                <w:color w:val="1B2A3A"/>
                <w:sz w:val="17"/>
                <w:szCs w:val="17"/>
              </w:rPr>
              <w:t xml:space="preserve">     |         |</w:t>
            </w:r>
          </w:p>
          <w:p>
            <w:pPr>
              <w:spacing w:after="0"/>
            </w:pPr>
            <w:r>
              <w:rPr>
                <w:rFonts w:ascii="Consolas" w:cs="Consolas" w:eastAsia="Consolas" w:hAnsi="Consolas"/>
                <w:color w:val="1B2A3A"/>
                <w:sz w:val="17"/>
                <w:szCs w:val="17"/>
              </w:rPr>
              <w:t xml:space="preserve"> Safaricom   Airtel</w:t>
            </w:r>
          </w:p>
        </w:tc>
      </w:tr>
    </w:tbl>
    <w:p>
      <w:pPr>
        <w:spacing w:after="220" w:before="60"/>
      </w:pPr>
      <w:r>
        <w:rPr>
          <w:i/>
          <w:iCs/>
          <w:color w:val="5B6472"/>
          <w:sz w:val="18"/>
          <w:szCs w:val="18"/>
        </w:rPr>
        <w:t xml:space="preserve">Figure 4. SMS routing exchange — i3's own abstraction over multiple carrier/aggregator routes.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4300"/>
        <w:gridCol w:w="2150"/>
      </w:tblGrid>
      <w:tr>
        <w:trPr>
          <w:tblHeader/>
        </w:trPr>
        <w:tc>
          <w:tcPr>
            <w:tcW w:type="dxa" w:w="2900"/>
            <w:shd w:fill="0B2545" w:val="clear"/>
            <w:tcMar>
              <w:top w:type="dxa" w:w="100"/>
              <w:left w:type="dxa" w:w="120"/>
              <w:bottom w:type="dxa" w:w="100"/>
              <w:right w:type="dxa" w:w="120"/>
            </w:tcMar>
            <w:vAlign w:val="center"/>
          </w:tcPr>
          <w:p>
            <w:pPr>
              <w:spacing w:after="0"/>
            </w:pPr>
            <w:r>
              <w:rPr>
                <w:b/>
                <w:bCs/>
                <w:color w:val="FFFFFF"/>
                <w:sz w:val="19"/>
                <w:szCs w:val="19"/>
              </w:rPr>
              <w:t xml:space="preserve">Maturity stage</w:t>
            </w:r>
          </w:p>
        </w:tc>
        <w:tc>
          <w:tcPr>
            <w:tcW w:type="dxa" w:w="4300"/>
            <w:shd w:fill="0B2545" w:val="clear"/>
            <w:tcMar>
              <w:top w:type="dxa" w:w="100"/>
              <w:left w:type="dxa" w:w="120"/>
              <w:bottom w:type="dxa" w:w="100"/>
              <w:right w:type="dxa" w:w="120"/>
            </w:tcMar>
            <w:vAlign w:val="center"/>
          </w:tcPr>
          <w:p>
            <w:pPr>
              <w:spacing w:after="0"/>
            </w:pPr>
            <w:r>
              <w:rPr>
                <w:b/>
                <w:bCs/>
                <w:color w:val="FFFFFF"/>
                <w:sz w:val="19"/>
                <w:szCs w:val="19"/>
              </w:rPr>
              <w:t xml:space="preserve">Description</w:t>
            </w:r>
          </w:p>
        </w:tc>
        <w:tc>
          <w:tcPr>
            <w:tcW w:type="dxa" w:w="2150"/>
            <w:shd w:fill="0B2545" w:val="clear"/>
            <w:tcMar>
              <w:top w:type="dxa" w:w="100"/>
              <w:left w:type="dxa" w:w="120"/>
              <w:bottom w:type="dxa" w:w="100"/>
              <w:right w:type="dxa" w:w="120"/>
            </w:tcMar>
            <w:vAlign w:val="center"/>
          </w:tcPr>
          <w:p>
            <w:pPr>
              <w:spacing w:after="0"/>
            </w:pPr>
            <w:r>
              <w:rPr>
                <w:b/>
                <w:bCs/>
                <w:color w:val="FFFFFF"/>
                <w:sz w:val="19"/>
                <w:szCs w:val="19"/>
              </w:rPr>
              <w:t xml:space="preserve">Timing</w:t>
            </w:r>
          </w:p>
        </w:tc>
      </w:tr>
      <w:tr>
        <w:tc>
          <w:tcPr>
            <w:tcW w:type="dxa" w:w="2900"/>
            <w:shd w:fill="FFFFFF" w:val="clear"/>
            <w:tcMar>
              <w:top w:type="dxa" w:w="90"/>
              <w:left w:type="dxa" w:w="120"/>
              <w:bottom w:type="dxa" w:w="90"/>
              <w:right w:type="dxa" w:w="120"/>
            </w:tcMar>
            <w:vAlign w:val="center"/>
          </w:tcPr>
          <w:p>
            <w:pPr>
              <w:spacing w:after="0"/>
            </w:pPr>
            <w:r>
              <w:rPr>
                <w:color w:val="222222"/>
                <w:sz w:val="19"/>
                <w:szCs w:val="19"/>
              </w:rPr>
              <w:t xml:space="preserve">Stage 1 — Reseller</w:t>
            </w:r>
          </w:p>
        </w:tc>
        <w:tc>
          <w:tcPr>
            <w:tcW w:type="dxa" w:w="4300"/>
            <w:shd w:fill="FFFFFF" w:val="clear"/>
            <w:tcMar>
              <w:top w:type="dxa" w:w="90"/>
              <w:left w:type="dxa" w:w="120"/>
              <w:bottom w:type="dxa" w:w="90"/>
              <w:right w:type="dxa" w:w="120"/>
            </w:tcMar>
            <w:vAlign w:val="center"/>
          </w:tcPr>
          <w:p>
            <w:pPr>
              <w:spacing w:after="0"/>
            </w:pPr>
            <w:r>
              <w:rPr>
                <w:color w:val="222222"/>
                <w:sz w:val="19"/>
                <w:szCs w:val="19"/>
              </w:rPr>
              <w:t xml:space="preserve">Aggregator REST/SMPP (Africa's Talking, Twilio, Infobip)</w:t>
            </w:r>
          </w:p>
        </w:tc>
        <w:tc>
          <w:tcPr>
            <w:tcW w:type="dxa" w:w="2150"/>
            <w:shd w:fill="FFFFFF" w:val="clear"/>
            <w:tcMar>
              <w:top w:type="dxa" w:w="90"/>
              <w:left w:type="dxa" w:w="120"/>
              <w:bottom w:type="dxa" w:w="90"/>
              <w:right w:type="dxa" w:w="120"/>
            </w:tcMar>
            <w:vAlign w:val="center"/>
          </w:tcPr>
          <w:p>
            <w:pPr>
              <w:spacing w:after="0"/>
            </w:pPr>
            <w:r>
              <w:rPr>
                <w:color w:val="222222"/>
                <w:sz w:val="19"/>
                <w:szCs w:val="19"/>
              </w:rPr>
              <w:t xml:space="preserve">Immediate — Phase 1</w:t>
            </w:r>
          </w:p>
        </w:tc>
      </w:tr>
      <w:tr>
        <w:tc>
          <w:tcPr>
            <w:tcW w:type="dxa" w:w="2900"/>
            <w:shd w:fill="F5F7F5" w:val="clear"/>
            <w:tcMar>
              <w:top w:type="dxa" w:w="90"/>
              <w:left w:type="dxa" w:w="120"/>
              <w:bottom w:type="dxa" w:w="90"/>
              <w:right w:type="dxa" w:w="120"/>
            </w:tcMar>
            <w:vAlign w:val="center"/>
          </w:tcPr>
          <w:p>
            <w:pPr>
              <w:spacing w:after="0"/>
            </w:pPr>
            <w:r>
              <w:rPr>
                <w:color w:val="222222"/>
                <w:sz w:val="19"/>
                <w:szCs w:val="19"/>
              </w:rPr>
              <w:t xml:space="preserve">Stage 2 — Own gateway, aggregator routes</w:t>
            </w:r>
          </w:p>
        </w:tc>
        <w:tc>
          <w:tcPr>
            <w:tcW w:type="dxa" w:w="4300"/>
            <w:shd w:fill="F5F7F5" w:val="clear"/>
            <w:tcMar>
              <w:top w:type="dxa" w:w="90"/>
              <w:left w:type="dxa" w:w="120"/>
              <w:bottom w:type="dxa" w:w="90"/>
              <w:right w:type="dxa" w:w="120"/>
            </w:tcMar>
            <w:vAlign w:val="center"/>
          </w:tcPr>
          <w:p>
            <w:pPr>
              <w:spacing w:after="0"/>
            </w:pPr>
            <w:r>
              <w:rPr>
                <w:color w:val="222222"/>
                <w:sz w:val="19"/>
                <w:szCs w:val="19"/>
              </w:rPr>
              <w:t xml:space="preserve">Jasmin deployed in-house, still routing via aggregator upstream</w:t>
            </w:r>
          </w:p>
        </w:tc>
        <w:tc>
          <w:tcPr>
            <w:tcW w:type="dxa" w:w="2150"/>
            <w:shd w:fill="F5F7F5" w:val="clear"/>
            <w:tcMar>
              <w:top w:type="dxa" w:w="90"/>
              <w:left w:type="dxa" w:w="120"/>
              <w:bottom w:type="dxa" w:w="90"/>
              <w:right w:type="dxa" w:w="120"/>
            </w:tcMar>
            <w:vAlign w:val="center"/>
          </w:tcPr>
          <w:p>
            <w:pPr>
              <w:spacing w:after="0"/>
            </w:pPr>
            <w:r>
              <w:rPr>
                <w:color w:val="222222"/>
                <w:sz w:val="19"/>
                <w:szCs w:val="19"/>
              </w:rPr>
              <w:t xml:space="preserve">Phase 1–2</w:t>
            </w:r>
          </w:p>
        </w:tc>
      </w:tr>
      <w:tr>
        <w:tc>
          <w:tcPr>
            <w:tcW w:type="dxa" w:w="2900"/>
            <w:shd w:fill="FFFFFF" w:val="clear"/>
            <w:tcMar>
              <w:top w:type="dxa" w:w="90"/>
              <w:left w:type="dxa" w:w="120"/>
              <w:bottom w:type="dxa" w:w="90"/>
              <w:right w:type="dxa" w:w="120"/>
            </w:tcMar>
            <w:vAlign w:val="center"/>
          </w:tcPr>
          <w:p>
            <w:pPr>
              <w:spacing w:after="0"/>
            </w:pPr>
            <w:r>
              <w:rPr>
                <w:color w:val="222222"/>
                <w:sz w:val="19"/>
                <w:szCs w:val="19"/>
              </w:rPr>
              <w:t xml:space="preserve">Stage 3 — Hybrid direct + aggregator</w:t>
            </w:r>
          </w:p>
        </w:tc>
        <w:tc>
          <w:tcPr>
            <w:tcW w:type="dxa" w:w="4300"/>
            <w:shd w:fill="FFFFFF" w:val="clear"/>
            <w:tcMar>
              <w:top w:type="dxa" w:w="90"/>
              <w:left w:type="dxa" w:w="120"/>
              <w:bottom w:type="dxa" w:w="90"/>
              <w:right w:type="dxa" w:w="120"/>
            </w:tcMar>
            <w:vAlign w:val="center"/>
          </w:tcPr>
          <w:p>
            <w:pPr>
              <w:spacing w:after="0"/>
            </w:pPr>
            <w:r>
              <w:rPr>
                <w:color w:val="222222"/>
                <w:sz w:val="19"/>
                <w:szCs w:val="19"/>
              </w:rPr>
              <w:t xml:space="preserve">Direct Safaricom/Airtel SMPP for high-volume tenants, aggregator as failover</w:t>
            </w:r>
          </w:p>
        </w:tc>
        <w:tc>
          <w:tcPr>
            <w:tcW w:type="dxa" w:w="2150"/>
            <w:shd w:fill="FFFFFF" w:val="clear"/>
            <w:tcMar>
              <w:top w:type="dxa" w:w="90"/>
              <w:left w:type="dxa" w:w="120"/>
              <w:bottom w:type="dxa" w:w="90"/>
              <w:right w:type="dxa" w:w="120"/>
            </w:tcMar>
            <w:vAlign w:val="center"/>
          </w:tcPr>
          <w:p>
            <w:pPr>
              <w:spacing w:after="0"/>
            </w:pPr>
            <w:r>
              <w:rPr>
                <w:color w:val="222222"/>
                <w:sz w:val="19"/>
                <w:szCs w:val="19"/>
              </w:rPr>
              <w:t xml:space="preserve">Phase 2–3</w:t>
            </w:r>
          </w:p>
        </w:tc>
      </w:tr>
      <w:tr>
        <w:tc>
          <w:tcPr>
            <w:tcW w:type="dxa" w:w="2900"/>
            <w:shd w:fill="F5F7F5" w:val="clear"/>
            <w:tcMar>
              <w:top w:type="dxa" w:w="90"/>
              <w:left w:type="dxa" w:w="120"/>
              <w:bottom w:type="dxa" w:w="90"/>
              <w:right w:type="dxa" w:w="120"/>
            </w:tcMar>
            <w:vAlign w:val="center"/>
          </w:tcPr>
          <w:p>
            <w:pPr>
              <w:spacing w:after="0"/>
            </w:pPr>
            <w:r>
              <w:rPr>
                <w:color w:val="222222"/>
                <w:sz w:val="19"/>
                <w:szCs w:val="19"/>
              </w:rPr>
              <w:t xml:space="preserve">Stage 4 — Full direct interconnect</w:t>
            </w:r>
          </w:p>
        </w:tc>
        <w:tc>
          <w:tcPr>
            <w:tcW w:type="dxa" w:w="4300"/>
            <w:shd w:fill="F5F7F5" w:val="clear"/>
            <w:tcMar>
              <w:top w:type="dxa" w:w="90"/>
              <w:left w:type="dxa" w:w="120"/>
              <w:bottom w:type="dxa" w:w="90"/>
              <w:right w:type="dxa" w:w="120"/>
            </w:tcMar>
            <w:vAlign w:val="center"/>
          </w:tcPr>
          <w:p>
            <w:pPr>
              <w:spacing w:after="0"/>
            </w:pPr>
            <w:r>
              <w:rPr>
                <w:color w:val="222222"/>
                <w:sz w:val="19"/>
                <w:szCs w:val="19"/>
              </w:rPr>
              <w:t xml:space="preserve">Direct MNO relationships, CA CSP/ASP licensing complete</w:t>
            </w:r>
          </w:p>
        </w:tc>
        <w:tc>
          <w:tcPr>
            <w:tcW w:type="dxa" w:w="2150"/>
            <w:shd w:fill="F5F7F5" w:val="clear"/>
            <w:tcMar>
              <w:top w:type="dxa" w:w="90"/>
              <w:left w:type="dxa" w:w="120"/>
              <w:bottom w:type="dxa" w:w="90"/>
              <w:right w:type="dxa" w:w="120"/>
            </w:tcMar>
            <w:vAlign w:val="center"/>
          </w:tcPr>
          <w:p>
            <w:pPr>
              <w:spacing w:after="0"/>
            </w:pPr>
            <w:r>
              <w:rPr>
                <w:color w:val="222222"/>
                <w:sz w:val="19"/>
                <w:szCs w:val="19"/>
              </w:rPr>
              <w:t xml:space="preserve">Phase 3–4</w:t>
            </w:r>
          </w:p>
        </w:tc>
      </w:tr>
    </w:tbl>
    <w:p>
      <w:pPr>
        <w:spacing w:after="120"/>
      </w:pPr>
    </w:p>
    <w:p>
      <w:pPr>
        <w:spacing w:after="160" w:line="276"/>
      </w:pPr>
      <w:r>
        <w:rPr>
          <w:color w:val="222222"/>
          <w:sz w:val="21"/>
          <w:szCs w:val="21"/>
        </w:rPr>
        <w:t xml:space="preserve">Recommended endpoints exposed by the i3 Messaging API:</w:t>
      </w:r>
    </w:p>
    <w:p>
      <w:pPr>
        <w:pStyle w:val="ListParagraph"/>
        <w:numPr>
          <w:ilvl w:val="0"/>
          <w:numId w:val="2"/>
        </w:numPr>
        <w:spacing w:after="90" w:line="264"/>
      </w:pPr>
      <w:r>
        <w:rPr>
          <w:color w:val="222222"/>
          <w:sz w:val="21"/>
          <w:szCs w:val="21"/>
        </w:rPr>
        <w:t xml:space="preserve">POST /v1/messages/sms and /v1/messages/bulk — send single/bulk messages</w:t>
      </w:r>
    </w:p>
    <w:p>
      <w:pPr>
        <w:pStyle w:val="ListParagraph"/>
        <w:numPr>
          <w:ilvl w:val="0"/>
          <w:numId w:val="2"/>
        </w:numPr>
        <w:spacing w:after="90" w:line="264"/>
      </w:pPr>
      <w:r>
        <w:rPr>
          <w:color w:val="222222"/>
          <w:sz w:val="21"/>
          <w:szCs w:val="21"/>
        </w:rPr>
        <w:t xml:space="preserve">GET /v1/messages/{id} — status lookup</w:t>
      </w:r>
    </w:p>
    <w:p>
      <w:pPr>
        <w:pStyle w:val="ListParagraph"/>
        <w:numPr>
          <w:ilvl w:val="0"/>
          <w:numId w:val="2"/>
        </w:numPr>
        <w:spacing w:after="90" w:line="264"/>
      </w:pPr>
      <w:r>
        <w:rPr>
          <w:color w:val="222222"/>
          <w:sz w:val="21"/>
          <w:szCs w:val="21"/>
        </w:rPr>
        <w:t xml:space="preserve">POST /v1/webhooks/dlr and /v1/webhooks/mo — delivery receipts and inbound messages</w:t>
      </w:r>
    </w:p>
    <w:p>
      <w:pPr>
        <w:pStyle w:val="ListParagraph"/>
        <w:numPr>
          <w:ilvl w:val="0"/>
          <w:numId w:val="2"/>
        </w:numPr>
        <w:spacing w:after="90" w:line="264"/>
      </w:pPr>
      <w:r>
        <w:rPr>
          <w:color w:val="222222"/>
          <w:sz w:val="21"/>
          <w:szCs w:val="21"/>
        </w:rPr>
        <w:t xml:space="preserve">GET /v1/balance, /v1/senders, POST /v1/senders — wallet balance and sender-ID management</w:t>
      </w:r>
    </w:p>
    <w:p>
      <w:pPr>
        <w:pStyle w:val="Heading2"/>
        <w:spacing w:after="140" w:before="300"/>
      </w:pPr>
      <w:r>
        <w:rPr>
          <w:b/>
          <w:bCs/>
          <w:color w:val="13315C"/>
          <w:sz w:val="24"/>
          <w:szCs w:val="24"/>
        </w:rPr>
        <w:t xml:space="preserve">6.2 Email Delivery Architecture</w:t>
      </w:r>
    </w:p>
    <w:p>
      <w:pPr>
        <w:spacing w:after="160" w:line="276"/>
      </w:pPr>
      <w:r>
        <w:rPr>
          <w:color w:val="222222"/>
          <w:sz w:val="21"/>
          <w:szCs w:val="21"/>
        </w:rPr>
        <w:t xml:space="preserve">Marketing email and transactional email are kept on separate sending domains/IP pools so a promotional campaign never damages the deliverability of OTPs, receipts, or admissions notifications. The email service is provider-pluggable (Postal, Amazon SES, SendGrid, Mailgun, Brevo) so a tenant or i3 can switch ESPs without re-architecture, with SPF, DKIM, DMARC, bounce/complaint processing, and suppression-list management enforced centrally.</w:t>
      </w:r>
    </w:p>
    <w:p>
      <w:pPr>
        <w:pStyle w:val="Heading2"/>
        <w:spacing w:after="140" w:before="300"/>
      </w:pPr>
      <w:r>
        <w:rPr>
          <w:b/>
          <w:bCs/>
          <w:color w:val="13315C"/>
          <w:sz w:val="24"/>
          <w:szCs w:val="24"/>
        </w:rPr>
        <w:t xml:space="preserve">6.3 WhatsApp &amp; Omnichannel</w:t>
      </w:r>
    </w:p>
    <w:p>
      <w:pPr>
        <w:spacing w:after="160" w:line="276"/>
      </w:pPr>
      <w:r>
        <w:rPr>
          <w:color w:val="222222"/>
          <w:sz w:val="21"/>
          <w:szCs w:val="21"/>
        </w:rPr>
        <w:t xml:space="preserve">A Chatwoot-style unified inbox centralises WhatsApp, web chat, email, and SMS conversations so that once a customer is identified, their CRM timeline appears automatically and an AI agent can suggest a response for the human agent to approve and send — turning bulk messaging into two-way, trackable conversations tied to CRM opportunities.</w:t>
      </w:r>
    </w:p>
    <w:p>
      <w:r>
        <w:br w:type="page"/>
      </w:r>
    </w:p>
    <w:p>
      <w:pPr>
        <w:pStyle w:val="Heading1"/>
        <w:pBdr>
          <w:bottom w:val="single" w:color="0E7C7B" w:sz="8" w:space="4"/>
        </w:pBdr>
        <w:spacing w:after="200" w:before="420"/>
      </w:pPr>
      <w:r>
        <w:rPr>
          <w:b/>
          <w:bCs/>
          <w:color w:val="0B2545"/>
          <w:sz w:val="30"/>
          <w:szCs w:val="30"/>
        </w:rPr>
        <w:t xml:space="preserve">7. Receipts &amp; Payments Integration</w:t>
      </w:r>
    </w:p>
    <w:p>
      <w:pPr>
        <w:pStyle w:val="Heading2"/>
        <w:spacing w:after="140" w:before="300"/>
      </w:pPr>
      <w:r>
        <w:rPr>
          <w:b/>
          <w:bCs/>
          <w:color w:val="13315C"/>
          <w:sz w:val="24"/>
          <w:szCs w:val="24"/>
        </w:rPr>
        <w:t xml:space="preserve">7.1 Payment Strategy Overview</w:t>
      </w:r>
    </w:p>
    <w:p>
      <w:pPr>
        <w:spacing w:after="160" w:line="276"/>
      </w:pPr>
      <w:r>
        <w:rPr>
          <w:color w:val="222222"/>
          <w:sz w:val="21"/>
          <w:szCs w:val="21"/>
        </w:rPr>
        <w:t xml:space="preserve">Payments are a first-class service within i3 Engage Cloud, not a bolt-on. The platform needs to (a) receipt payments from end-customers of i3's tenants (e.g., a SACCO collecting member contributions, a school collecting fees, i3 Academy collecting bootcamp fees), (b) bill i3's own tenants for SaaS subscriptions and messaging-wallet top-ups, and (c) reconcile every transaction against the CRM/CDP customer record so a payment automatically closes a journey step (e.g., “invoice sent → paid → receipt SMS → enrolment confirmed”).</w:t>
      </w:r>
    </w:p>
    <w:p>
      <w:pPr>
        <w:spacing w:after="160" w:line="276"/>
      </w:pPr>
      <w:r>
        <w:rPr>
          <w:color w:val="222222"/>
          <w:sz w:val="21"/>
          <w:szCs w:val="21"/>
        </w:rPr>
        <w:t xml:space="preserve">Two payment rails are integrated at launch, covering the dominant East African payment behaviours: Safaricom Daraja for M-Pesa mobile money (the dominant rail in Kenya and increasingly the region), and Paystack for card, bank transfer, and pan-African payment methods (also active in Ghana, Nigeria, and South Africa, which aligns with i3's regional expansion plan).</w:t>
      </w:r>
    </w:p>
    <w:p>
      <w:pPr>
        <w:pStyle w:val="Heading2"/>
        <w:spacing w:after="140" w:before="300"/>
      </w:pPr>
      <w:r>
        <w:rPr>
          <w:b/>
          <w:bCs/>
          <w:color w:val="13315C"/>
          <w:sz w:val="24"/>
          <w:szCs w:val="24"/>
        </w:rPr>
        <w:t xml:space="preserve">7.2 Safaricom Daraja (M-Pesa) Integration</w:t>
      </w:r>
    </w:p>
    <w:p>
      <w:pPr>
        <w:spacing w:after="160" w:line="276"/>
      </w:pPr>
      <w:r>
        <w:rPr>
          <w:color w:val="222222"/>
          <w:sz w:val="21"/>
          <w:szCs w:val="21"/>
        </w:rPr>
        <w:t xml:space="preserve">The Daraja API is Safaricom's official gateway to M-Pesa. i3 Engage Cloud integrates the following Daraja capabilities behind its own unified Payments 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2545" w:val="clear"/>
            <w:tcMar>
              <w:top w:type="dxa" w:w="100"/>
              <w:left w:type="dxa" w:w="120"/>
              <w:bottom w:type="dxa" w:w="100"/>
              <w:right w:type="dxa" w:w="120"/>
            </w:tcMar>
            <w:vAlign w:val="center"/>
          </w:tcPr>
          <w:p>
            <w:pPr>
              <w:spacing w:after="0"/>
            </w:pPr>
            <w:r>
              <w:rPr>
                <w:b/>
                <w:bCs/>
                <w:color w:val="FFFFFF"/>
                <w:sz w:val="19"/>
                <w:szCs w:val="19"/>
              </w:rPr>
              <w:t xml:space="preserve">Daraja capability</w:t>
            </w:r>
          </w:p>
        </w:tc>
        <w:tc>
          <w:tcPr>
            <w:tcW w:type="dxa" w:w="6150"/>
            <w:shd w:fill="0B2545" w:val="clear"/>
            <w:tcMar>
              <w:top w:type="dxa" w:w="100"/>
              <w:left w:type="dxa" w:w="120"/>
              <w:bottom w:type="dxa" w:w="100"/>
              <w:right w:type="dxa" w:w="120"/>
            </w:tcMar>
            <w:vAlign w:val="center"/>
          </w:tcPr>
          <w:p>
            <w:pPr>
              <w:spacing w:after="0"/>
            </w:pPr>
            <w:r>
              <w:rPr>
                <w:b/>
                <w:bCs/>
                <w:color w:val="FFFFFF"/>
                <w:sz w:val="19"/>
                <w:szCs w:val="19"/>
              </w:rPr>
              <w:t xml:space="preserve">Use in i3 Engage Cloud</w:t>
            </w:r>
          </w:p>
        </w:tc>
      </w:tr>
      <w:tr>
        <w:tc>
          <w:tcPr>
            <w:tcW w:type="dxa" w:w="3200"/>
            <w:shd w:fill="FFFFFF" w:val="clear"/>
            <w:tcMar>
              <w:top w:type="dxa" w:w="90"/>
              <w:left w:type="dxa" w:w="120"/>
              <w:bottom w:type="dxa" w:w="90"/>
              <w:right w:type="dxa" w:w="120"/>
            </w:tcMar>
            <w:vAlign w:val="center"/>
          </w:tcPr>
          <w:p>
            <w:pPr>
              <w:spacing w:after="0"/>
            </w:pPr>
            <w:r>
              <w:rPr>
                <w:color w:val="222222"/>
                <w:sz w:val="19"/>
                <w:szCs w:val="19"/>
              </w:rPr>
              <w:t xml:space="preserve">Lipa na M-Pesa Online (STK Push)</w:t>
            </w:r>
          </w:p>
        </w:tc>
        <w:tc>
          <w:tcPr>
            <w:tcW w:type="dxa" w:w="6150"/>
            <w:shd w:fill="FFFFFF" w:val="clear"/>
            <w:tcMar>
              <w:top w:type="dxa" w:w="90"/>
              <w:left w:type="dxa" w:w="120"/>
              <w:bottom w:type="dxa" w:w="90"/>
              <w:right w:type="dxa" w:w="120"/>
            </w:tcMar>
            <w:vAlign w:val="center"/>
          </w:tcPr>
          <w:p>
            <w:pPr>
              <w:spacing w:after="0"/>
            </w:pPr>
            <w:r>
              <w:rPr>
                <w:color w:val="222222"/>
                <w:sz w:val="19"/>
                <w:szCs w:val="19"/>
              </w:rPr>
              <w:t xml:space="preserve">Trigger a payment prompt directly on the customer's phone for invoices, SaaS renewals, SMS wallet top-ups, and course/event fees</w:t>
            </w:r>
          </w:p>
        </w:tc>
      </w:tr>
      <w:tr>
        <w:tc>
          <w:tcPr>
            <w:tcW w:type="dxa" w:w="3200"/>
            <w:shd w:fill="F5F7F5" w:val="clear"/>
            <w:tcMar>
              <w:top w:type="dxa" w:w="90"/>
              <w:left w:type="dxa" w:w="120"/>
              <w:bottom w:type="dxa" w:w="90"/>
              <w:right w:type="dxa" w:w="120"/>
            </w:tcMar>
            <w:vAlign w:val="center"/>
          </w:tcPr>
          <w:p>
            <w:pPr>
              <w:spacing w:after="0"/>
            </w:pPr>
            <w:r>
              <w:rPr>
                <w:color w:val="222222"/>
                <w:sz w:val="19"/>
                <w:szCs w:val="19"/>
              </w:rPr>
              <w:t xml:space="preserve">C2B (Customer-to-Business)</w:t>
            </w:r>
          </w:p>
        </w:tc>
        <w:tc>
          <w:tcPr>
            <w:tcW w:type="dxa" w:w="6150"/>
            <w:shd w:fill="F5F7F5" w:val="clear"/>
            <w:tcMar>
              <w:top w:type="dxa" w:w="90"/>
              <w:left w:type="dxa" w:w="120"/>
              <w:bottom w:type="dxa" w:w="90"/>
              <w:right w:type="dxa" w:w="120"/>
            </w:tcMar>
            <w:vAlign w:val="center"/>
          </w:tcPr>
          <w:p>
            <w:pPr>
              <w:spacing w:after="0"/>
            </w:pPr>
            <w:r>
              <w:rPr>
                <w:color w:val="222222"/>
                <w:sz w:val="19"/>
                <w:szCs w:val="19"/>
              </w:rPr>
              <w:t xml:space="preserve">Receive payments via Paybill/Till number, with real-time confirmation and validation webhooks</w:t>
            </w:r>
          </w:p>
        </w:tc>
      </w:tr>
      <w:tr>
        <w:tc>
          <w:tcPr>
            <w:tcW w:type="dxa" w:w="3200"/>
            <w:shd w:fill="FFFFFF" w:val="clear"/>
            <w:tcMar>
              <w:top w:type="dxa" w:w="90"/>
              <w:left w:type="dxa" w:w="120"/>
              <w:bottom w:type="dxa" w:w="90"/>
              <w:right w:type="dxa" w:w="120"/>
            </w:tcMar>
            <w:vAlign w:val="center"/>
          </w:tcPr>
          <w:p>
            <w:pPr>
              <w:spacing w:after="0"/>
            </w:pPr>
            <w:r>
              <w:rPr>
                <w:color w:val="222222"/>
                <w:sz w:val="19"/>
                <w:szCs w:val="19"/>
              </w:rPr>
              <w:t xml:space="preserve">B2C (Business-to-Customer)</w:t>
            </w:r>
          </w:p>
        </w:tc>
        <w:tc>
          <w:tcPr>
            <w:tcW w:type="dxa" w:w="6150"/>
            <w:shd w:fill="FFFFFF" w:val="clear"/>
            <w:tcMar>
              <w:top w:type="dxa" w:w="90"/>
              <w:left w:type="dxa" w:w="120"/>
              <w:bottom w:type="dxa" w:w="90"/>
              <w:right w:type="dxa" w:w="120"/>
            </w:tcMar>
            <w:vAlign w:val="center"/>
          </w:tcPr>
          <w:p>
            <w:pPr>
              <w:spacing w:after="0"/>
            </w:pPr>
            <w:r>
              <w:rPr>
                <w:color w:val="222222"/>
                <w:sz w:val="19"/>
                <w:szCs w:val="19"/>
              </w:rPr>
              <w:t xml:space="preserve">Disbursements — refunds, agent/partner commissions, promotional payouts</w:t>
            </w:r>
          </w:p>
        </w:tc>
      </w:tr>
      <w:tr>
        <w:tc>
          <w:tcPr>
            <w:tcW w:type="dxa" w:w="3200"/>
            <w:shd w:fill="F5F7F5" w:val="clear"/>
            <w:tcMar>
              <w:top w:type="dxa" w:w="90"/>
              <w:left w:type="dxa" w:w="120"/>
              <w:bottom w:type="dxa" w:w="90"/>
              <w:right w:type="dxa" w:w="120"/>
            </w:tcMar>
            <w:vAlign w:val="center"/>
          </w:tcPr>
          <w:p>
            <w:pPr>
              <w:spacing w:after="0"/>
            </w:pPr>
            <w:r>
              <w:rPr>
                <w:color w:val="222222"/>
                <w:sz w:val="19"/>
                <w:szCs w:val="19"/>
              </w:rPr>
              <w:t xml:space="preserve">B2B</w:t>
            </w:r>
          </w:p>
        </w:tc>
        <w:tc>
          <w:tcPr>
            <w:tcW w:type="dxa" w:w="6150"/>
            <w:shd w:fill="F5F7F5" w:val="clear"/>
            <w:tcMar>
              <w:top w:type="dxa" w:w="90"/>
              <w:left w:type="dxa" w:w="120"/>
              <w:bottom w:type="dxa" w:w="90"/>
              <w:right w:type="dxa" w:w="120"/>
            </w:tcMar>
            <w:vAlign w:val="center"/>
          </w:tcPr>
          <w:p>
            <w:pPr>
              <w:spacing w:after="0"/>
            </w:pPr>
            <w:r>
              <w:rPr>
                <w:color w:val="222222"/>
                <w:sz w:val="19"/>
                <w:szCs w:val="19"/>
              </w:rPr>
              <w:t xml:space="preserve">Business-to-business settlement, e.g., i3-to-partner-node commission payouts</w:t>
            </w:r>
          </w:p>
        </w:tc>
      </w:tr>
      <w:tr>
        <w:tc>
          <w:tcPr>
            <w:tcW w:type="dxa" w:w="3200"/>
            <w:shd w:fill="FFFFFF" w:val="clear"/>
            <w:tcMar>
              <w:top w:type="dxa" w:w="90"/>
              <w:left w:type="dxa" w:w="120"/>
              <w:bottom w:type="dxa" w:w="90"/>
              <w:right w:type="dxa" w:w="120"/>
            </w:tcMar>
            <w:vAlign w:val="center"/>
          </w:tcPr>
          <w:p>
            <w:pPr>
              <w:spacing w:after="0"/>
            </w:pPr>
            <w:r>
              <w:rPr>
                <w:color w:val="222222"/>
                <w:sz w:val="19"/>
                <w:szCs w:val="19"/>
              </w:rPr>
              <w:t xml:space="preserve">Transaction Status &amp; Account Balance</w:t>
            </w:r>
          </w:p>
        </w:tc>
        <w:tc>
          <w:tcPr>
            <w:tcW w:type="dxa" w:w="6150"/>
            <w:shd w:fill="FFFFFF" w:val="clear"/>
            <w:tcMar>
              <w:top w:type="dxa" w:w="90"/>
              <w:left w:type="dxa" w:w="120"/>
              <w:bottom w:type="dxa" w:w="90"/>
              <w:right w:type="dxa" w:w="120"/>
            </w:tcMar>
            <w:vAlign w:val="center"/>
          </w:tcPr>
          <w:p>
            <w:pPr>
              <w:spacing w:after="0"/>
            </w:pPr>
            <w:r>
              <w:rPr>
                <w:color w:val="222222"/>
                <w:sz w:val="19"/>
                <w:szCs w:val="19"/>
              </w:rPr>
              <w:t xml:space="preserve">Reconciliation jobs and wallet-balance display in the tenant billing dashboard</w:t>
            </w:r>
          </w:p>
        </w:tc>
      </w:tr>
      <w:tr>
        <w:tc>
          <w:tcPr>
            <w:tcW w:type="dxa" w:w="3200"/>
            <w:shd w:fill="F5F7F5" w:val="clear"/>
            <w:tcMar>
              <w:top w:type="dxa" w:w="90"/>
              <w:left w:type="dxa" w:w="120"/>
              <w:bottom w:type="dxa" w:w="90"/>
              <w:right w:type="dxa" w:w="120"/>
            </w:tcMar>
            <w:vAlign w:val="center"/>
          </w:tcPr>
          <w:p>
            <w:pPr>
              <w:spacing w:after="0"/>
            </w:pPr>
            <w:r>
              <w:rPr>
                <w:color w:val="222222"/>
                <w:sz w:val="19"/>
                <w:szCs w:val="19"/>
              </w:rPr>
              <w:t xml:space="preserve">Reversal API</w:t>
            </w:r>
          </w:p>
        </w:tc>
        <w:tc>
          <w:tcPr>
            <w:tcW w:type="dxa" w:w="6150"/>
            <w:shd w:fill="F5F7F5" w:val="clear"/>
            <w:tcMar>
              <w:top w:type="dxa" w:w="90"/>
              <w:left w:type="dxa" w:w="120"/>
              <w:bottom w:type="dxa" w:w="90"/>
              <w:right w:type="dxa" w:w="120"/>
            </w:tcMar>
            <w:vAlign w:val="center"/>
          </w:tcPr>
          <w:p>
            <w:pPr>
              <w:spacing w:after="0"/>
            </w:pPr>
            <w:r>
              <w:rPr>
                <w:color w:val="222222"/>
                <w:sz w:val="19"/>
                <w:szCs w:val="19"/>
              </w:rPr>
              <w:t xml:space="preserve">Handle disputed or erroneous transactions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3F7" w:val="clear"/>
            <w:tcMar>
              <w:top w:type="dxa" w:w="180"/>
              <w:left w:type="dxa" w:w="200"/>
              <w:bottom w:type="dxa" w:w="180"/>
              <w:right w:type="dxa" w:w="200"/>
            </w:tcMar>
          </w:tcPr>
          <w:p>
            <w:pPr>
              <w:spacing w:after="0"/>
            </w:pPr>
            <w:r>
              <w:rPr>
                <w:rFonts w:ascii="Consolas" w:cs="Consolas" w:eastAsia="Consolas" w:hAnsi="Consolas"/>
                <w:color w:val="1B2A3A"/>
                <w:sz w:val="17"/>
                <w:szCs w:val="17"/>
              </w:rPr>
              <w:t xml:space="preserve">  Tenant / customer initiates payment (invoice, top-up, fee)</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i3 Payments Service (provider-abstracted)</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                                |</w:t>
            </w:r>
          </w:p>
          <w:p>
            <w:pPr>
              <w:spacing w:after="0"/>
            </w:pPr>
            <w:r>
              <w:rPr>
                <w:rFonts w:ascii="Consolas" w:cs="Consolas" w:eastAsia="Consolas" w:hAnsi="Consolas"/>
                <w:color w:val="1B2A3A"/>
                <w:sz w:val="17"/>
                <w:szCs w:val="17"/>
              </w:rPr>
              <w:t xml:space="preserve">  Daraja API                        Paystack API</w:t>
            </w:r>
          </w:p>
          <w:p>
            <w:pPr>
              <w:spacing w:after="0"/>
            </w:pPr>
            <w:r>
              <w:rPr>
                <w:rFonts w:ascii="Consolas" w:cs="Consolas" w:eastAsia="Consolas" w:hAnsi="Consolas"/>
                <w:color w:val="1B2A3A"/>
                <w:sz w:val="17"/>
                <w:szCs w:val="17"/>
              </w:rPr>
              <w:t xml:space="preserve">  (STK Push / C2B / B2C / B2B)      (Card / Bank / Mobile Money)</w:t>
            </w:r>
          </w:p>
          <w:p>
            <w:pPr>
              <w:spacing w:after="0"/>
            </w:pPr>
            <w:r>
              <w:rPr>
                <w:rFonts w:ascii="Consolas" w:cs="Consolas" w:eastAsia="Consolas" w:hAnsi="Consolas"/>
                <w:color w:val="1B2A3A"/>
                <w:sz w:val="17"/>
                <w:szCs w:val="17"/>
              </w:rPr>
              <w:t xml:space="preserve">        |                                |</w:t>
            </w:r>
          </w:p>
          <w:p>
            <w:pPr>
              <w:spacing w:after="0"/>
            </w:pPr>
            <w:r>
              <w:rPr>
                <w:rFonts w:ascii="Consolas" w:cs="Consolas" w:eastAsia="Consolas" w:hAnsi="Consolas"/>
                <w:color w:val="1B2A3A"/>
                <w:sz w:val="17"/>
                <w:szCs w:val="17"/>
              </w:rPr>
              <w:t xml:space="preserve">  Safaricom M-Pesa                  Card networks / Banks</w:t>
            </w:r>
          </w:p>
          <w:p>
            <w:pPr>
              <w:spacing w:after="0"/>
            </w:pPr>
            <w:r>
              <w:rPr>
                <w:rFonts w:ascii="Consolas" w:cs="Consolas" w:eastAsia="Consolas" w:hAnsi="Consolas"/>
                <w:color w:val="1B2A3A"/>
                <w:sz w:val="17"/>
                <w:szCs w:val="17"/>
              </w:rPr>
              <w:t xml:space="preserve">        |                                |</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Webhook confirmation -&gt; Event Bus</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Receipt &amp; Invoice Service -&gt; SMS/Email/WhatsApp receipt</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CDP / CRM timeline update -&gt; Journey trigger continues</w:t>
            </w:r>
          </w:p>
        </w:tc>
      </w:tr>
    </w:tbl>
    <w:p>
      <w:pPr>
        <w:spacing w:after="220" w:before="60"/>
      </w:pPr>
      <w:r>
        <w:rPr>
          <w:i/>
          <w:iCs/>
          <w:color w:val="5B6472"/>
          <w:sz w:val="18"/>
          <w:szCs w:val="18"/>
        </w:rPr>
        <w:t xml:space="preserve">Figure 5. Unified payments and receipting flow across Safaricom Daraja and Paystack.</w:t>
      </w:r>
    </w:p>
    <w:p>
      <w:pPr>
        <w:pStyle w:val="Heading3"/>
        <w:spacing w:after="100" w:before="200"/>
      </w:pPr>
      <w:r>
        <w:rPr>
          <w:b/>
          <w:bCs/>
          <w:color w:val="0E7C7B"/>
          <w:sz w:val="21"/>
          <w:szCs w:val="21"/>
        </w:rPr>
        <w:t xml:space="preserve">Technical &amp; Security Notes</w:t>
      </w:r>
    </w:p>
    <w:p>
      <w:pPr>
        <w:pStyle w:val="ListParagraph"/>
        <w:numPr>
          <w:ilvl w:val="0"/>
          <w:numId w:val="2"/>
        </w:numPr>
        <w:spacing w:after="90" w:line="264"/>
      </w:pPr>
      <w:r>
        <w:rPr>
          <w:color w:val="222222"/>
          <w:sz w:val="21"/>
          <w:szCs w:val="21"/>
        </w:rPr>
        <w:t xml:space="preserve">OAuth token management, Paybill/Till credentials, and Daraja consumer key/secret are stored in IBM Secrets Manager, never in application config or manifests.</w:t>
      </w:r>
    </w:p>
    <w:p>
      <w:pPr>
        <w:pStyle w:val="ListParagraph"/>
        <w:numPr>
          <w:ilvl w:val="0"/>
          <w:numId w:val="2"/>
        </w:numPr>
        <w:spacing w:after="90" w:line="264"/>
      </w:pPr>
      <w:r>
        <w:rPr>
          <w:color w:val="222222"/>
          <w:sz w:val="21"/>
          <w:szCs w:val="21"/>
        </w:rPr>
        <w:t xml:space="preserve">STK Push and C2B validation/confirmation webhooks are exposed via dedicated OpenShift Routes with IP allow-listing and signature verification.</w:t>
      </w:r>
    </w:p>
    <w:p>
      <w:pPr>
        <w:pStyle w:val="ListParagraph"/>
        <w:numPr>
          <w:ilvl w:val="0"/>
          <w:numId w:val="2"/>
        </w:numPr>
        <w:spacing w:after="90" w:line="264"/>
      </w:pPr>
      <w:r>
        <w:rPr>
          <w:color w:val="222222"/>
          <w:sz w:val="21"/>
          <w:szCs w:val="21"/>
        </w:rPr>
        <w:t xml:space="preserve">Daraja sandbox is used for integration testing before production Paybill/Till go-live; production requires Safaricom go-live approval and business documentation (KRA PIN, CR12, bank details).</w:t>
      </w:r>
    </w:p>
    <w:p>
      <w:pPr>
        <w:pStyle w:val="Heading2"/>
        <w:spacing w:after="140" w:before="300"/>
      </w:pPr>
      <w:r>
        <w:rPr>
          <w:b/>
          <w:bCs/>
          <w:color w:val="13315C"/>
          <w:sz w:val="24"/>
          <w:szCs w:val="24"/>
        </w:rPr>
        <w:t xml:space="preserve">7.3 Paystack Integration</w:t>
      </w:r>
    </w:p>
    <w:p>
      <w:pPr>
        <w:spacing w:after="160" w:line="276"/>
      </w:pPr>
      <w:r>
        <w:rPr>
          <w:color w:val="222222"/>
          <w:sz w:val="21"/>
          <w:szCs w:val="21"/>
        </w:rPr>
        <w:t xml:space="preserve">Paystack provides card, bank transfer, USSD, and mobile-money acceptance, and operates across Nigeria, Ghana, South Africa, Côte d'Ivoire, Kenya, and Egypt — directly matching i3's East —&gt; West Africa expansion path via the Accra office. Paystack is integrated for:</w:t>
      </w:r>
    </w:p>
    <w:p>
      <w:pPr>
        <w:pStyle w:val="ListParagraph"/>
        <w:numPr>
          <w:ilvl w:val="0"/>
          <w:numId w:val="2"/>
        </w:numPr>
        <w:spacing w:after="90" w:line="264"/>
      </w:pPr>
      <w:r>
        <w:rPr>
          <w:color w:val="222222"/>
          <w:sz w:val="21"/>
          <w:szCs w:val="21"/>
        </w:rPr>
        <w:t xml:space="preserve">Card and bank-transfer checkout for tenants/customers who prefer non-mobile-money payment</w:t>
      </w:r>
    </w:p>
    <w:p>
      <w:pPr>
        <w:pStyle w:val="ListParagraph"/>
        <w:numPr>
          <w:ilvl w:val="0"/>
          <w:numId w:val="2"/>
        </w:numPr>
        <w:spacing w:after="90" w:line="264"/>
      </w:pPr>
      <w:r>
        <w:rPr>
          <w:color w:val="222222"/>
          <w:sz w:val="21"/>
          <w:szCs w:val="21"/>
        </w:rPr>
        <w:t xml:space="preserve">Subscription billing for i3 Engage Cloud SaaS tiers (recurring charges via Paystack Subscriptions)</w:t>
      </w:r>
    </w:p>
    <w:p>
      <w:pPr>
        <w:pStyle w:val="ListParagraph"/>
        <w:numPr>
          <w:ilvl w:val="0"/>
          <w:numId w:val="2"/>
        </w:numPr>
        <w:spacing w:after="90" w:line="264"/>
      </w:pPr>
      <w:r>
        <w:rPr>
          <w:color w:val="222222"/>
          <w:sz w:val="21"/>
          <w:szCs w:val="21"/>
        </w:rPr>
        <w:t xml:space="preserve">Payment links embedded directly in email/SMS/WhatsApp campaign messages for invoices and promotions</w:t>
      </w:r>
    </w:p>
    <w:p>
      <w:pPr>
        <w:pStyle w:val="ListParagraph"/>
        <w:numPr>
          <w:ilvl w:val="0"/>
          <w:numId w:val="2"/>
        </w:numPr>
        <w:spacing w:after="90" w:line="264"/>
      </w:pPr>
      <w:r>
        <w:rPr>
          <w:color w:val="222222"/>
          <w:sz w:val="21"/>
          <w:szCs w:val="21"/>
        </w:rPr>
        <w:t xml:space="preserve">Webhook-driven reconciliation, mirrored through the same Payments Service event schema as Daraja, so downstream CRM/journey logic is payment-rail-agnostic</w:t>
      </w:r>
    </w:p>
    <w:p>
      <w:pPr>
        <w:pStyle w:val="Heading2"/>
        <w:spacing w:after="140" w:before="300"/>
      </w:pPr>
      <w:r>
        <w:rPr>
          <w:b/>
          <w:bCs/>
          <w:color w:val="13315C"/>
          <w:sz w:val="24"/>
          <w:szCs w:val="24"/>
        </w:rPr>
        <w:t xml:space="preserve">7.4 Unified Payment &amp; Receipt Service</w:t>
      </w:r>
    </w:p>
    <w:p>
      <w:pPr>
        <w:spacing w:after="160" w:line="276"/>
      </w:pPr>
      <w:r>
        <w:rPr>
          <w:color w:val="222222"/>
          <w:sz w:val="21"/>
          <w:szCs w:val="21"/>
        </w:rPr>
        <w:t xml:space="preserve">Both rails sit behind a single internal PaymentProvider interface — initiate(), verify(), refund(), getStatus() — so the Campaign Engine, CRM, and billing dashboard never need to know whether a given transaction went through Daraja or Paystack. This also allows i3 to add further rails (Airtel Money, MTN MoMo, bank RTGS) later without re-architecting the platform.</w:t>
      </w:r>
    </w:p>
    <w:p>
      <w:pPr>
        <w:pStyle w:val="ListParagraph"/>
        <w:numPr>
          <w:ilvl w:val="0"/>
          <w:numId w:val="2"/>
        </w:numPr>
        <w:spacing w:after="90" w:line="264"/>
      </w:pPr>
      <w:r>
        <w:rPr>
          <w:color w:val="222222"/>
          <w:sz w:val="21"/>
          <w:szCs w:val="21"/>
        </w:rPr>
        <w:t xml:space="preserve">Every successful payment automatically triggers an SMS and/or email/WhatsApp receipt via the Messaging layer, referencing the payment reference/M-Pesa code.</w:t>
      </w:r>
    </w:p>
    <w:p>
      <w:pPr>
        <w:pStyle w:val="ListParagraph"/>
        <w:numPr>
          <w:ilvl w:val="0"/>
          <w:numId w:val="2"/>
        </w:numPr>
        <w:spacing w:after="90" w:line="264"/>
      </w:pPr>
      <w:r>
        <w:rPr>
          <w:color w:val="222222"/>
          <w:sz w:val="21"/>
          <w:szCs w:val="21"/>
        </w:rPr>
        <w:t xml:space="preserve">Every transaction is written to an immutable ledger for audit, tax (KRA), and dispute-resolution purposes.</w:t>
      </w:r>
    </w:p>
    <w:p>
      <w:pPr>
        <w:pStyle w:val="ListParagraph"/>
        <w:numPr>
          <w:ilvl w:val="0"/>
          <w:numId w:val="2"/>
        </w:numPr>
        <w:spacing w:after="90" w:line="264"/>
      </w:pPr>
      <w:r>
        <w:rPr>
          <w:color w:val="222222"/>
          <w:sz w:val="21"/>
          <w:szCs w:val="21"/>
        </w:rPr>
        <w:t xml:space="preserve">Failed or pending payments trigger automated reminder journeys (e.g., “STK push not completed — retry”) via the Campaign Engine.</w:t>
      </w:r>
    </w:p>
    <w:p>
      <w:pPr>
        <w:pStyle w:val="Heading2"/>
        <w:spacing w:after="140" w:before="300"/>
      </w:pPr>
      <w:r>
        <w:rPr>
          <w:b/>
          <w:bCs/>
          <w:color w:val="13315C"/>
          <w:sz w:val="24"/>
          <w:szCs w:val="24"/>
        </w:rPr>
        <w:t xml:space="preserve">7.5 Reconciliation, Wallet &amp; Billing</w:t>
      </w:r>
    </w:p>
    <w:p>
      <w:pPr>
        <w:spacing w:after="160" w:line="276"/>
      </w:pPr>
      <w:r>
        <w:rPr>
          <w:color w:val="222222"/>
          <w:sz w:val="21"/>
          <w:szCs w:val="21"/>
        </w:rPr>
        <w:t xml:space="preserve">An i3 Rating &amp; Charging Service manages each tenant's SMS/Email/WhatsApp wallet, credit limit, rate card, and invoicing, funded via Daraja or Paystack top-ups. This is the same mechanism used both for i3's own tenants paying i3, and for i3's tenants collecting from their own end-customers — giving i3 a reusable receipting product it can also resell independently as “i3 Pay” to businesses that only need receipting, not full marketing automation.</w:t>
      </w:r>
    </w:p>
    <w:p>
      <w:r>
        <w:br w:type="page"/>
      </w:r>
    </w:p>
    <w:p>
      <w:pPr>
        <w:pStyle w:val="Heading1"/>
        <w:pBdr>
          <w:bottom w:val="single" w:color="0E7C7B" w:sz="8" w:space="4"/>
        </w:pBdr>
        <w:spacing w:after="200" w:before="420"/>
      </w:pPr>
      <w:r>
        <w:rPr>
          <w:b/>
          <w:bCs/>
          <w:color w:val="0B2545"/>
          <w:sz w:val="30"/>
          <w:szCs w:val="30"/>
        </w:rPr>
        <w:t xml:space="preserve">8. Regulatory &amp; Compliance</w:t>
      </w:r>
    </w:p>
    <w:p>
      <w:pPr>
        <w:pStyle w:val="Heading2"/>
        <w:spacing w:after="140" w:before="300"/>
      </w:pPr>
      <w:r>
        <w:rPr>
          <w:b/>
          <w:bCs/>
          <w:color w:val="13315C"/>
          <w:sz w:val="24"/>
          <w:szCs w:val="24"/>
        </w:rPr>
        <w:t xml:space="preserve">8.1 Communications Authority of Kenya (CA) Licensing</w:t>
      </w:r>
    </w:p>
    <w:p>
      <w:pPr>
        <w:spacing w:after="160" w:line="276"/>
      </w:pPr>
      <w:r>
        <w:rPr>
          <w:color w:val="222222"/>
          <w:sz w:val="21"/>
          <w:szCs w:val="21"/>
        </w:rPr>
        <w:t xml:space="preserve">Operating a bulk-messaging and telecom-adjacent platform in Kenya requires alignment with CA licence categories, principally Application Service Provider (ASP) and/or Content Service Provider (CSP) licences. Requirements typically include corporate tax compliance (KRA PIN, Tax Compliance Certificate), CR12, local shareholding compliance, a 3–5 year technical/business plan, and data-privacy registration with the Office of the Data Protection Commissioner (ODPC). Indicative CA CSP fees are in the range of a modest application fee, an initial licence fee, and an annual gross-turnover-based fee.</w:t>
      </w:r>
    </w:p>
    <w:p>
      <w:pPr>
        <w:pStyle w:val="ListParagraph"/>
        <w:numPr>
          <w:ilvl w:val="0"/>
          <w:numId w:val="2"/>
        </w:numPr>
        <w:spacing w:after="90" w:line="264"/>
      </w:pPr>
      <w:r>
        <w:rPr>
          <w:color w:val="222222"/>
          <w:sz w:val="21"/>
          <w:szCs w:val="21"/>
        </w:rPr>
        <w:t xml:space="preserve">Interim posture (Phase 1–2): operate as a customer of licensed Tier-1 aggregators while the direct CSP/ASP application and Safaricom/Airtel interconnect discussions proceed in parallel.</w:t>
      </w:r>
    </w:p>
    <w:p>
      <w:pPr>
        <w:pStyle w:val="ListParagraph"/>
        <w:numPr>
          <w:ilvl w:val="0"/>
          <w:numId w:val="2"/>
        </w:numPr>
        <w:spacing w:after="90" w:line="264"/>
      </w:pPr>
      <w:r>
        <w:rPr>
          <w:color w:val="222222"/>
          <w:sz w:val="21"/>
          <w:szCs w:val="21"/>
        </w:rPr>
        <w:t xml:space="preserve">Target posture (Phase 3–4): i3 holds its own CSP/ASP licence and direct SMPP interconnects with Safaricom and Airtel.</w:t>
      </w:r>
    </w:p>
    <w:p>
      <w:pPr>
        <w:pStyle w:val="Heading2"/>
        <w:spacing w:after="140" w:before="300"/>
      </w:pPr>
      <w:r>
        <w:rPr>
          <w:b/>
          <w:bCs/>
          <w:color w:val="13315C"/>
          <w:sz w:val="24"/>
          <w:szCs w:val="24"/>
        </w:rPr>
        <w:t xml:space="preserve">8.2 Data Protection (ODPC)</w:t>
      </w:r>
    </w:p>
    <w:p>
      <w:pPr>
        <w:spacing w:after="160" w:line="276"/>
      </w:pPr>
      <w:r>
        <w:rPr>
          <w:color w:val="222222"/>
          <w:sz w:val="21"/>
          <w:szCs w:val="21"/>
        </w:rPr>
        <w:t xml:space="preserve">Kenya's Data Protection Act and ODPC guidance require notice and consent for direct-marketing use of personal information, together with a simple opt-out mechanism. Consent, source, wording/version, timestamp, and withdrawal status are modelled as first-class CDP attributes rather than being handled independently inside the email and SMS modules, so a single suppression event propagates across every channel instantly.</w:t>
      </w:r>
    </w:p>
    <w:p>
      <w:pPr>
        <w:pStyle w:val="Heading2"/>
        <w:spacing w:after="140" w:before="300"/>
      </w:pPr>
      <w:r>
        <w:rPr>
          <w:b/>
          <w:bCs/>
          <w:color w:val="13315C"/>
          <w:sz w:val="24"/>
          <w:szCs w:val="24"/>
        </w:rPr>
        <w:t xml:space="preserve">8.3 Payment Regulations</w:t>
      </w:r>
    </w:p>
    <w:p>
      <w:pPr>
        <w:pStyle w:val="ListParagraph"/>
        <w:numPr>
          <w:ilvl w:val="0"/>
          <w:numId w:val="2"/>
        </w:numPr>
        <w:spacing w:after="90" w:line="264"/>
      </w:pPr>
      <w:r>
        <w:rPr>
          <w:color w:val="222222"/>
          <w:sz w:val="21"/>
          <w:szCs w:val="21"/>
        </w:rPr>
        <w:t xml:space="preserve">Safaricom Daraja integration requires a registered Paybill/Till, business KYC documentation, and Safaricom go-live approval; production credentials are distinct from sandbox.</w:t>
      </w:r>
    </w:p>
    <w:p>
      <w:pPr>
        <w:pStyle w:val="ListParagraph"/>
        <w:numPr>
          <w:ilvl w:val="0"/>
          <w:numId w:val="2"/>
        </w:numPr>
        <w:spacing w:after="90" w:line="264"/>
      </w:pPr>
      <w:r>
        <w:rPr>
          <w:color w:val="222222"/>
          <w:sz w:val="21"/>
          <w:szCs w:val="21"/>
        </w:rPr>
        <w:t xml:space="preserve">Card acceptance via Paystack requires standard PCI-DSS-aligned handling — i3 does not store raw card data; Paystack's hosted checkout/tokenisation is used so PCI scope stays minimal.</w:t>
      </w:r>
    </w:p>
    <w:p>
      <w:pPr>
        <w:pStyle w:val="ListParagraph"/>
        <w:numPr>
          <w:ilvl w:val="0"/>
          <w:numId w:val="2"/>
        </w:numPr>
        <w:spacing w:after="90" w:line="264"/>
      </w:pPr>
      <w:r>
        <w:rPr>
          <w:color w:val="222222"/>
          <w:sz w:val="21"/>
          <w:szCs w:val="21"/>
        </w:rPr>
        <w:t xml:space="preserve">Transaction records are retained for tax (KRA) and audit purposes in line with Kenyan financial record-keeping requirements.</w:t>
      </w:r>
    </w:p>
    <w:p>
      <w:pPr>
        <w:pStyle w:val="Heading2"/>
        <w:spacing w:after="140" w:before="300"/>
      </w:pPr>
      <w:r>
        <w:rPr>
          <w:b/>
          <w:bCs/>
          <w:color w:val="13315C"/>
          <w:sz w:val="24"/>
          <w:szCs w:val="24"/>
        </w:rPr>
        <w:t xml:space="preserve">8.4 Consent &amp; Anti-Spam Framework</w:t>
      </w:r>
    </w:p>
    <w:p>
      <w:pPr>
        <w:spacing w:after="160" w:line="276"/>
      </w:pPr>
      <w:r>
        <w:rPr>
          <w:color w:val="222222"/>
          <w:sz w:val="21"/>
          <w:szCs w:val="21"/>
        </w:rPr>
        <w:t xml:space="preserve">For every channel the platform maintains explicit opt-in/opt-out status (e.g., “SMS marketing: opted in,” “Transactional SMS: always allowed”), a consent audit trail, and STOP/HELP keyword handling for SMS — required both for East African compliance and to keep the platform ready for future international (e.g., US A2P 10DLC/TCR) expansion if i3 pursues cross-border CPaaS reselling.</w:t>
      </w:r>
    </w:p>
    <w:p>
      <w:r>
        <w:br w:type="page"/>
      </w:r>
    </w:p>
    <w:p>
      <w:pPr>
        <w:pStyle w:val="Heading1"/>
        <w:pBdr>
          <w:bottom w:val="single" w:color="0E7C7B" w:sz="8" w:space="4"/>
        </w:pBdr>
        <w:spacing w:after="200" w:before="420"/>
      </w:pPr>
      <w:r>
        <w:rPr>
          <w:b/>
          <w:bCs/>
          <w:color w:val="0B2545"/>
          <w:sz w:val="30"/>
          <w:szCs w:val="30"/>
        </w:rPr>
        <w:t xml:space="preserve">9. Infrastructure &amp; Deployment (IBM Cloud / Red Hat OpenShift)</w:t>
      </w:r>
    </w:p>
    <w:p>
      <w:pPr>
        <w:pStyle w:val="Heading2"/>
        <w:spacing w:after="140" w:before="300"/>
      </w:pPr>
      <w:r>
        <w:rPr>
          <w:b/>
          <w:bCs/>
          <w:color w:val="13315C"/>
          <w:sz w:val="24"/>
          <w:szCs w:val="24"/>
        </w:rPr>
        <w:t xml:space="preserve">9.1 Deployment Topology</w:t>
      </w:r>
    </w:p>
    <w:p>
      <w:pPr>
        <w:spacing w:after="160" w:line="276"/>
      </w:pPr>
      <w:r>
        <w:rPr>
          <w:color w:val="222222"/>
          <w:sz w:val="21"/>
          <w:szCs w:val="21"/>
        </w:rPr>
        <w:t xml:space="preserve">i3 Engage Cloud is deployed on Red Hat OpenShift on IBM Cloud (ROKS), directly leveraging i3's existing IBM Partner Plus cloud credits and Red Hat OpenShift software subscriptions. A multi-zone VPC Gen2 cluster provides production HA, with separate namespaces for logical isolation: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3F7" w:val="clear"/>
            <w:tcMar>
              <w:top w:type="dxa" w:w="180"/>
              <w:left w:type="dxa" w:w="200"/>
              <w:bottom w:type="dxa" w:w="180"/>
              <w:right w:type="dxa" w:w="200"/>
            </w:tcMar>
          </w:tcPr>
          <w:p>
            <w:pPr>
              <w:spacing w:after="0"/>
            </w:pPr>
            <w:r>
              <w:rPr>
                <w:rFonts w:ascii="Consolas" w:cs="Consolas" w:eastAsia="Consolas" w:hAnsi="Consolas"/>
                <w:color w:val="1B2A3A"/>
                <w:sz w:val="17"/>
                <w:szCs w:val="17"/>
              </w:rPr>
              <w:t xml:space="preserve">  i3-platform        (API gateway, Keycloak, tenant/billing services)</w:t>
            </w:r>
          </w:p>
          <w:p>
            <w:pPr>
              <w:spacing w:after="0"/>
            </w:pPr>
            <w:r>
              <w:rPr>
                <w:rFonts w:ascii="Consolas" w:cs="Consolas" w:eastAsia="Consolas" w:hAnsi="Consolas"/>
                <w:color w:val="1B2A3A"/>
                <w:sz w:val="17"/>
                <w:szCs w:val="17"/>
              </w:rPr>
              <w:t xml:space="preserve">  i3-crm              (Twenty/EspoCRM, CDP)</w:t>
            </w:r>
          </w:p>
          <w:p>
            <w:pPr>
              <w:spacing w:after="0"/>
            </w:pPr>
            <w:r>
              <w:rPr>
                <w:rFonts w:ascii="Consolas" w:cs="Consolas" w:eastAsia="Consolas" w:hAnsi="Consolas"/>
                <w:color w:val="1B2A3A"/>
                <w:sz w:val="17"/>
                <w:szCs w:val="17"/>
              </w:rPr>
              <w:t xml:space="preserve">  i3-campaigns         (Mautic/Dittofeed, journey engine)</w:t>
            </w:r>
          </w:p>
          <w:p>
            <w:pPr>
              <w:spacing w:after="0"/>
            </w:pPr>
            <w:r>
              <w:rPr>
                <w:rFonts w:ascii="Consolas" w:cs="Consolas" w:eastAsia="Consolas" w:hAnsi="Consolas"/>
                <w:color w:val="1B2A3A"/>
                <w:sz w:val="17"/>
                <w:szCs w:val="17"/>
              </w:rPr>
              <w:t xml:space="preserve">  i3-messaging          (Jasmin SMS gateway, dispatchers)</w:t>
            </w:r>
          </w:p>
          <w:p>
            <w:pPr>
              <w:spacing w:after="0"/>
            </w:pPr>
            <w:r>
              <w:rPr>
                <w:rFonts w:ascii="Consolas" w:cs="Consolas" w:eastAsia="Consolas" w:hAnsi="Consolas"/>
                <w:color w:val="1B2A3A"/>
                <w:sz w:val="17"/>
                <w:szCs w:val="17"/>
              </w:rPr>
              <w:t xml:space="preserve">  i3-email               (Postal / ESP connectors)</w:t>
            </w:r>
          </w:p>
          <w:p>
            <w:pPr>
              <w:spacing w:after="0"/>
            </w:pPr>
            <w:r>
              <w:rPr>
                <w:rFonts w:ascii="Consolas" w:cs="Consolas" w:eastAsia="Consolas" w:hAnsi="Consolas"/>
                <w:color w:val="1B2A3A"/>
                <w:sz w:val="17"/>
                <w:szCs w:val="17"/>
              </w:rPr>
              <w:t xml:space="preserve">  i3-payments              (Daraja + Paystack Payments Service)</w:t>
            </w:r>
          </w:p>
          <w:p>
            <w:pPr>
              <w:spacing w:after="0"/>
            </w:pPr>
            <w:r>
              <w:rPr>
                <w:rFonts w:ascii="Consolas" w:cs="Consolas" w:eastAsia="Consolas" w:hAnsi="Consolas"/>
                <w:color w:val="1B2A3A"/>
                <w:sz w:val="17"/>
                <w:szCs w:val="17"/>
              </w:rPr>
              <w:t xml:space="preserve">  i3-ai                      (Agent orchestrator, model connectors)</w:t>
            </w:r>
          </w:p>
          <w:p>
            <w:pPr>
              <w:spacing w:after="0"/>
            </w:pPr>
            <w:r>
              <w:rPr>
                <w:rFonts w:ascii="Consolas" w:cs="Consolas" w:eastAsia="Consolas" w:hAnsi="Consolas"/>
                <w:color w:val="1B2A3A"/>
                <w:sz w:val="17"/>
                <w:szCs w:val="17"/>
              </w:rPr>
              <w:t xml:space="preserve">  i3-observability             (Prometheus, Grafana, Loki, Jaeger)</w:t>
            </w:r>
          </w:p>
          <w:p>
            <w:pPr>
              <w:spacing w:after="0"/>
            </w:pPr>
            <w:r>
              <w:rPr>
                <w:rFonts w:ascii="Consolas" w:cs="Consolas" w:eastAsia="Consolas" w:hAnsi="Consolas"/>
                <w:color w:val="1B2A3A"/>
                <w:sz w:val="17"/>
                <w:szCs w:val="17"/>
              </w:rPr>
              <w:t xml:space="preserve">  i3-security                    (Secrets Manager integration, WAF policy)</w:t>
            </w:r>
          </w:p>
        </w:tc>
      </w:tr>
    </w:tbl>
    <w:p>
      <w:pPr>
        <w:spacing w:after="220" w:before="60"/>
      </w:pPr>
      <w:r>
        <w:rPr>
          <w:i/>
          <w:iCs/>
          <w:color w:val="5B6472"/>
          <w:sz w:val="18"/>
          <w:szCs w:val="18"/>
        </w:rPr>
        <w:t xml:space="preserve">Figure 6. Recommended OpenShift namespace structure for i3 Engage Cloud.</w:t>
      </w:r>
    </w:p>
    <w:p>
      <w:pPr>
        <w:spacing w:after="160" w:line="276"/>
      </w:pPr>
      <w:r>
        <w:rPr>
          <w:color w:val="222222"/>
          <w:sz w:val="21"/>
          <w:szCs w:val="21"/>
        </w:rPr>
        <w:t xml:space="preserve">SMS/SMPP and email-MTA workloads, which require persistent TCP connections and stable egress IPs, run on dedicated tainted node pools so noisy messaging traffic never starves CRM or dashboard pods. Horizontal Pod Autoscaling lets SMS-worker capacity flex from a handful of pods at idle to dozens during a campaign burst, then scale back down.</w:t>
      </w:r>
    </w:p>
    <w:p>
      <w:pPr>
        <w:pStyle w:val="Heading2"/>
        <w:spacing w:after="140" w:before="300"/>
      </w:pPr>
      <w:r>
        <w:rPr>
          <w:b/>
          <w:bCs/>
          <w:color w:val="13315C"/>
          <w:sz w:val="24"/>
          <w:szCs w:val="24"/>
        </w:rPr>
        <w:t xml:space="preserve">9.2 Security Architecture</w:t>
      </w:r>
    </w:p>
    <w:p>
      <w:pPr>
        <w:pStyle w:val="ListParagraph"/>
        <w:numPr>
          <w:ilvl w:val="0"/>
          <w:numId w:val="2"/>
        </w:numPr>
        <w:spacing w:after="90" w:line="264"/>
      </w:pPr>
      <w:r>
        <w:rPr>
          <w:color w:val="222222"/>
          <w:sz w:val="21"/>
          <w:szCs w:val="21"/>
        </w:rPr>
        <w:t xml:space="preserve">IBM Secrets Manager (HashiCorp Vault-based) for SMPP credentials, Daraja/Paystack API keys, SMTP credentials, and customer API keys — never stored in manifests.</w:t>
      </w:r>
    </w:p>
    <w:p>
      <w:pPr>
        <w:pStyle w:val="ListParagraph"/>
        <w:numPr>
          <w:ilvl w:val="0"/>
          <w:numId w:val="2"/>
        </w:numPr>
        <w:spacing w:after="90" w:line="264"/>
      </w:pPr>
      <w:r>
        <w:rPr>
          <w:color w:val="222222"/>
          <w:sz w:val="21"/>
          <w:szCs w:val="21"/>
        </w:rPr>
        <w:t xml:space="preserve">IBM Key Protect for HSM-backed encryption keys; encryption at rest and in transit throughout.</w:t>
      </w:r>
    </w:p>
    <w:p>
      <w:pPr>
        <w:pStyle w:val="ListParagraph"/>
        <w:numPr>
          <w:ilvl w:val="0"/>
          <w:numId w:val="2"/>
        </w:numPr>
        <w:spacing w:after="90" w:line="264"/>
      </w:pPr>
      <w:r>
        <w:rPr>
          <w:color w:val="222222"/>
          <w:sz w:val="21"/>
          <w:szCs w:val="21"/>
        </w:rPr>
        <w:t xml:space="preserve">OpenShift RBAC, NetworkPolicies/Calico, mTLS between services, API rate limiting, and IBM Cloud Internet Services WAF/DDoS protection at the edge.</w:t>
      </w:r>
    </w:p>
    <w:p>
      <w:pPr>
        <w:pStyle w:val="ListParagraph"/>
        <w:numPr>
          <w:ilvl w:val="0"/>
          <w:numId w:val="2"/>
        </w:numPr>
        <w:spacing w:after="90" w:line="264"/>
      </w:pPr>
      <w:r>
        <w:rPr>
          <w:color w:val="222222"/>
          <w:sz w:val="21"/>
          <w:szCs w:val="21"/>
        </w:rPr>
        <w:t xml:space="preserve">Centralised audit logging and SIEM-ready log shipping, positioned as a selling point for regulated tenants: “enterprise communications platform designed with security, data sovereignty and auditability from inception.”</w:t>
      </w:r>
    </w:p>
    <w:p>
      <w:pPr>
        <w:pStyle w:val="Heading2"/>
        <w:spacing w:after="140" w:before="300"/>
      </w:pPr>
      <w:r>
        <w:rPr>
          <w:b/>
          <w:bCs/>
          <w:color w:val="13315C"/>
          <w:sz w:val="24"/>
          <w:szCs w:val="24"/>
        </w:rPr>
        <w:t xml:space="preserve">9.3 Namespace &amp; Multi-Tenant Isolation</w:t>
      </w:r>
    </w:p>
    <w:p>
      <w:pPr>
        <w:spacing w:after="160" w:line="276"/>
      </w:pPr>
      <w:r>
        <w:rPr>
          <w:color w:val="222222"/>
          <w:sz w:val="21"/>
          <w:szCs w:val="21"/>
        </w:rPr>
        <w:t xml:space="preserve">Tenant isolation is enforced at the service layer (tenant_id scoping, row-level security) for the Shared SaaS tier, at the namespace/schema layer for the Agency tier, and at the full-cluster/account layer for regulated Enterprise tenants — giving i3 a clear upsell path as a client's compliance requirements grow.</w:t>
      </w:r>
    </w:p>
    <w:p>
      <w:pPr>
        <w:pStyle w:val="Heading3"/>
        <w:spacing w:after="100" w:before="200"/>
      </w:pPr>
      <w:r>
        <w:rPr>
          <w:b/>
          <w:bCs/>
          <w:color w:val="0E7C7B"/>
          <w:sz w:val="21"/>
          <w:szCs w:val="21"/>
        </w:rPr>
        <w:t xml:space="preserve">Regional Latency Note</w:t>
      </w:r>
    </w:p>
    <w:p>
      <w:pPr>
        <w:spacing w:after="160" w:line="276"/>
      </w:pPr>
      <w:r>
        <w:rPr>
          <w:color w:val="222222"/>
          <w:sz w:val="21"/>
          <w:szCs w:val="21"/>
        </w:rPr>
        <w:t xml:space="preserve">IBM Cloud's published multizone regions do not currently include a Nairobi/East African MZR; the nearest strong candidates are Frankfurt (Europe) or Chennai/Mumbai (Asia-Pacific). For latency-sensitive SMPP connectivity, i3 should evaluate a small Nairobi “SMS edge” node — interconnected securely (private VPN/MPLS) to the primary IBM Cloud platform — once direct Safaricom/Airtel SMPP interconnects are in place.</w:t>
      </w:r>
    </w:p>
    <w:p>
      <w:r>
        <w:br w:type="page"/>
      </w:r>
    </w:p>
    <w:p>
      <w:pPr>
        <w:pStyle w:val="Heading1"/>
        <w:pBdr>
          <w:bottom w:val="single" w:color="0E7C7B" w:sz="8" w:space="4"/>
        </w:pBdr>
        <w:spacing w:after="200" w:before="420"/>
      </w:pPr>
      <w:r>
        <w:rPr>
          <w:b/>
          <w:bCs/>
          <w:color w:val="0B2545"/>
          <w:sz w:val="30"/>
          <w:szCs w:val="30"/>
        </w:rPr>
        <w:t xml:space="preserve">10. Commercial Model &amp; Revenue Streams</w:t>
      </w:r>
    </w:p>
    <w:p>
      <w:pPr>
        <w:spacing w:after="160" w:line="276"/>
      </w:pPr>
      <w:r>
        <w:rPr>
          <w:color w:val="222222"/>
          <w:sz w:val="21"/>
          <w:szCs w:val="21"/>
        </w:rPr>
        <w:t xml:space="preserve">The platform is designed to generate several simultaneous revenue streams rather than depending solely on SMS-credit margin, which is thin and increasingly commoditised: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3F7" w:val="clear"/>
            <w:tcMar>
              <w:top w:type="dxa" w:w="180"/>
              <w:left w:type="dxa" w:w="200"/>
              <w:bottom w:type="dxa" w:w="180"/>
              <w:right w:type="dxa" w:w="200"/>
            </w:tcMar>
          </w:tcPr>
          <w:p>
            <w:pPr>
              <w:spacing w:after="0"/>
            </w:pPr>
            <w:r>
              <w:rPr>
                <w:rFonts w:ascii="Consolas" w:cs="Consolas" w:eastAsia="Consolas" w:hAnsi="Consolas"/>
                <w:color w:val="1B2A3A"/>
                <w:sz w:val="17"/>
                <w:szCs w:val="17"/>
              </w:rPr>
              <w:t xml:space="preserve">  SaaS subscription  +  SMS/Email/WhatsApp margin  +  Payment processing margin</w:t>
            </w:r>
          </w:p>
          <w:p>
            <w:pPr>
              <w:spacing w:after="0"/>
            </w:pPr>
            <w:r>
              <w:rPr>
                <w:rFonts w:ascii="Consolas" w:cs="Consolas" w:eastAsia="Consolas" w:hAnsi="Consolas"/>
                <w:color w:val="1B2A3A"/>
                <w:sz w:val="17"/>
                <w:szCs w:val="17"/>
              </w:rPr>
              <w:t xml:space="preserve">  +  AI agent usage  +  CRM seats  +  Agency/reseller commission</w:t>
            </w:r>
          </w:p>
          <w:p>
            <w:pPr>
              <w:spacing w:after="0"/>
            </w:pPr>
            <w:r>
              <w:rPr>
                <w:rFonts w:ascii="Consolas" w:cs="Consolas" w:eastAsia="Consolas" w:hAnsi="Consolas"/>
                <w:color w:val="1B2A3A"/>
                <w:sz w:val="17"/>
                <w:szCs w:val="17"/>
              </w:rPr>
              <w:t xml:space="preserve">  +  Implementation &amp; managed services  +  API credits (developer-led)</w:t>
            </w:r>
          </w:p>
        </w:tc>
      </w:tr>
    </w:tbl>
    <w:p>
      <w:pPr>
        <w:pStyle w:val="Heading2"/>
        <w:spacing w:after="140" w:before="300"/>
      </w:pPr>
      <w:r>
        <w:rPr>
          <w:b/>
          <w:bCs/>
          <w:color w:val="13315C"/>
          <w:sz w:val="24"/>
          <w:szCs w:val="24"/>
        </w:rPr>
        <w:t xml:space="preserve">10.1 Illustrative Reseller / Partner Economics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3F7" w:val="clear"/>
            <w:tcMar>
              <w:top w:type="dxa" w:w="180"/>
              <w:left w:type="dxa" w:w="200"/>
              <w:bottom w:type="dxa" w:w="180"/>
              <w:right w:type="dxa" w:w="200"/>
            </w:tcMar>
          </w:tcPr>
          <w:p>
            <w:pPr>
              <w:spacing w:after="0"/>
            </w:pPr>
            <w:r>
              <w:rPr>
                <w:rFonts w:ascii="Consolas" w:cs="Consolas" w:eastAsia="Consolas" w:hAnsi="Consolas"/>
                <w:color w:val="1B2A3A"/>
                <w:sz w:val="17"/>
                <w:szCs w:val="17"/>
              </w:rPr>
              <w:t xml:space="preserve">  i3 Technologies</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w:t>
            </w:r>
          </w:p>
          <w:p>
            <w:pPr>
              <w:spacing w:after="0"/>
            </w:pPr>
            <w:r>
              <w:rPr>
                <w:rFonts w:ascii="Consolas" w:cs="Consolas" w:eastAsia="Consolas" w:hAnsi="Consolas"/>
                <w:color w:val="1B2A3A"/>
                <w:sz w:val="17"/>
                <w:szCs w:val="17"/>
              </w:rPr>
              <w:t xml:space="preserve">  |                  |            |</w:t>
            </w:r>
          </w:p>
          <w:p>
            <w:pPr>
              <w:spacing w:after="0"/>
            </w:pPr>
            <w:r>
              <w:rPr>
                <w:rFonts w:ascii="Consolas" w:cs="Consolas" w:eastAsia="Consolas" w:hAnsi="Consolas"/>
                <w:color w:val="1B2A3A"/>
                <w:sz w:val="17"/>
                <w:szCs w:val="17"/>
              </w:rPr>
              <w:t xml:space="preserve">  Kenya Partner   Uganda Partner  Ghana Partner (Accra office)</w:t>
            </w:r>
          </w:p>
          <w:p>
            <w:pPr>
              <w:spacing w:after="0"/>
            </w:pPr>
            <w:r>
              <w:rPr>
                <w:rFonts w:ascii="Consolas" w:cs="Consolas" w:eastAsia="Consolas" w:hAnsi="Consolas"/>
                <w:color w:val="1B2A3A"/>
                <w:sz w:val="17"/>
                <w:szCs w:val="17"/>
              </w:rPr>
              <w:t xml:space="preserve">        |                  |            |</w:t>
            </w:r>
          </w:p>
          <w:p>
            <w:pPr>
              <w:spacing w:after="0"/>
            </w:pPr>
            <w:r>
              <w:rPr>
                <w:rFonts w:ascii="Consolas" w:cs="Consolas" w:eastAsia="Consolas" w:hAnsi="Consolas"/>
                <w:color w:val="1B2A3A"/>
                <w:sz w:val="17"/>
                <w:szCs w:val="17"/>
              </w:rPr>
              <w:t xml:space="preserve">  Customers          Customers     Customers</w:t>
            </w:r>
          </w:p>
        </w:tc>
      </w:tr>
    </w:tbl>
    <w:p>
      <w:pPr>
        <w:spacing w:after="220" w:before="60"/>
      </w:pPr>
      <w:r>
        <w:rPr>
          <w:i/>
          <w:iCs/>
          <w:color w:val="5B6472"/>
          <w:sz w:val="18"/>
          <w:szCs w:val="18"/>
        </w:rPr>
        <w:t xml:space="preserve">Figure 7. Reseller architecture — i3 retains infrastructure and settlement; partners get wholesale rates, white-labelled portals, and their own pricing, sender IDs, and customers.</w:t>
      </w:r>
    </w:p>
    <w:p>
      <w:pPr>
        <w:spacing w:after="160" w:line="276"/>
      </w:pPr>
      <w:r>
        <w:rPr>
          <w:color w:val="222222"/>
          <w:sz w:val="21"/>
          <w:szCs w:val="21"/>
        </w:rPr>
        <w:t xml:space="preserve">A partner receives wholesale rates, a white-labelled portal, its own pricing, sender IDs, domain, and support users, plus commission reporting and a wallet — while i3 retains control of infrastructure and settlement, effectively becoming a Pan-African CPaaS + MarTech distributor through the existing partner-node network.</w:t>
      </w:r>
    </w:p>
    <w:p>
      <w:r>
        <w:br w:type="page"/>
      </w:r>
    </w:p>
    <w:p>
      <w:pPr>
        <w:pStyle w:val="Heading1"/>
        <w:pBdr>
          <w:bottom w:val="single" w:color="0E7C7B" w:sz="8" w:space="4"/>
        </w:pBdr>
        <w:spacing w:after="200" w:before="420"/>
      </w:pPr>
      <w:r>
        <w:rPr>
          <w:b/>
          <w:bCs/>
          <w:color w:val="0B2545"/>
          <w:sz w:val="30"/>
          <w:szCs w:val="30"/>
        </w:rPr>
        <w:t xml:space="preserve">11. Implementation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5100"/>
      </w:tblGrid>
      <w:tr>
        <w:trPr>
          <w:tblHeader/>
        </w:trPr>
        <w:tc>
          <w:tcPr>
            <w:tcW w:type="dxa" w:w="2600"/>
            <w:shd w:fill="0B2545" w:val="clear"/>
            <w:tcMar>
              <w:top w:type="dxa" w:w="100"/>
              <w:left w:type="dxa" w:w="120"/>
              <w:bottom w:type="dxa" w:w="100"/>
              <w:right w:type="dxa" w:w="120"/>
            </w:tcMar>
            <w:vAlign w:val="center"/>
          </w:tcPr>
          <w:p>
            <w:pPr>
              <w:spacing w:after="0"/>
            </w:pPr>
            <w:r>
              <w:rPr>
                <w:b/>
                <w:bCs/>
                <w:color w:val="FFFFFF"/>
                <w:sz w:val="19"/>
                <w:szCs w:val="19"/>
              </w:rPr>
              <w:t xml:space="preserve">Phase</w:t>
            </w:r>
          </w:p>
        </w:tc>
        <w:tc>
          <w:tcPr>
            <w:tcW w:type="dxa" w:w="1650"/>
            <w:shd w:fill="0B2545" w:val="clear"/>
            <w:tcMar>
              <w:top w:type="dxa" w:w="100"/>
              <w:left w:type="dxa" w:w="120"/>
              <w:bottom w:type="dxa" w:w="100"/>
              <w:right w:type="dxa" w:w="120"/>
            </w:tcMar>
            <w:vAlign w:val="center"/>
          </w:tcPr>
          <w:p>
            <w:pPr>
              <w:spacing w:after="0"/>
            </w:pPr>
            <w:r>
              <w:rPr>
                <w:b/>
                <w:bCs/>
                <w:color w:val="FFFFFF"/>
                <w:sz w:val="19"/>
                <w:szCs w:val="19"/>
              </w:rPr>
              <w:t xml:space="preserve">Timeframe</w:t>
            </w:r>
          </w:p>
        </w:tc>
        <w:tc>
          <w:tcPr>
            <w:tcW w:type="dxa" w:w="5100"/>
            <w:shd w:fill="0B2545" w:val="clear"/>
            <w:tcMar>
              <w:top w:type="dxa" w:w="100"/>
              <w:left w:type="dxa" w:w="120"/>
              <w:bottom w:type="dxa" w:w="100"/>
              <w:right w:type="dxa" w:w="120"/>
            </w:tcMar>
            <w:vAlign w:val="center"/>
          </w:tcPr>
          <w:p>
            <w:pPr>
              <w:spacing w:after="0"/>
            </w:pPr>
            <w:r>
              <w:rPr>
                <w:b/>
                <w:bCs/>
                <w:color w:val="FFFFFF"/>
                <w:sz w:val="19"/>
                <w:szCs w:val="19"/>
              </w:rPr>
              <w:t xml:space="preserve">Milestones</w:t>
            </w:r>
          </w:p>
        </w:tc>
      </w:tr>
      <w:tr>
        <w:tc>
          <w:tcPr>
            <w:tcW w:type="dxa" w:w="2600"/>
            <w:shd w:fill="FFFFFF" w:val="clear"/>
            <w:tcMar>
              <w:top w:type="dxa" w:w="90"/>
              <w:left w:type="dxa" w:w="120"/>
              <w:bottom w:type="dxa" w:w="90"/>
              <w:right w:type="dxa" w:w="120"/>
            </w:tcMar>
            <w:vAlign w:val="center"/>
          </w:tcPr>
          <w:p>
            <w:pPr>
              <w:spacing w:after="0"/>
            </w:pPr>
            <w:r>
              <w:rPr>
                <w:color w:val="222222"/>
                <w:sz w:val="19"/>
                <w:szCs w:val="19"/>
              </w:rPr>
              <w:t xml:space="preserve">1. Foundation</w:t>
            </w:r>
          </w:p>
        </w:tc>
        <w:tc>
          <w:tcPr>
            <w:tcW w:type="dxa" w:w="1650"/>
            <w:shd w:fill="FFFFFF" w:val="clear"/>
            <w:tcMar>
              <w:top w:type="dxa" w:w="90"/>
              <w:left w:type="dxa" w:w="120"/>
              <w:bottom w:type="dxa" w:w="90"/>
              <w:right w:type="dxa" w:w="120"/>
            </w:tcMar>
            <w:vAlign w:val="center"/>
          </w:tcPr>
          <w:p>
            <w:pPr>
              <w:spacing w:after="0"/>
            </w:pPr>
            <w:r>
              <w:rPr>
                <w:color w:val="222222"/>
                <w:sz w:val="19"/>
                <w:szCs w:val="19"/>
              </w:rPr>
              <w:t xml:space="preserve">Months 0–3</w:t>
            </w:r>
          </w:p>
        </w:tc>
        <w:tc>
          <w:tcPr>
            <w:tcW w:type="dxa" w:w="5100"/>
            <w:shd w:fill="FFFFFF" w:val="clear"/>
            <w:tcMar>
              <w:top w:type="dxa" w:w="90"/>
              <w:left w:type="dxa" w:w="120"/>
              <w:bottom w:type="dxa" w:w="90"/>
              <w:right w:type="dxa" w:w="120"/>
            </w:tcMar>
            <w:vAlign w:val="center"/>
          </w:tcPr>
          <w:p>
            <w:pPr>
              <w:spacing w:after="0"/>
            </w:pPr>
            <w:r>
              <w:rPr>
                <w:color w:val="222222"/>
                <w:sz w:val="19"/>
                <w:szCs w:val="19"/>
              </w:rPr>
              <w:t xml:space="preserve">OpenShift/IBM Cloud provisioning, IAM/Keycloak, PostgreSQL, Kafka/Event Streams, tenant management, API gateway; deploy Mautic + Jasmin + Postal + Twenty/EspoCRM</w:t>
            </w:r>
          </w:p>
        </w:tc>
      </w:tr>
      <w:tr>
        <w:tc>
          <w:tcPr>
            <w:tcW w:type="dxa" w:w="2600"/>
            <w:shd w:fill="F5F7F5" w:val="clear"/>
            <w:tcMar>
              <w:top w:type="dxa" w:w="90"/>
              <w:left w:type="dxa" w:w="120"/>
              <w:bottom w:type="dxa" w:w="90"/>
              <w:right w:type="dxa" w:w="120"/>
            </w:tcMar>
            <w:vAlign w:val="center"/>
          </w:tcPr>
          <w:p>
            <w:pPr>
              <w:spacing w:after="0"/>
            </w:pPr>
            <w:r>
              <w:rPr>
                <w:color w:val="222222"/>
                <w:sz w:val="19"/>
                <w:szCs w:val="19"/>
              </w:rPr>
              <w:t xml:space="preserve">2. Messaging &amp; Payments MVP</w:t>
            </w:r>
          </w:p>
        </w:tc>
        <w:tc>
          <w:tcPr>
            <w:tcW w:type="dxa" w:w="1650"/>
            <w:shd w:fill="F5F7F5" w:val="clear"/>
            <w:tcMar>
              <w:top w:type="dxa" w:w="90"/>
              <w:left w:type="dxa" w:w="120"/>
              <w:bottom w:type="dxa" w:w="90"/>
              <w:right w:type="dxa" w:w="120"/>
            </w:tcMar>
            <w:vAlign w:val="center"/>
          </w:tcPr>
          <w:p>
            <w:pPr>
              <w:spacing w:after="0"/>
            </w:pPr>
            <w:r>
              <w:rPr>
                <w:color w:val="222222"/>
                <w:sz w:val="19"/>
                <w:szCs w:val="19"/>
              </w:rPr>
              <w:t xml:space="preserve">Months 2–4</w:t>
            </w:r>
          </w:p>
        </w:tc>
        <w:tc>
          <w:tcPr>
            <w:tcW w:type="dxa" w:w="5100"/>
            <w:shd w:fill="F5F7F5" w:val="clear"/>
            <w:tcMar>
              <w:top w:type="dxa" w:w="90"/>
              <w:left w:type="dxa" w:w="120"/>
              <w:bottom w:type="dxa" w:w="90"/>
              <w:right w:type="dxa" w:w="120"/>
            </w:tcMar>
            <w:vAlign w:val="center"/>
          </w:tcPr>
          <w:p>
            <w:pPr>
              <w:spacing w:after="0"/>
            </w:pPr>
            <w:r>
              <w:rPr>
                <w:color w:val="222222"/>
                <w:sz w:val="19"/>
                <w:szCs w:val="19"/>
              </w:rPr>
              <w:t xml:space="preserve">Aggregator SMS live (Africa's Talking or similar); Daraja STK Push + C2B live; Paystack card/bank live; wallet, invoicing, receipting</w:t>
            </w:r>
          </w:p>
        </w:tc>
      </w:tr>
      <w:tr>
        <w:tc>
          <w:tcPr>
            <w:tcW w:type="dxa" w:w="2600"/>
            <w:shd w:fill="FFFFFF" w:val="clear"/>
            <w:tcMar>
              <w:top w:type="dxa" w:w="90"/>
              <w:left w:type="dxa" w:w="120"/>
              <w:bottom w:type="dxa" w:w="90"/>
              <w:right w:type="dxa" w:w="120"/>
            </w:tcMar>
            <w:vAlign w:val="center"/>
          </w:tcPr>
          <w:p>
            <w:pPr>
              <w:spacing w:after="0"/>
            </w:pPr>
            <w:r>
              <w:rPr>
                <w:color w:val="222222"/>
                <w:sz w:val="19"/>
                <w:szCs w:val="19"/>
              </w:rPr>
              <w:t xml:space="preserve">3. CRM / CDP &amp; Journeys</w:t>
            </w:r>
          </w:p>
        </w:tc>
        <w:tc>
          <w:tcPr>
            <w:tcW w:type="dxa" w:w="1650"/>
            <w:shd w:fill="FFFFFF" w:val="clear"/>
            <w:tcMar>
              <w:top w:type="dxa" w:w="90"/>
              <w:left w:type="dxa" w:w="120"/>
              <w:bottom w:type="dxa" w:w="90"/>
              <w:right w:type="dxa" w:w="120"/>
            </w:tcMar>
            <w:vAlign w:val="center"/>
          </w:tcPr>
          <w:p>
            <w:pPr>
              <w:spacing w:after="0"/>
            </w:pPr>
            <w:r>
              <w:rPr>
                <w:color w:val="222222"/>
                <w:sz w:val="19"/>
                <w:szCs w:val="19"/>
              </w:rPr>
              <w:t xml:space="preserve">Months 3–6</w:t>
            </w:r>
          </w:p>
        </w:tc>
        <w:tc>
          <w:tcPr>
            <w:tcW w:type="dxa" w:w="5100"/>
            <w:shd w:fill="FFFFFF" w:val="clear"/>
            <w:tcMar>
              <w:top w:type="dxa" w:w="90"/>
              <w:left w:type="dxa" w:w="120"/>
              <w:bottom w:type="dxa" w:w="90"/>
              <w:right w:type="dxa" w:w="120"/>
            </w:tcMar>
            <w:vAlign w:val="center"/>
          </w:tcPr>
          <w:p>
            <w:pPr>
              <w:spacing w:after="0"/>
            </w:pPr>
            <w:r>
              <w:rPr>
                <w:color w:val="222222"/>
                <w:sz w:val="19"/>
                <w:szCs w:val="19"/>
              </w:rPr>
              <w:t xml:space="preserve">Identity resolution, consent model, segmentation, visual journey builder, lead scoring</w:t>
            </w:r>
          </w:p>
        </w:tc>
      </w:tr>
      <w:tr>
        <w:tc>
          <w:tcPr>
            <w:tcW w:type="dxa" w:w="2600"/>
            <w:shd w:fill="F5F7F5" w:val="clear"/>
            <w:tcMar>
              <w:top w:type="dxa" w:w="90"/>
              <w:left w:type="dxa" w:w="120"/>
              <w:bottom w:type="dxa" w:w="90"/>
              <w:right w:type="dxa" w:w="120"/>
            </w:tcMar>
            <w:vAlign w:val="center"/>
          </w:tcPr>
          <w:p>
            <w:pPr>
              <w:spacing w:after="0"/>
            </w:pPr>
            <w:r>
              <w:rPr>
                <w:color w:val="222222"/>
                <w:sz w:val="19"/>
                <w:szCs w:val="19"/>
              </w:rPr>
              <w:t xml:space="preserve">4. Agentic AI layer</w:t>
            </w:r>
          </w:p>
        </w:tc>
        <w:tc>
          <w:tcPr>
            <w:tcW w:type="dxa" w:w="1650"/>
            <w:shd w:fill="F5F7F5" w:val="clear"/>
            <w:tcMar>
              <w:top w:type="dxa" w:w="90"/>
              <w:left w:type="dxa" w:w="120"/>
              <w:bottom w:type="dxa" w:w="90"/>
              <w:right w:type="dxa" w:w="120"/>
            </w:tcMar>
            <w:vAlign w:val="center"/>
          </w:tcPr>
          <w:p>
            <w:pPr>
              <w:spacing w:after="0"/>
            </w:pPr>
            <w:r>
              <w:rPr>
                <w:color w:val="222222"/>
                <w:sz w:val="19"/>
                <w:szCs w:val="19"/>
              </w:rPr>
              <w:t xml:space="preserve">Months 4–7</w:t>
            </w:r>
          </w:p>
        </w:tc>
        <w:tc>
          <w:tcPr>
            <w:tcW w:type="dxa" w:w="5100"/>
            <w:shd w:fill="F5F7F5" w:val="clear"/>
            <w:tcMar>
              <w:top w:type="dxa" w:w="90"/>
              <w:left w:type="dxa" w:w="120"/>
              <w:bottom w:type="dxa" w:w="90"/>
              <w:right w:type="dxa" w:w="120"/>
            </w:tcMar>
            <w:vAlign w:val="center"/>
          </w:tcPr>
          <w:p>
            <w:pPr>
              <w:spacing w:after="0"/>
            </w:pPr>
            <w:r>
              <w:rPr>
                <w:color w:val="222222"/>
                <w:sz w:val="19"/>
                <w:szCs w:val="19"/>
              </w:rPr>
              <w:t xml:space="preserve">Campaign Strategy, Content, Lead Qualification, and Compliance agents live with human-approval gates</w:t>
            </w:r>
          </w:p>
        </w:tc>
      </w:tr>
      <w:tr>
        <w:tc>
          <w:tcPr>
            <w:tcW w:type="dxa" w:w="2600"/>
            <w:shd w:fill="FFFFFF" w:val="clear"/>
            <w:tcMar>
              <w:top w:type="dxa" w:w="90"/>
              <w:left w:type="dxa" w:w="120"/>
              <w:bottom w:type="dxa" w:w="90"/>
              <w:right w:type="dxa" w:w="120"/>
            </w:tcMar>
            <w:vAlign w:val="center"/>
          </w:tcPr>
          <w:p>
            <w:pPr>
              <w:spacing w:after="0"/>
            </w:pPr>
            <w:r>
              <w:rPr>
                <w:color w:val="222222"/>
                <w:sz w:val="19"/>
                <w:szCs w:val="19"/>
              </w:rPr>
              <w:t xml:space="preserve">5. Omnichannel &amp; Agency layer</w:t>
            </w:r>
          </w:p>
        </w:tc>
        <w:tc>
          <w:tcPr>
            <w:tcW w:type="dxa" w:w="1650"/>
            <w:shd w:fill="FFFFFF" w:val="clear"/>
            <w:tcMar>
              <w:top w:type="dxa" w:w="90"/>
              <w:left w:type="dxa" w:w="120"/>
              <w:bottom w:type="dxa" w:w="90"/>
              <w:right w:type="dxa" w:w="120"/>
            </w:tcMar>
            <w:vAlign w:val="center"/>
          </w:tcPr>
          <w:p>
            <w:pPr>
              <w:spacing w:after="0"/>
            </w:pPr>
            <w:r>
              <w:rPr>
                <w:color w:val="222222"/>
                <w:sz w:val="19"/>
                <w:szCs w:val="19"/>
              </w:rPr>
              <w:t xml:space="preserve">Months 6–9</w:t>
            </w:r>
          </w:p>
        </w:tc>
        <w:tc>
          <w:tcPr>
            <w:tcW w:type="dxa" w:w="5100"/>
            <w:shd w:fill="FFFFFF" w:val="clear"/>
            <w:tcMar>
              <w:top w:type="dxa" w:w="90"/>
              <w:left w:type="dxa" w:w="120"/>
              <w:bottom w:type="dxa" w:w="90"/>
              <w:right w:type="dxa" w:w="120"/>
            </w:tcMar>
            <w:vAlign w:val="center"/>
          </w:tcPr>
          <w:p>
            <w:pPr>
              <w:spacing w:after="0"/>
            </w:pPr>
            <w:r>
              <w:rPr>
                <w:color w:val="222222"/>
                <w:sz w:val="19"/>
                <w:szCs w:val="19"/>
              </w:rPr>
              <w:t xml:space="preserve">WhatsApp + Chatwoot inbox; multi-tenant white-label agency control plane; client portals and reporting</w:t>
            </w:r>
          </w:p>
        </w:tc>
      </w:tr>
      <w:tr>
        <w:tc>
          <w:tcPr>
            <w:tcW w:type="dxa" w:w="2600"/>
            <w:shd w:fill="F5F7F5" w:val="clear"/>
            <w:tcMar>
              <w:top w:type="dxa" w:w="90"/>
              <w:left w:type="dxa" w:w="120"/>
              <w:bottom w:type="dxa" w:w="90"/>
              <w:right w:type="dxa" w:w="120"/>
            </w:tcMar>
            <w:vAlign w:val="center"/>
          </w:tcPr>
          <w:p>
            <w:pPr>
              <w:spacing w:after="0"/>
            </w:pPr>
            <w:r>
              <w:rPr>
                <w:color w:val="222222"/>
                <w:sz w:val="19"/>
                <w:szCs w:val="19"/>
              </w:rPr>
              <w:t xml:space="preserve">6. Direct telco track (parallel)</w:t>
            </w:r>
          </w:p>
        </w:tc>
        <w:tc>
          <w:tcPr>
            <w:tcW w:type="dxa" w:w="1650"/>
            <w:shd w:fill="F5F7F5" w:val="clear"/>
            <w:tcMar>
              <w:top w:type="dxa" w:w="90"/>
              <w:left w:type="dxa" w:w="120"/>
              <w:bottom w:type="dxa" w:w="90"/>
              <w:right w:type="dxa" w:w="120"/>
            </w:tcMar>
            <w:vAlign w:val="center"/>
          </w:tcPr>
          <w:p>
            <w:pPr>
              <w:spacing w:after="0"/>
            </w:pPr>
            <w:r>
              <w:rPr>
                <w:color w:val="222222"/>
                <w:sz w:val="19"/>
                <w:szCs w:val="19"/>
              </w:rPr>
              <w:t xml:space="preserve">Months 3–12</w:t>
            </w:r>
          </w:p>
        </w:tc>
        <w:tc>
          <w:tcPr>
            <w:tcW w:type="dxa" w:w="5100"/>
            <w:shd w:fill="F5F7F5" w:val="clear"/>
            <w:tcMar>
              <w:top w:type="dxa" w:w="90"/>
              <w:left w:type="dxa" w:w="120"/>
              <w:bottom w:type="dxa" w:w="90"/>
              <w:right w:type="dxa" w:w="120"/>
            </w:tcMar>
            <w:vAlign w:val="center"/>
          </w:tcPr>
          <w:p>
            <w:pPr>
              <w:spacing w:after="0"/>
            </w:pPr>
            <w:r>
              <w:rPr>
                <w:color w:val="222222"/>
                <w:sz w:val="19"/>
                <w:szCs w:val="19"/>
              </w:rPr>
              <w:t xml:space="preserve">CA CSP/ASP licensing, Safaricom/Airtel SMPP interconnect negotiation, sender-ID provisioning</w:t>
            </w:r>
          </w:p>
        </w:tc>
      </w:tr>
      <w:tr>
        <w:tc>
          <w:tcPr>
            <w:tcW w:type="dxa" w:w="2600"/>
            <w:shd w:fill="FFFFFF" w:val="clear"/>
            <w:tcMar>
              <w:top w:type="dxa" w:w="90"/>
              <w:left w:type="dxa" w:w="120"/>
              <w:bottom w:type="dxa" w:w="90"/>
              <w:right w:type="dxa" w:w="120"/>
            </w:tcMar>
            <w:vAlign w:val="center"/>
          </w:tcPr>
          <w:p>
            <w:pPr>
              <w:spacing w:after="0"/>
            </w:pPr>
            <w:r>
              <w:rPr>
                <w:color w:val="222222"/>
                <w:sz w:val="19"/>
                <w:szCs w:val="19"/>
              </w:rPr>
              <w:t xml:space="preserve">7. Regional CPaaS expansion</w:t>
            </w:r>
          </w:p>
        </w:tc>
        <w:tc>
          <w:tcPr>
            <w:tcW w:type="dxa" w:w="1650"/>
            <w:shd w:fill="FFFFFF" w:val="clear"/>
            <w:tcMar>
              <w:top w:type="dxa" w:w="90"/>
              <w:left w:type="dxa" w:w="120"/>
              <w:bottom w:type="dxa" w:w="90"/>
              <w:right w:type="dxa" w:w="120"/>
            </w:tcMar>
            <w:vAlign w:val="center"/>
          </w:tcPr>
          <w:p>
            <w:pPr>
              <w:spacing w:after="0"/>
            </w:pPr>
            <w:r>
              <w:rPr>
                <w:color w:val="222222"/>
                <w:sz w:val="19"/>
                <w:szCs w:val="19"/>
              </w:rPr>
              <w:t xml:space="preserve">Months 9–18</w:t>
            </w:r>
          </w:p>
        </w:tc>
        <w:tc>
          <w:tcPr>
            <w:tcW w:type="dxa" w:w="5100"/>
            <w:shd w:fill="FFFFFF" w:val="clear"/>
            <w:tcMar>
              <w:top w:type="dxa" w:w="90"/>
              <w:left w:type="dxa" w:w="120"/>
              <w:bottom w:type="dxa" w:w="90"/>
              <w:right w:type="dxa" w:w="120"/>
            </w:tcMar>
            <w:vAlign w:val="center"/>
          </w:tcPr>
          <w:p>
            <w:pPr>
              <w:spacing w:after="0"/>
            </w:pPr>
            <w:r>
              <w:rPr>
                <w:color w:val="222222"/>
                <w:sz w:val="19"/>
                <w:szCs w:val="19"/>
              </w:rPr>
              <w:t xml:space="preserve">Uganda/Tanzania rollout, reseller platform, Ghana via Accra office, Paystack multi-country billing</w:t>
            </w:r>
          </w:p>
        </w:tc>
      </w:tr>
      <w:tr>
        <w:tc>
          <w:tcPr>
            <w:tcW w:type="dxa" w:w="2600"/>
            <w:shd w:fill="F5F7F5" w:val="clear"/>
            <w:tcMar>
              <w:top w:type="dxa" w:w="90"/>
              <w:left w:type="dxa" w:w="120"/>
              <w:bottom w:type="dxa" w:w="90"/>
              <w:right w:type="dxa" w:w="120"/>
            </w:tcMar>
            <w:vAlign w:val="center"/>
          </w:tcPr>
          <w:p>
            <w:pPr>
              <w:spacing w:after="0"/>
            </w:pPr>
            <w:r>
              <w:rPr>
                <w:color w:val="222222"/>
                <w:sz w:val="19"/>
                <w:szCs w:val="19"/>
              </w:rPr>
              <w:t xml:space="preserve">8. Hardening &amp; scale</w:t>
            </w:r>
          </w:p>
        </w:tc>
        <w:tc>
          <w:tcPr>
            <w:tcW w:type="dxa" w:w="1650"/>
            <w:shd w:fill="F5F7F5" w:val="clear"/>
            <w:tcMar>
              <w:top w:type="dxa" w:w="90"/>
              <w:left w:type="dxa" w:w="120"/>
              <w:bottom w:type="dxa" w:w="90"/>
              <w:right w:type="dxa" w:w="120"/>
            </w:tcMar>
            <w:vAlign w:val="center"/>
          </w:tcPr>
          <w:p>
            <w:pPr>
              <w:spacing w:after="0"/>
            </w:pPr>
            <w:r>
              <w:rPr>
                <w:color w:val="222222"/>
                <w:sz w:val="19"/>
                <w:szCs w:val="19"/>
              </w:rPr>
              <w:t xml:space="preserve">Ongoing from Month 9</w:t>
            </w:r>
          </w:p>
        </w:tc>
        <w:tc>
          <w:tcPr>
            <w:tcW w:type="dxa" w:w="5100"/>
            <w:shd w:fill="F5F7F5" w:val="clear"/>
            <w:tcMar>
              <w:top w:type="dxa" w:w="90"/>
              <w:left w:type="dxa" w:w="120"/>
              <w:bottom w:type="dxa" w:w="90"/>
              <w:right w:type="dxa" w:w="120"/>
            </w:tcMar>
            <w:vAlign w:val="center"/>
          </w:tcPr>
          <w:p>
            <w:pPr>
              <w:spacing w:after="0"/>
            </w:pPr>
            <w:r>
              <w:rPr>
                <w:color w:val="222222"/>
                <w:sz w:val="19"/>
                <w:szCs w:val="19"/>
              </w:rPr>
              <w:t xml:space="preserve">HPA tuning, DR/backup (Velero), SOC2/ISO 27001 readiness, dedicated tenancy for top enterprise clients</w:t>
            </w:r>
          </w:p>
        </w:tc>
      </w:tr>
    </w:tbl>
    <w:p>
      <w:pPr>
        <w:spacing w:after="120"/>
      </w:pPr>
    </w:p>
    <w:p>
      <w:pPr>
        <w:pStyle w:val="Heading1"/>
        <w:pBdr>
          <w:bottom w:val="single" w:color="0E7C7B" w:sz="8" w:space="4"/>
        </w:pBdr>
        <w:spacing w:after="200" w:before="420"/>
      </w:pPr>
      <w:r>
        <w:rPr>
          <w:b/>
          <w:bCs/>
          <w:color w:val="0B2545"/>
          <w:sz w:val="30"/>
          <w:szCs w:val="30"/>
        </w:rPr>
        <w:t xml:space="preserve">12. Team &amp; Delivery Capability</w:t>
      </w:r>
    </w:p>
    <w:p>
      <w:pPr>
        <w:spacing w:after="160" w:line="276"/>
      </w:pPr>
      <w:r>
        <w:rPr>
          <w:color w:val="222222"/>
          <w:sz w:val="21"/>
          <w:szCs w:val="21"/>
        </w:rPr>
        <w:t xml:space="preserve">i3 Technologies is well-positioned to execute this roadmap internally rather than relying on external contractors for the core build:</w:t>
      </w:r>
    </w:p>
    <w:p>
      <w:pPr>
        <w:pStyle w:val="ListParagraph"/>
        <w:numPr>
          <w:ilvl w:val="0"/>
          <w:numId w:val="2"/>
        </w:numPr>
        <w:spacing w:after="90" w:line="264"/>
      </w:pPr>
      <w:r>
        <w:rPr>
          <w:color w:val="222222"/>
          <w:sz w:val="21"/>
          <w:szCs w:val="21"/>
        </w:rPr>
        <w:t xml:space="preserve">67+ certified professionals across i3's practice areas, supported by i3 Academy-trained talent for local account and project management across the partner-node network.</w:t>
      </w:r>
    </w:p>
    <w:p>
      <w:pPr>
        <w:pStyle w:val="ListParagraph"/>
        <w:numPr>
          <w:ilvl w:val="0"/>
          <w:numId w:val="2"/>
        </w:numPr>
        <w:spacing w:after="90" w:line="264"/>
      </w:pPr>
      <w:r>
        <w:rPr>
          <w:color w:val="222222"/>
          <w:sz w:val="21"/>
          <w:szCs w:val="21"/>
        </w:rPr>
        <w:t xml:space="preserve">Existing IBM Silver Business Partner, Anthropic Claude Partner, and Red Hat Partner status — giving direct access to IBM Partner Plus cloud credits, Red Hat OpenShift entitlements, and Anthropic/IBM Watson model access for the AI-agent layer.</w:t>
      </w:r>
    </w:p>
    <w:p>
      <w:pPr>
        <w:pStyle w:val="ListParagraph"/>
        <w:numPr>
          <w:ilvl w:val="0"/>
          <w:numId w:val="2"/>
        </w:numPr>
        <w:spacing w:after="90" w:line="264"/>
      </w:pPr>
      <w:r>
        <w:rPr>
          <w:color w:val="222222"/>
          <w:sz w:val="21"/>
          <w:szCs w:val="21"/>
        </w:rPr>
        <w:t xml:space="preserve">i3 Smart Labs and dedicated AI labs already used for bootcamp and hackathon training provide a natural proving ground for the agentic-AI components before production rollout.</w:t>
      </w:r>
    </w:p>
    <w:p>
      <w:pPr>
        <w:pStyle w:val="ListParagraph"/>
        <w:numPr>
          <w:ilvl w:val="0"/>
          <w:numId w:val="2"/>
        </w:numPr>
        <w:spacing w:after="90" w:line="264"/>
      </w:pPr>
      <w:r>
        <w:rPr>
          <w:color w:val="222222"/>
          <w:sz w:val="21"/>
          <w:szCs w:val="21"/>
        </w:rPr>
        <w:t xml:space="preserve">An in-progress open-source model lab (IBM Granite, DeepSeek, Kimi K2, Mistral) gives i3 flexibility to run smaller, cost-efficient models for high-volume agent tasks (e.g., lead scoring, content drafting) while reserving frontier models for complex campaign-strategy reasoning.</w:t>
      </w:r>
    </w:p>
    <w:p>
      <w:pPr>
        <w:pStyle w:val="ListParagraph"/>
        <w:numPr>
          <w:ilvl w:val="0"/>
          <w:numId w:val="2"/>
        </w:numPr>
        <w:spacing w:after="90" w:line="264"/>
      </w:pPr>
      <w:r>
        <w:rPr>
          <w:color w:val="222222"/>
          <w:sz w:val="21"/>
          <w:szCs w:val="21"/>
        </w:rPr>
        <w:t xml:space="preserve">A regional office in Accra, Ghana, and a 50-node partner network across 7 countries (South Africa expansion planned) give i3 an existing distribution backbone for the Phase 3–4 regional rollout.</w:t>
      </w:r>
    </w:p>
    <w:p>
      <w:r>
        <w:br w:type="page"/>
      </w:r>
    </w:p>
    <w:p>
      <w:pPr>
        <w:pStyle w:val="Heading1"/>
        <w:pBdr>
          <w:bottom w:val="single" w:color="0E7C7B" w:sz="8" w:space="4"/>
        </w:pBdr>
        <w:spacing w:after="200" w:before="420"/>
      </w:pPr>
      <w:r>
        <w:rPr>
          <w:b/>
          <w:bCs/>
          <w:color w:val="0B2545"/>
          <w:sz w:val="30"/>
          <w:szCs w:val="30"/>
        </w:rPr>
        <w:t xml:space="preserve">13.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5800"/>
      </w:tblGrid>
      <w:tr>
        <w:trPr>
          <w:tblHeader/>
        </w:trPr>
        <w:tc>
          <w:tcPr>
            <w:tcW w:type="dxa" w:w="3550"/>
            <w:shd w:fill="0B2545" w:val="clear"/>
            <w:tcMar>
              <w:top w:type="dxa" w:w="100"/>
              <w:left w:type="dxa" w:w="120"/>
              <w:bottom w:type="dxa" w:w="100"/>
              <w:right w:type="dxa" w:w="120"/>
            </w:tcMar>
            <w:vAlign w:val="center"/>
          </w:tcPr>
          <w:p>
            <w:pPr>
              <w:spacing w:after="0"/>
            </w:pPr>
            <w:r>
              <w:rPr>
                <w:b/>
                <w:bCs/>
                <w:color w:val="FFFFFF"/>
                <w:sz w:val="19"/>
                <w:szCs w:val="19"/>
              </w:rPr>
              <w:t xml:space="preserve">Risk</w:t>
            </w:r>
          </w:p>
        </w:tc>
        <w:tc>
          <w:tcPr>
            <w:tcW w:type="dxa" w:w="5800"/>
            <w:shd w:fill="0B2545" w:val="clear"/>
            <w:tcMar>
              <w:top w:type="dxa" w:w="100"/>
              <w:left w:type="dxa" w:w="120"/>
              <w:bottom w:type="dxa" w:w="100"/>
              <w:right w:type="dxa" w:w="120"/>
            </w:tcMar>
            <w:vAlign w:val="center"/>
          </w:tcPr>
          <w:p>
            <w:pPr>
              <w:spacing w:after="0"/>
            </w:pPr>
            <w:r>
              <w:rPr>
                <w:b/>
                <w:bCs/>
                <w:color w:val="FFFFFF"/>
                <w:sz w:val="19"/>
                <w:szCs w:val="19"/>
              </w:rPr>
              <w:t xml:space="preserve">Mitigation</w:t>
            </w:r>
          </w:p>
        </w:tc>
      </w:tr>
      <w:tr>
        <w:tc>
          <w:tcPr>
            <w:tcW w:type="dxa" w:w="3550"/>
            <w:shd w:fill="FFFFFF" w:val="clear"/>
            <w:tcMar>
              <w:top w:type="dxa" w:w="90"/>
              <w:left w:type="dxa" w:w="120"/>
              <w:bottom w:type="dxa" w:w="90"/>
              <w:right w:type="dxa" w:w="120"/>
            </w:tcMar>
            <w:vAlign w:val="center"/>
          </w:tcPr>
          <w:p>
            <w:pPr>
              <w:spacing w:after="0"/>
            </w:pPr>
            <w:r>
              <w:rPr>
                <w:color w:val="222222"/>
                <w:sz w:val="19"/>
                <w:szCs w:val="19"/>
              </w:rPr>
              <w:t xml:space="preserve">Email/SMS deliverability degradation (spam filters, carrier filtering)</w:t>
            </w:r>
          </w:p>
        </w:tc>
        <w:tc>
          <w:tcPr>
            <w:tcW w:type="dxa" w:w="5800"/>
            <w:shd w:fill="FFFFFF" w:val="clear"/>
            <w:tcMar>
              <w:top w:type="dxa" w:w="90"/>
              <w:left w:type="dxa" w:w="120"/>
              <w:bottom w:type="dxa" w:w="90"/>
              <w:right w:type="dxa" w:w="120"/>
            </w:tcMar>
            <w:vAlign w:val="center"/>
          </w:tcPr>
          <w:p>
            <w:pPr>
              <w:spacing w:after="0"/>
            </w:pPr>
            <w:r>
              <w:rPr>
                <w:color w:val="222222"/>
                <w:sz w:val="19"/>
                <w:szCs w:val="19"/>
              </w:rPr>
              <w:t xml:space="preserve">Separate marketing/transactional IP &amp; domain pools; IP warm-up; feedback-loop registration; dedicated deliverability ownership</w:t>
            </w:r>
          </w:p>
        </w:tc>
      </w:tr>
      <w:tr>
        <w:tc>
          <w:tcPr>
            <w:tcW w:type="dxa" w:w="3550"/>
            <w:shd w:fill="F5F7F5" w:val="clear"/>
            <w:tcMar>
              <w:top w:type="dxa" w:w="90"/>
              <w:left w:type="dxa" w:w="120"/>
              <w:bottom w:type="dxa" w:w="90"/>
              <w:right w:type="dxa" w:w="120"/>
            </w:tcMar>
            <w:vAlign w:val="center"/>
          </w:tcPr>
          <w:p>
            <w:pPr>
              <w:spacing w:after="0"/>
            </w:pPr>
            <w:r>
              <w:rPr>
                <w:color w:val="222222"/>
                <w:sz w:val="19"/>
                <w:szCs w:val="19"/>
              </w:rPr>
              <w:t xml:space="preserve">Regulatory delay (CA CSP/ASP licensing, direct MNO interconnect)</w:t>
            </w:r>
          </w:p>
        </w:tc>
        <w:tc>
          <w:tcPr>
            <w:tcW w:type="dxa" w:w="5800"/>
            <w:shd w:fill="F5F7F5" w:val="clear"/>
            <w:tcMar>
              <w:top w:type="dxa" w:w="90"/>
              <w:left w:type="dxa" w:w="120"/>
              <w:bottom w:type="dxa" w:w="90"/>
              <w:right w:type="dxa" w:w="120"/>
            </w:tcMar>
            <w:vAlign w:val="center"/>
          </w:tcPr>
          <w:p>
            <w:pPr>
              <w:spacing w:after="0"/>
            </w:pPr>
            <w:r>
              <w:rPr>
                <w:color w:val="222222"/>
                <w:sz w:val="19"/>
                <w:szCs w:val="19"/>
              </w:rPr>
              <w:t xml:space="preserve">Launch on aggregator routes in parallel; treat direct interconnect as a destination, not a launch prerequisite</w:t>
            </w:r>
          </w:p>
        </w:tc>
      </w:tr>
      <w:tr>
        <w:tc>
          <w:tcPr>
            <w:tcW w:type="dxa" w:w="3550"/>
            <w:shd w:fill="FFFFFF" w:val="clear"/>
            <w:tcMar>
              <w:top w:type="dxa" w:w="90"/>
              <w:left w:type="dxa" w:w="120"/>
              <w:bottom w:type="dxa" w:w="90"/>
              <w:right w:type="dxa" w:w="120"/>
            </w:tcMar>
            <w:vAlign w:val="center"/>
          </w:tcPr>
          <w:p>
            <w:pPr>
              <w:spacing w:after="0"/>
            </w:pPr>
            <w:r>
              <w:rPr>
                <w:color w:val="222222"/>
                <w:sz w:val="19"/>
                <w:szCs w:val="19"/>
              </w:rPr>
              <w:t xml:space="preserve">Multi-tenant data isolation failure</w:t>
            </w:r>
          </w:p>
        </w:tc>
        <w:tc>
          <w:tcPr>
            <w:tcW w:type="dxa" w:w="5800"/>
            <w:shd w:fill="FFFFFF" w:val="clear"/>
            <w:tcMar>
              <w:top w:type="dxa" w:w="90"/>
              <w:left w:type="dxa" w:w="120"/>
              <w:bottom w:type="dxa" w:w="90"/>
              <w:right w:type="dxa" w:w="120"/>
            </w:tcMar>
            <w:vAlign w:val="center"/>
          </w:tcPr>
          <w:p>
            <w:pPr>
              <w:spacing w:after="0"/>
            </w:pPr>
            <w:r>
              <w:rPr>
                <w:color w:val="222222"/>
                <w:sz w:val="19"/>
                <w:szCs w:val="19"/>
              </w:rPr>
              <w:t xml:space="preserve">Enforce tenant isolation at both service and database layers from day one; regular isolation testing</w:t>
            </w:r>
          </w:p>
        </w:tc>
      </w:tr>
      <w:tr>
        <w:tc>
          <w:tcPr>
            <w:tcW w:type="dxa" w:w="3550"/>
            <w:shd w:fill="F5F7F5" w:val="clear"/>
            <w:tcMar>
              <w:top w:type="dxa" w:w="90"/>
              <w:left w:type="dxa" w:w="120"/>
              <w:bottom w:type="dxa" w:w="90"/>
              <w:right w:type="dxa" w:w="120"/>
            </w:tcMar>
            <w:vAlign w:val="center"/>
          </w:tcPr>
          <w:p>
            <w:pPr>
              <w:spacing w:after="0"/>
            </w:pPr>
            <w:r>
              <w:rPr>
                <w:color w:val="222222"/>
                <w:sz w:val="19"/>
                <w:szCs w:val="19"/>
              </w:rPr>
              <w:t xml:space="preserve">Payment reconciliation errors (Daraja/Paystack webhook loss)</w:t>
            </w:r>
          </w:p>
        </w:tc>
        <w:tc>
          <w:tcPr>
            <w:tcW w:type="dxa" w:w="5800"/>
            <w:shd w:fill="F5F7F5" w:val="clear"/>
            <w:tcMar>
              <w:top w:type="dxa" w:w="90"/>
              <w:left w:type="dxa" w:w="120"/>
              <w:bottom w:type="dxa" w:w="90"/>
              <w:right w:type="dxa" w:w="120"/>
            </w:tcMar>
            <w:vAlign w:val="center"/>
          </w:tcPr>
          <w:p>
            <w:pPr>
              <w:spacing w:after="0"/>
            </w:pPr>
            <w:r>
              <w:rPr>
                <w:color w:val="222222"/>
                <w:sz w:val="19"/>
                <w:szCs w:val="19"/>
              </w:rPr>
              <w:t xml:space="preserve">Immutable transaction ledger, scheduled reconciliation jobs, idempotent webhook handling, manual-reconciliation dashboard</w:t>
            </w:r>
          </w:p>
        </w:tc>
      </w:tr>
      <w:tr>
        <w:tc>
          <w:tcPr>
            <w:tcW w:type="dxa" w:w="3550"/>
            <w:shd w:fill="FFFFFF" w:val="clear"/>
            <w:tcMar>
              <w:top w:type="dxa" w:w="90"/>
              <w:left w:type="dxa" w:w="120"/>
              <w:bottom w:type="dxa" w:w="90"/>
              <w:right w:type="dxa" w:w="120"/>
            </w:tcMar>
            <w:vAlign w:val="center"/>
          </w:tcPr>
          <w:p>
            <w:pPr>
              <w:spacing w:after="0"/>
            </w:pPr>
            <w:r>
              <w:rPr>
                <w:color w:val="222222"/>
                <w:sz w:val="19"/>
                <w:szCs w:val="19"/>
              </w:rPr>
              <w:t xml:space="preserve">Open-source licence exposure in a commercial white-label SaaS (e.g., AGPLv3 components)</w:t>
            </w:r>
          </w:p>
        </w:tc>
        <w:tc>
          <w:tcPr>
            <w:tcW w:type="dxa" w:w="5800"/>
            <w:shd w:fill="FFFFFF" w:val="clear"/>
            <w:tcMar>
              <w:top w:type="dxa" w:w="90"/>
              <w:left w:type="dxa" w:w="120"/>
              <w:bottom w:type="dxa" w:w="90"/>
              <w:right w:type="dxa" w:w="120"/>
            </w:tcMar>
            <w:vAlign w:val="center"/>
          </w:tcPr>
          <w:p>
            <w:pPr>
              <w:spacing w:after="0"/>
            </w:pPr>
            <w:r>
              <w:rPr>
                <w:color w:val="222222"/>
                <w:sz w:val="19"/>
                <w:szCs w:val="19"/>
              </w:rPr>
              <w:t xml:space="preserve">Legal/licensing review before embedding; prefer API-level integration over modifying AGPL codebases where white-labelling is planned</w:t>
            </w:r>
          </w:p>
        </w:tc>
      </w:tr>
      <w:tr>
        <w:tc>
          <w:tcPr>
            <w:tcW w:type="dxa" w:w="3550"/>
            <w:shd w:fill="F5F7F5" w:val="clear"/>
            <w:tcMar>
              <w:top w:type="dxa" w:w="90"/>
              <w:left w:type="dxa" w:w="120"/>
              <w:bottom w:type="dxa" w:w="90"/>
              <w:right w:type="dxa" w:w="120"/>
            </w:tcMar>
            <w:vAlign w:val="center"/>
          </w:tcPr>
          <w:p>
            <w:pPr>
              <w:spacing w:after="0"/>
            </w:pPr>
            <w:r>
              <w:rPr>
                <w:color w:val="222222"/>
                <w:sz w:val="19"/>
                <w:szCs w:val="19"/>
              </w:rPr>
              <w:t xml:space="preserve">Over-reliance on a single carrier/aggregator/payment processor</w:t>
            </w:r>
          </w:p>
        </w:tc>
        <w:tc>
          <w:tcPr>
            <w:tcW w:type="dxa" w:w="5800"/>
            <w:shd w:fill="F5F7F5" w:val="clear"/>
            <w:tcMar>
              <w:top w:type="dxa" w:w="90"/>
              <w:left w:type="dxa" w:w="120"/>
              <w:bottom w:type="dxa" w:w="90"/>
              <w:right w:type="dxa" w:w="120"/>
            </w:tcMar>
            <w:vAlign w:val="center"/>
          </w:tcPr>
          <w:p>
            <w:pPr>
              <w:spacing w:after="0"/>
            </w:pPr>
            <w:r>
              <w:rPr>
                <w:color w:val="222222"/>
                <w:sz w:val="19"/>
                <w:szCs w:val="19"/>
              </w:rPr>
              <w:t xml:space="preserve">Provider-abstraction layer for SMS, Email, and Payments from day one</w:t>
            </w:r>
          </w:p>
        </w:tc>
      </w:tr>
      <w:tr>
        <w:tc>
          <w:tcPr>
            <w:tcW w:type="dxa" w:w="3550"/>
            <w:shd w:fill="FFFFFF" w:val="clear"/>
            <w:tcMar>
              <w:top w:type="dxa" w:w="90"/>
              <w:left w:type="dxa" w:w="120"/>
              <w:bottom w:type="dxa" w:w="90"/>
              <w:right w:type="dxa" w:w="120"/>
            </w:tcMar>
            <w:vAlign w:val="center"/>
          </w:tcPr>
          <w:p>
            <w:pPr>
              <w:spacing w:after="0"/>
            </w:pPr>
            <w:r>
              <w:rPr>
                <w:color w:val="222222"/>
                <w:sz w:val="19"/>
                <w:szCs w:val="19"/>
              </w:rPr>
              <w:t xml:space="preserve">AI agent over-reach (unsupervised mass messaging or data exposure)</w:t>
            </w:r>
          </w:p>
        </w:tc>
        <w:tc>
          <w:tcPr>
            <w:tcW w:type="dxa" w:w="5800"/>
            <w:shd w:fill="FFFFFF" w:val="clear"/>
            <w:tcMar>
              <w:top w:type="dxa" w:w="90"/>
              <w:left w:type="dxa" w:w="120"/>
              <w:bottom w:type="dxa" w:w="90"/>
              <w:right w:type="dxa" w:w="120"/>
            </w:tcMar>
            <w:vAlign w:val="center"/>
          </w:tcPr>
          <w:p>
            <w:pPr>
              <w:spacing w:after="0"/>
            </w:pPr>
            <w:r>
              <w:rPr>
                <w:color w:val="222222"/>
                <w:sz w:val="19"/>
                <w:szCs w:val="19"/>
              </w:rPr>
              <w:t xml:space="preserve">Mandatory human-approval gates and a Compliance Agent pre-send check on every campaign; full agent audit logging</w:t>
            </w:r>
          </w:p>
        </w:tc>
      </w:tr>
      <w:tr>
        <w:tc>
          <w:tcPr>
            <w:tcW w:type="dxa" w:w="3550"/>
            <w:shd w:fill="F5F7F5" w:val="clear"/>
            <w:tcMar>
              <w:top w:type="dxa" w:w="90"/>
              <w:left w:type="dxa" w:w="120"/>
              <w:bottom w:type="dxa" w:w="90"/>
              <w:right w:type="dxa" w:w="120"/>
            </w:tcMar>
            <w:vAlign w:val="center"/>
          </w:tcPr>
          <w:p>
            <w:pPr>
              <w:spacing w:after="0"/>
            </w:pPr>
            <w:r>
              <w:rPr>
                <w:color w:val="222222"/>
                <w:sz w:val="19"/>
                <w:szCs w:val="19"/>
              </w:rPr>
              <w:t xml:space="preserve">Underestimating operational load of running messaging infrastructure</w:t>
            </w:r>
          </w:p>
        </w:tc>
        <w:tc>
          <w:tcPr>
            <w:tcW w:type="dxa" w:w="5800"/>
            <w:shd w:fill="F5F7F5" w:val="clear"/>
            <w:tcMar>
              <w:top w:type="dxa" w:w="90"/>
              <w:left w:type="dxa" w:w="120"/>
              <w:bottom w:type="dxa" w:w="90"/>
              <w:right w:type="dxa" w:w="120"/>
            </w:tcMar>
            <w:vAlign w:val="center"/>
          </w:tcPr>
          <w:p>
            <w:pPr>
              <w:spacing w:after="0"/>
            </w:pPr>
            <w:r>
              <w:rPr>
                <w:color w:val="222222"/>
                <w:sz w:val="19"/>
                <w:szCs w:val="19"/>
              </w:rPr>
              <w:t xml:space="preserve">Phase 1–2 on managed/aggregator components; bring gateway operations in-house only once volume and team capacity justify it</w:t>
            </w:r>
          </w:p>
        </w:tc>
      </w:tr>
    </w:tbl>
    <w:p>
      <w:pPr>
        <w:spacing w:after="120"/>
      </w:pPr>
    </w:p>
    <w:p>
      <w:pPr>
        <w:pStyle w:val="Heading1"/>
        <w:pBdr>
          <w:bottom w:val="single" w:color="0E7C7B" w:sz="8" w:space="4"/>
        </w:pBdr>
        <w:spacing w:after="200" w:before="420"/>
      </w:pPr>
      <w:r>
        <w:rPr>
          <w:b/>
          <w:bCs/>
          <w:color w:val="0B2545"/>
          <w:sz w:val="30"/>
          <w:szCs w:val="30"/>
        </w:rPr>
        <w:t xml:space="preserve">14. Illustrative Financial Framing</w:t>
      </w:r>
    </w:p>
    <w:p>
      <w:pPr>
        <w:spacing w:after="160" w:line="276"/>
      </w:pPr>
      <w:r>
        <w:rPr>
          <w:color w:val="222222"/>
          <w:sz w:val="21"/>
          <w:szCs w:val="21"/>
        </w:rPr>
        <w:t xml:space="preserve">The figures below are illustrative planning inputs only, intended to frame investment sizing and unit-economics discussions — not a forecast. They should be replaced with i3's own costed model once carrier, ESP, and payment-processor commercial terms are finalised.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tblHeader/>
        </w:trPr>
        <w:tc>
          <w:tcPr>
            <w:tcW w:type="dxa" w:w="3350"/>
            <w:shd w:fill="0B2545" w:val="clear"/>
            <w:tcMar>
              <w:top w:type="dxa" w:w="100"/>
              <w:left w:type="dxa" w:w="120"/>
              <w:bottom w:type="dxa" w:w="100"/>
              <w:right w:type="dxa" w:w="120"/>
            </w:tcMar>
            <w:vAlign w:val="center"/>
          </w:tcPr>
          <w:p>
            <w:pPr>
              <w:spacing w:after="0"/>
            </w:pPr>
            <w:r>
              <w:rPr>
                <w:b/>
                <w:bCs/>
                <w:color w:val="FFFFFF"/>
                <w:sz w:val="19"/>
                <w:szCs w:val="19"/>
              </w:rPr>
              <w:t xml:space="preserve">Driver</w:t>
            </w:r>
          </w:p>
        </w:tc>
        <w:tc>
          <w:tcPr>
            <w:tcW w:type="dxa" w:w="6000"/>
            <w:shd w:fill="0B2545" w:val="clear"/>
            <w:tcMar>
              <w:top w:type="dxa" w:w="100"/>
              <w:left w:type="dxa" w:w="120"/>
              <w:bottom w:type="dxa" w:w="100"/>
              <w:right w:type="dxa" w:w="120"/>
            </w:tcMar>
            <w:vAlign w:val="center"/>
          </w:tcPr>
          <w:p>
            <w:pPr>
              <w:spacing w:after="0"/>
            </w:pPr>
            <w:r>
              <w:rPr>
                <w:b/>
                <w:bCs/>
                <w:color w:val="FFFFFF"/>
                <w:sz w:val="19"/>
                <w:szCs w:val="19"/>
              </w:rPr>
              <w:t xml:space="preserve">Illustrative assumption</w:t>
            </w:r>
          </w:p>
        </w:tc>
      </w:tr>
      <w:tr>
        <w:tc>
          <w:tcPr>
            <w:tcW w:type="dxa" w:w="3350"/>
            <w:shd w:fill="FFFFFF" w:val="clear"/>
            <w:tcMar>
              <w:top w:type="dxa" w:w="90"/>
              <w:left w:type="dxa" w:w="120"/>
              <w:bottom w:type="dxa" w:w="90"/>
              <w:right w:type="dxa" w:w="120"/>
            </w:tcMar>
            <w:vAlign w:val="center"/>
          </w:tcPr>
          <w:p>
            <w:pPr>
              <w:spacing w:after="0"/>
            </w:pPr>
            <w:r>
              <w:rPr>
                <w:color w:val="222222"/>
                <w:sz w:val="19"/>
                <w:szCs w:val="19"/>
              </w:rPr>
              <w:t xml:space="preserve">SMS wholesale-to-retail spread</w:t>
            </w:r>
          </w:p>
        </w:tc>
        <w:tc>
          <w:tcPr>
            <w:tcW w:type="dxa" w:w="6000"/>
            <w:shd w:fill="FFFFFF" w:val="clear"/>
            <w:tcMar>
              <w:top w:type="dxa" w:w="90"/>
              <w:left w:type="dxa" w:w="120"/>
              <w:bottom w:type="dxa" w:w="90"/>
              <w:right w:type="dxa" w:w="120"/>
            </w:tcMar>
            <w:vAlign w:val="center"/>
          </w:tcPr>
          <w:p>
            <w:pPr>
              <w:spacing w:after="0"/>
            </w:pPr>
            <w:r>
              <w:rPr>
                <w:color w:val="222222"/>
                <w:sz w:val="19"/>
                <w:szCs w:val="19"/>
              </w:rPr>
              <w:t xml:space="preserve">Carrier cost → i3 wholesale → agency rate → retail rate, each layer adding margin (actual rates per negotiated agreements)</w:t>
            </w:r>
          </w:p>
        </w:tc>
      </w:tr>
      <w:tr>
        <w:tc>
          <w:tcPr>
            <w:tcW w:type="dxa" w:w="3350"/>
            <w:shd w:fill="F5F7F5" w:val="clear"/>
            <w:tcMar>
              <w:top w:type="dxa" w:w="90"/>
              <w:left w:type="dxa" w:w="120"/>
              <w:bottom w:type="dxa" w:w="90"/>
              <w:right w:type="dxa" w:w="120"/>
            </w:tcMar>
            <w:vAlign w:val="center"/>
          </w:tcPr>
          <w:p>
            <w:pPr>
              <w:spacing w:after="0"/>
            </w:pPr>
            <w:r>
              <w:rPr>
                <w:color w:val="222222"/>
                <w:sz w:val="19"/>
                <w:szCs w:val="19"/>
              </w:rPr>
              <w:t xml:space="preserve">Payment processing margin</w:t>
            </w:r>
          </w:p>
        </w:tc>
        <w:tc>
          <w:tcPr>
            <w:tcW w:type="dxa" w:w="6000"/>
            <w:shd w:fill="F5F7F5" w:val="clear"/>
            <w:tcMar>
              <w:top w:type="dxa" w:w="90"/>
              <w:left w:type="dxa" w:w="120"/>
              <w:bottom w:type="dxa" w:w="90"/>
              <w:right w:type="dxa" w:w="120"/>
            </w:tcMar>
            <w:vAlign w:val="center"/>
          </w:tcPr>
          <w:p>
            <w:pPr>
              <w:spacing w:after="0"/>
            </w:pPr>
            <w:r>
              <w:rPr>
                <w:color w:val="222222"/>
                <w:sz w:val="19"/>
                <w:szCs w:val="19"/>
              </w:rPr>
              <w:t xml:space="preserve">Small convenience margin on top of Daraja/Paystack pass-through fees</w:t>
            </w:r>
          </w:p>
        </w:tc>
      </w:tr>
      <w:tr>
        <w:tc>
          <w:tcPr>
            <w:tcW w:type="dxa" w:w="3350"/>
            <w:shd w:fill="FFFFFF" w:val="clear"/>
            <w:tcMar>
              <w:top w:type="dxa" w:w="90"/>
              <w:left w:type="dxa" w:w="120"/>
              <w:bottom w:type="dxa" w:w="90"/>
              <w:right w:type="dxa" w:w="120"/>
            </w:tcMar>
            <w:vAlign w:val="center"/>
          </w:tcPr>
          <w:p>
            <w:pPr>
              <w:spacing w:after="0"/>
            </w:pPr>
            <w:r>
              <w:rPr>
                <w:color w:val="222222"/>
                <w:sz w:val="19"/>
                <w:szCs w:val="19"/>
              </w:rPr>
              <w:t xml:space="preserve">Target Phase 1 tenants</w:t>
            </w:r>
          </w:p>
        </w:tc>
        <w:tc>
          <w:tcPr>
            <w:tcW w:type="dxa" w:w="6000"/>
            <w:shd w:fill="FFFFFF" w:val="clear"/>
            <w:tcMar>
              <w:top w:type="dxa" w:w="90"/>
              <w:left w:type="dxa" w:w="120"/>
              <w:bottom w:type="dxa" w:w="90"/>
              <w:right w:type="dxa" w:w="120"/>
            </w:tcMar>
            <w:vAlign w:val="center"/>
          </w:tcPr>
          <w:p>
            <w:pPr>
              <w:spacing w:after="0"/>
            </w:pPr>
            <w:r>
              <w:rPr>
                <w:color w:val="222222"/>
                <w:sz w:val="19"/>
                <w:szCs w:val="19"/>
              </w:rPr>
              <w:t xml:space="preserve">10–20 commercial tenants (Kenya) within first 6 months, alongside internal i3 Academy/AI HALISI use</w:t>
            </w:r>
          </w:p>
        </w:tc>
      </w:tr>
      <w:tr>
        <w:tc>
          <w:tcPr>
            <w:tcW w:type="dxa" w:w="3350"/>
            <w:shd w:fill="F5F7F5" w:val="clear"/>
            <w:tcMar>
              <w:top w:type="dxa" w:w="90"/>
              <w:left w:type="dxa" w:w="120"/>
              <w:bottom w:type="dxa" w:w="90"/>
              <w:right w:type="dxa" w:w="120"/>
            </w:tcMar>
            <w:vAlign w:val="center"/>
          </w:tcPr>
          <w:p>
            <w:pPr>
              <w:spacing w:after="0"/>
            </w:pPr>
            <w:r>
              <w:rPr>
                <w:color w:val="222222"/>
                <w:sz w:val="19"/>
                <w:szCs w:val="19"/>
              </w:rPr>
              <w:t xml:space="preserve">Break-even volume for direct MNO interconnect</w:t>
            </w:r>
          </w:p>
        </w:tc>
        <w:tc>
          <w:tcPr>
            <w:tcW w:type="dxa" w:w="6000"/>
            <w:shd w:fill="F5F7F5" w:val="clear"/>
            <w:tcMar>
              <w:top w:type="dxa" w:w="90"/>
              <w:left w:type="dxa" w:w="120"/>
              <w:bottom w:type="dxa" w:w="90"/>
              <w:right w:type="dxa" w:w="120"/>
            </w:tcMar>
            <w:vAlign w:val="center"/>
          </w:tcPr>
          <w:p>
            <w:pPr>
              <w:spacing w:after="0"/>
            </w:pPr>
            <w:r>
              <w:rPr>
                <w:color w:val="222222"/>
                <w:sz w:val="19"/>
                <w:szCs w:val="19"/>
              </w:rPr>
              <w:t xml:space="preserve">Direct interconnect becomes cost-competitive at meaningfully higher monthly SMS volumes than aggregator routing — to be modelled against actual Safaricom/Airtel commercial terms</w:t>
            </w:r>
          </w:p>
        </w:tc>
      </w:tr>
    </w:tbl>
    <w:p>
      <w:pPr>
        <w:spacing w:after="120"/>
      </w:pPr>
    </w:p>
    <w:p>
      <w:r>
        <w:br w:type="page"/>
      </w:r>
    </w:p>
    <w:p>
      <w:pPr>
        <w:pStyle w:val="Heading1"/>
        <w:pBdr>
          <w:bottom w:val="single" w:color="0E7C7B" w:sz="8" w:space="4"/>
        </w:pBdr>
        <w:spacing w:after="200" w:before="420"/>
      </w:pPr>
      <w:r>
        <w:rPr>
          <w:b/>
          <w:bCs/>
          <w:color w:val="0B2545"/>
          <w:sz w:val="30"/>
          <w:szCs w:val="30"/>
        </w:rPr>
        <w:t xml:space="preserve">15. Next Steps &amp; Recommendations</w:t>
      </w:r>
    </w:p>
    <w:p>
      <w:pPr>
        <w:pStyle w:val="ListParagraph"/>
        <w:numPr>
          <w:ilvl w:val="0"/>
          <w:numId w:val="3"/>
        </w:numPr>
        <w:spacing w:after="100" w:line="264"/>
      </w:pPr>
      <w:r>
        <w:rPr>
          <w:sz w:val="21"/>
          <w:szCs w:val="21"/>
        </w:rPr>
        <w:t xml:space="preserve">Approve the “one platform, not three products” architecture and the i3 Engage Cloud product identity.</w:t>
      </w:r>
    </w:p>
    <w:p>
      <w:pPr>
        <w:pStyle w:val="ListParagraph"/>
        <w:numPr>
          <w:ilvl w:val="0"/>
          <w:numId w:val="3"/>
        </w:numPr>
        <w:spacing w:after="100" w:line="264"/>
      </w:pPr>
      <w:r>
        <w:rPr>
          <w:sz w:val="21"/>
          <w:szCs w:val="21"/>
        </w:rPr>
        <w:t xml:space="preserve">Stand up the Phase 1 OpenShift/IBM Cloud foundation and deploy the open-source core (Jasmin, Postal, Mautic/Dittofeed, Twenty/EspoCRM) in a development namespace.</w:t>
      </w:r>
    </w:p>
    <w:p>
      <w:pPr>
        <w:pStyle w:val="ListParagraph"/>
        <w:numPr>
          <w:ilvl w:val="0"/>
          <w:numId w:val="3"/>
        </w:numPr>
        <w:spacing w:after="100" w:line="264"/>
      </w:pPr>
      <w:r>
        <w:rPr>
          <w:sz w:val="21"/>
          <w:szCs w:val="21"/>
        </w:rPr>
        <w:t xml:space="preserve">Sign an aggregator agreement (e.g., Africa's Talking) for immediate SMS capability while the CA CSP/ASP licence application proceeds.</w:t>
      </w:r>
    </w:p>
    <w:p>
      <w:pPr>
        <w:pStyle w:val="ListParagraph"/>
        <w:numPr>
          <w:ilvl w:val="0"/>
          <w:numId w:val="3"/>
        </w:numPr>
        <w:spacing w:after="100" w:line="264"/>
      </w:pPr>
      <w:r>
        <w:rPr>
          <w:sz w:val="21"/>
          <w:szCs w:val="21"/>
        </w:rPr>
        <w:t xml:space="preserve">Register Safaricom Daraja sandbox credentials and a Paystack test account; build the unified Payments Service and validate STK Push, C2B, and card checkout end-to-end.</w:t>
      </w:r>
    </w:p>
    <w:p>
      <w:pPr>
        <w:pStyle w:val="ListParagraph"/>
        <w:numPr>
          <w:ilvl w:val="0"/>
          <w:numId w:val="3"/>
        </w:numPr>
        <w:spacing w:after="100" w:line="264"/>
      </w:pPr>
      <w:r>
        <w:rPr>
          <w:sz w:val="21"/>
          <w:szCs w:val="21"/>
        </w:rPr>
        <w:t xml:space="preserve">Engage legal/licensing counsel on open-source licence terms (AGPLv3 components in particular) before any commercial white-labelling.</w:t>
      </w:r>
    </w:p>
    <w:p>
      <w:pPr>
        <w:pStyle w:val="ListParagraph"/>
        <w:numPr>
          <w:ilvl w:val="0"/>
          <w:numId w:val="3"/>
        </w:numPr>
        <w:spacing w:after="100" w:line="264"/>
      </w:pPr>
      <w:r>
        <w:rPr>
          <w:sz w:val="21"/>
          <w:szCs w:val="21"/>
        </w:rPr>
        <w:t xml:space="preserve">Select and onboard 3–5 anchor Kenyan digital/social agencies as the first Agency-tier reseller cohort.</w:t>
      </w:r>
    </w:p>
    <w:p>
      <w:pPr>
        <w:pStyle w:val="ListParagraph"/>
        <w:numPr>
          <w:ilvl w:val="0"/>
          <w:numId w:val="3"/>
        </w:numPr>
        <w:spacing w:after="100" w:line="264"/>
      </w:pPr>
      <w:r>
        <w:rPr>
          <w:sz w:val="21"/>
          <w:szCs w:val="21"/>
        </w:rPr>
        <w:t xml:space="preserve">Define the initial Agentic AI agent set (Campaign Strategy, Content, Compliance) and pilot on i3's own AI HALISI and i3 Academy campaigns before opening to external tenants.</w:t>
      </w:r>
    </w:p>
    <w:p>
      <w:pPr>
        <w:pStyle w:val="ListParagraph"/>
        <w:numPr>
          <w:ilvl w:val="0"/>
          <w:numId w:val="3"/>
        </w:numPr>
        <w:spacing w:after="100" w:line="264"/>
      </w:pPr>
      <w:r>
        <w:rPr>
          <w:sz w:val="21"/>
          <w:szCs w:val="21"/>
        </w:rPr>
        <w:t xml:space="preserve">Begin parallel-track discussions with Safaricom and Airtel on direct SMPP interconnect terms, timed against Phase 2–3 volume targets.</w:t>
      </w:r>
    </w:p>
    <w:p>
      <w:pPr>
        <w:pStyle w:val="ListParagraph"/>
        <w:numPr>
          <w:ilvl w:val="0"/>
          <w:numId w:val="3"/>
        </w:numPr>
        <w:spacing w:after="100" w:line="264"/>
      </w:pPr>
      <w:r>
        <w:rPr>
          <w:sz w:val="21"/>
          <w:szCs w:val="21"/>
        </w:rPr>
        <w:t xml:space="preserve">Prepare the Ghana (Accra office) and wider partner-node rollout plan for Phase 3–4, including Paystack multi-country billing.</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5E0CC" w:sz="2"/>
              <w:left w:val="single" w:color="0B2545" w:sz="24"/>
              <w:bottom w:val="single" w:color="E5E0CC" w:sz="2"/>
              <w:right w:val="single" w:color="E5E0CC" w:sz="2"/>
            </w:tcBorders>
            <w:shd w:fill="FBF8EE" w:val="clear"/>
            <w:tcMar>
              <w:top w:type="dxa" w:w="160"/>
              <w:left w:type="dxa" w:w="220"/>
              <w:bottom w:type="dxa" w:w="160"/>
              <w:right w:type="dxa" w:w="220"/>
            </w:tcMar>
          </w:tcPr>
          <w:p>
            <w:pPr>
              <w:spacing w:after="60"/>
            </w:pPr>
            <w:r>
              <w:rPr>
                <w:b/>
                <w:bCs/>
                <w:color w:val="0B2545"/>
                <w:sz w:val="21"/>
                <w:szCs w:val="21"/>
              </w:rPr>
              <w:t xml:space="preserve">Recommended immediate owner</w:t>
            </w:r>
          </w:p>
          <w:p>
            <w:pPr>
              <w:spacing w:after="0"/>
            </w:pPr>
            <w:r>
              <w:rPr>
                <w:color w:val="333333"/>
                <w:sz w:val="20"/>
                <w:szCs w:val="20"/>
              </w:rPr>
              <w:t xml:space="preserve">A cross-functional squad reporting to the CEO's office — combining i3's CRM/Automation, LLM/Agentic AI, Hybrid Cloud, and Red Hat leads — should own the Phase 1 build, with regulatory/telco and payments workstreams run in parallel rather than sequentially.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5"/>
        <w:szCs w:val="15"/>
      </w:rPr>
      <w:t xml:space="preserve">i3 Technologies · Nairobi, Kenya · Page </w:t>
    </w:r>
    <w:r>
      <w:rPr>
        <w:color w:val="5B6472"/>
        <w:sz w:val="15"/>
        <w:szCs w:val="15"/>
      </w:rPr>
      <w:fldChar w:fldCharType="begin"/>
      <w:instrText xml:space="preserve">PAGE</w:instrText>
      <w:fldChar w:fldCharType="separate"/>
      <w:fldChar w:fldCharType="end"/>
    </w:r>
    <w:r>
      <w:rPr>
        <w:color w:val="5B6472"/>
        <w:sz w:val="15"/>
        <w:szCs w:val="15"/>
      </w:rPr>
      <w:t xml:space="preserve"> of </w:t>
    </w:r>
    <w:r>
      <w:rPr>
        <w:color w:val="5B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B6472"/>
        <w:sz w:val="15"/>
        <w:szCs w:val="15"/>
      </w:rPr>
      <w:t xml:space="preserve">i3 Engage Cloud — Solution &amp; GTM Strategy</w:t>
    </w:r>
    <w:r>
      <w:rPr>
        <w:color w:val="5B6472"/>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B2545"/>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13315C"/>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0E7C7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2026-09-10T04:29:15.459Z</dcterms:created>
  <dcterms:modified xsi:type="dcterms:W3CDTF">2026-09-10T04:29:15.459Z</dcterms:modified>
</cp:coreProperties>
</file>

<file path=docProps/custom.xml><?xml version="1.0" encoding="utf-8"?>
<Properties xmlns="http://schemas.openxmlformats.org/officeDocument/2006/custom-properties" xmlns:vt="http://schemas.openxmlformats.org/officeDocument/2006/docPropsVTypes"/>
</file>