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b/>
          <w:bCs/>
          <w:color w:val="0B1F3A"/>
          <w:sz w:val="30"/>
          <w:szCs w:val="30"/>
        </w:rPr>
        <w:t xml:space="preserve">i3 TECHNOLOGIES LTD</w:t>
      </w:r>
    </w:p>
    <w:p>
      <w:pPr>
        <w:spacing w:after="400"/>
        <w:jc w:val="center"/>
      </w:pPr>
      <w:r>
        <w:rPr>
          <w:i/>
          <w:iCs/>
          <w:color w:val="57606A"/>
          <w:sz w:val="18"/>
          <w:szCs w:val="18"/>
        </w:rPr>
        <w:t xml:space="preserve">Instrumented Interconnected &amp; Intelligent Technologies Limited</w:t>
      </w:r>
    </w:p>
    <w:p>
      <w:pPr>
        <w:pBdr>
          <w:bottom w:val="single" w:color="C9A227" w:sz="18" w:space="10"/>
        </w:pBdr>
        <w:spacing w:after="300"/>
      </w:pPr>
    </w:p>
    <w:p>
      <w:pPr>
        <w:spacing w:after="120"/>
        <w:jc w:val="center"/>
      </w:pPr>
      <w:r>
        <w:rPr>
          <w:b/>
          <w:bCs/>
          <w:color w:val="C9A227"/>
          <w:sz w:val="26"/>
          <w:szCs w:val="26"/>
        </w:rPr>
        <w:t xml:space="preserve">TECHNICAL IMPLEMENTATION GUIDE</w:t>
      </w:r>
    </w:p>
    <w:p>
      <w:pPr>
        <w:spacing w:after="60"/>
        <w:jc w:val="center"/>
      </w:pPr>
      <w:r>
        <w:rPr>
          <w:b/>
          <w:bCs/>
          <w:color w:val="0B1F3A"/>
          <w:sz w:val="40"/>
          <w:szCs w:val="40"/>
        </w:rPr>
        <w:t xml:space="preserve">Secure Blockchain Nomination System</w:t>
      </w:r>
    </w:p>
    <w:p>
      <w:pPr>
        <w:spacing w:after="60"/>
        <w:jc w:val="center"/>
      </w:pPr>
      <w:r>
        <w:rPr>
          <w:color w:val="57606A"/>
          <w:sz w:val="24"/>
          <w:szCs w:val="24"/>
        </w:rPr>
        <w:t xml:space="preserve">&amp;</w:t>
      </w:r>
    </w:p>
    <w:p>
      <w:pPr>
        <w:spacing w:after="500"/>
        <w:jc w:val="center"/>
      </w:pPr>
      <w:r>
        <w:rPr>
          <w:b/>
          <w:bCs/>
          <w:color w:val="0B1F3A"/>
          <w:sz w:val="32"/>
          <w:szCs w:val="32"/>
        </w:rPr>
        <w:t xml:space="preserve">i3 Engage Recruitment Drive Integration</w:t>
      </w:r>
    </w:p>
    <w:p>
      <w:pPr>
        <w:spacing w:after="40"/>
        <w:jc w:val="center"/>
      </w:pPr>
      <w:r>
        <w:rPr>
          <w:color w:val="57606A"/>
          <w:sz w:val="20"/>
          <w:szCs w:val="20"/>
        </w:rPr>
        <w:t xml:space="preserve">Prepared for: PMaaS Country-Wide Party Nominations, 2027 General Election</w:t>
      </w:r>
    </w:p>
    <w:p>
      <w:pPr>
        <w:spacing w:after="700"/>
        <w:jc w:val="center"/>
      </w:pPr>
      <w:r>
        <w:rPr>
          <w:color w:val="57606A"/>
          <w:sz w:val="20"/>
          <w:szCs w:val="20"/>
        </w:rPr>
        <w:t xml:space="preserve">Client: FORD-Asili (Forum for Republican Democracy–Asili)</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shd w:fill="F5EFDD" w:val="clear"/>
            <w:tcMar>
              <w:top w:type="dxa" w:w="90"/>
              <w:left w:type="dxa" w:w="110"/>
              <w:bottom w:type="dxa" w:w="90"/>
              <w:right w:type="dxa" w:w="110"/>
            </w:tcMar>
            <w:vAlign w:val="center"/>
          </w:tcPr>
          <w:p>
            <w:pPr>
              <w:jc w:val="left"/>
            </w:pPr>
            <w:r>
              <w:rPr>
                <w:b/>
                <w:bCs/>
                <w:color w:val="0B1F3A"/>
                <w:sz w:val="20"/>
                <w:szCs w:val="20"/>
              </w:rPr>
              <w:t xml:space="preserve">Document class</w:t>
            </w:r>
          </w:p>
        </w:tc>
        <w:tc>
          <w:tcPr>
            <w:tcW w:type="dxa" w:w="3800"/>
            <w:tcMar>
              <w:top w:type="dxa" w:w="90"/>
              <w:left w:type="dxa" w:w="110"/>
              <w:bottom w:type="dxa" w:w="90"/>
              <w:right w:type="dxa" w:w="110"/>
            </w:tcMar>
            <w:vAlign w:val="center"/>
          </w:tcPr>
          <w:p>
            <w:pPr>
              <w:jc w:val="left"/>
            </w:pPr>
            <w:r>
              <w:rPr>
                <w:b w:val="false"/>
                <w:bCs w:val="false"/>
                <w:color w:val="1f2328"/>
                <w:sz w:val="20"/>
                <w:szCs w:val="20"/>
              </w:rPr>
              <w:t xml:space="preserve">Confidential — Internal i3 Technical Teams</w:t>
            </w:r>
          </w:p>
        </w:tc>
      </w:tr>
      <w:tr>
        <w:tc>
          <w:tcPr>
            <w:tcW w:type="dxa" w:w="2400"/>
            <w:shd w:fill="F5EFDD" w:val="clear"/>
            <w:tcMar>
              <w:top w:type="dxa" w:w="90"/>
              <w:left w:type="dxa" w:w="110"/>
              <w:bottom w:type="dxa" w:w="90"/>
              <w:right w:type="dxa" w:w="110"/>
            </w:tcMar>
            <w:vAlign w:val="center"/>
          </w:tcPr>
          <w:p>
            <w:pPr>
              <w:jc w:val="left"/>
            </w:pPr>
            <w:r>
              <w:rPr>
                <w:b/>
                <w:bCs/>
                <w:color w:val="0B1F3A"/>
                <w:sz w:val="20"/>
                <w:szCs w:val="20"/>
              </w:rPr>
              <w:t xml:space="preserve">Engagement</w:t>
            </w:r>
          </w:p>
        </w:tc>
        <w:tc>
          <w:tcPr>
            <w:tcW w:type="dxa" w:w="3800"/>
            <w:tcMar>
              <w:top w:type="dxa" w:w="90"/>
              <w:left w:type="dxa" w:w="110"/>
              <w:bottom w:type="dxa" w:w="90"/>
              <w:right w:type="dxa" w:w="110"/>
            </w:tcMar>
            <w:vAlign w:val="center"/>
          </w:tcPr>
          <w:p>
            <w:pPr>
              <w:jc w:val="left"/>
            </w:pPr>
            <w:r>
              <w:rPr>
                <w:b w:val="false"/>
                <w:bCs w:val="false"/>
                <w:color w:val="1f2328"/>
                <w:sz w:val="20"/>
                <w:szCs w:val="20"/>
              </w:rPr>
              <w:t xml:space="preserve">PMaaS 6.0 — Sauti ya Kizazi / FORD-Asili Digital-First Party Platform</w:t>
            </w:r>
          </w:p>
        </w:tc>
      </w:tr>
      <w:tr>
        <w:tc>
          <w:tcPr>
            <w:tcW w:type="dxa" w:w="2400"/>
            <w:shd w:fill="F5EFDD" w:val="clear"/>
            <w:tcMar>
              <w:top w:type="dxa" w:w="90"/>
              <w:left w:type="dxa" w:w="110"/>
              <w:bottom w:type="dxa" w:w="90"/>
              <w:right w:type="dxa" w:w="110"/>
            </w:tcMar>
            <w:vAlign w:val="center"/>
          </w:tcPr>
          <w:p>
            <w:pPr>
              <w:jc w:val="left"/>
            </w:pPr>
            <w:r>
              <w:rPr>
                <w:b/>
                <w:bCs/>
                <w:color w:val="0B1F3A"/>
                <w:sz w:val="20"/>
                <w:szCs w:val="20"/>
              </w:rPr>
              <w:t xml:space="preserve">Prepared by</w:t>
            </w:r>
          </w:p>
        </w:tc>
        <w:tc>
          <w:tcPr>
            <w:tcW w:type="dxa" w:w="3800"/>
            <w:tcMar>
              <w:top w:type="dxa" w:w="90"/>
              <w:left w:type="dxa" w:w="110"/>
              <w:bottom w:type="dxa" w:w="90"/>
              <w:right w:type="dxa" w:w="110"/>
            </w:tcMar>
            <w:vAlign w:val="center"/>
          </w:tcPr>
          <w:p>
            <w:pPr>
              <w:jc w:val="left"/>
            </w:pPr>
            <w:r>
              <w:rPr>
                <w:b w:val="false"/>
                <w:bCs w:val="false"/>
                <w:color w:val="1f2328"/>
                <w:sz w:val="20"/>
                <w:szCs w:val="20"/>
              </w:rPr>
              <w:t xml:space="preserve">i3 Technologies Solutions Architecture Practice</w:t>
            </w:r>
          </w:p>
        </w:tc>
      </w:tr>
      <w:tr>
        <w:tc>
          <w:tcPr>
            <w:tcW w:type="dxa" w:w="2400"/>
            <w:shd w:fill="F5EFDD" w:val="clear"/>
            <w:tcMar>
              <w:top w:type="dxa" w:w="90"/>
              <w:left w:type="dxa" w:w="110"/>
              <w:bottom w:type="dxa" w:w="90"/>
              <w:right w:type="dxa" w:w="110"/>
            </w:tcMar>
            <w:vAlign w:val="center"/>
          </w:tcPr>
          <w:p>
            <w:pPr>
              <w:jc w:val="left"/>
            </w:pPr>
            <w:r>
              <w:rPr>
                <w:b/>
                <w:bCs/>
                <w:color w:val="0B1F3A"/>
                <w:sz w:val="20"/>
                <w:szCs w:val="20"/>
              </w:rPr>
              <w:t xml:space="preserve">Prepared for</w:t>
            </w:r>
          </w:p>
        </w:tc>
        <w:tc>
          <w:tcPr>
            <w:tcW w:type="dxa" w:w="3800"/>
            <w:tcMar>
              <w:top w:type="dxa" w:w="90"/>
              <w:left w:type="dxa" w:w="110"/>
              <w:bottom w:type="dxa" w:w="90"/>
              <w:right w:type="dxa" w:w="110"/>
            </w:tcMar>
            <w:vAlign w:val="center"/>
          </w:tcPr>
          <w:p>
            <w:pPr>
              <w:jc w:val="left"/>
            </w:pPr>
            <w:r>
              <w:rPr>
                <w:b w:val="false"/>
                <w:bCs w:val="false"/>
                <w:color w:val="1f2328"/>
                <w:sz w:val="20"/>
                <w:szCs w:val="20"/>
              </w:rPr>
              <w:t xml:space="preserve">FORD-Asili National Executive Committee &amp; i3 Delivery Team</w:t>
            </w:r>
          </w:p>
        </w:tc>
      </w:tr>
      <w:tr>
        <w:tc>
          <w:tcPr>
            <w:tcW w:type="dxa" w:w="2400"/>
            <w:shd w:fill="F5EFDD" w:val="clear"/>
            <w:tcMar>
              <w:top w:type="dxa" w:w="90"/>
              <w:left w:type="dxa" w:w="110"/>
              <w:bottom w:type="dxa" w:w="90"/>
              <w:right w:type="dxa" w:w="110"/>
            </w:tcMar>
            <w:vAlign w:val="center"/>
          </w:tcPr>
          <w:p>
            <w:pPr>
              <w:jc w:val="left"/>
            </w:pPr>
            <w:r>
              <w:rPr>
                <w:b/>
                <w:bCs/>
                <w:color w:val="0B1F3A"/>
                <w:sz w:val="20"/>
                <w:szCs w:val="20"/>
              </w:rPr>
              <w:t xml:space="preserve">Version</w:t>
            </w:r>
          </w:p>
        </w:tc>
        <w:tc>
          <w:tcPr>
            <w:tcW w:type="dxa" w:w="3800"/>
            <w:tcMar>
              <w:top w:type="dxa" w:w="90"/>
              <w:left w:type="dxa" w:w="110"/>
              <w:bottom w:type="dxa" w:w="90"/>
              <w:right w:type="dxa" w:w="110"/>
            </w:tcMar>
            <w:vAlign w:val="center"/>
          </w:tcPr>
          <w:p>
            <w:pPr>
              <w:jc w:val="left"/>
            </w:pPr>
            <w:r>
              <w:rPr>
                <w:b w:val="false"/>
                <w:bCs w:val="false"/>
                <w:color w:val="1f2328"/>
                <w:sz w:val="20"/>
                <w:szCs w:val="20"/>
              </w:rPr>
              <w:t xml:space="preserve">1.0</w:t>
            </w:r>
          </w:p>
        </w:tc>
      </w:tr>
      <w:tr>
        <w:tc>
          <w:tcPr>
            <w:tcW w:type="dxa" w:w="2400"/>
            <w:shd w:fill="F5EFDD" w:val="clear"/>
            <w:tcMar>
              <w:top w:type="dxa" w:w="90"/>
              <w:left w:type="dxa" w:w="110"/>
              <w:bottom w:type="dxa" w:w="90"/>
              <w:right w:type="dxa" w:w="110"/>
            </w:tcMar>
            <w:vAlign w:val="center"/>
          </w:tcPr>
          <w:p>
            <w:pPr>
              <w:jc w:val="left"/>
            </w:pPr>
            <w:r>
              <w:rPr>
                <w:b/>
                <w:bCs/>
                <w:color w:val="0B1F3A"/>
                <w:sz w:val="20"/>
                <w:szCs w:val="20"/>
              </w:rPr>
              <w:t xml:space="preserve">Date</w:t>
            </w:r>
          </w:p>
        </w:tc>
        <w:tc>
          <w:tcPr>
            <w:tcW w:type="dxa" w:w="3800"/>
            <w:tcMar>
              <w:top w:type="dxa" w:w="90"/>
              <w:left w:type="dxa" w:w="110"/>
              <w:bottom w:type="dxa" w:w="90"/>
              <w:right w:type="dxa" w:w="110"/>
            </w:tcMar>
            <w:vAlign w:val="center"/>
          </w:tcPr>
          <w:p>
            <w:pPr>
              <w:jc w:val="left"/>
            </w:pPr>
            <w:r>
              <w:rPr>
                <w:b w:val="false"/>
                <w:bCs w:val="false"/>
                <w:color w:val="1f2328"/>
                <w:sz w:val="20"/>
                <w:szCs w:val="20"/>
              </w:rPr>
              <w:t xml:space="preserve">16 September 2026</w:t>
            </w:r>
          </w:p>
        </w:tc>
      </w:tr>
    </w:tbl>
    <w:p>
      <w:r>
        <w:br w:type="page"/>
      </w:r>
    </w:p>
    <w:p>
      <w:pPr>
        <w:pStyle w:val="Heading1"/>
        <w:pBdr>
          <w:bottom w:val="single" w:color="C9A227" w:sz="8" w:space="4"/>
        </w:pBdr>
        <w:spacing w:after="160" w:before="360"/>
      </w:pPr>
      <w:r>
        <w:rPr>
          <w:b/>
          <w:bCs/>
          <w:color w:val="0B1F3A"/>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A227" w:sz="8" w:space="4"/>
        </w:pBdr>
        <w:spacing w:after="160" w:before="360"/>
      </w:pPr>
      <w:r>
        <w:rPr>
          <w:b/>
          <w:bCs/>
          <w:color w:val="0B1F3A"/>
          <w:sz w:val="30"/>
          <w:szCs w:val="30"/>
        </w:rPr>
        <w:t xml:space="preserve">1. Purpose, Scope &amp; Reading Guide</w:t>
      </w:r>
    </w:p>
    <w:p>
      <w:pPr>
        <w:spacing w:after="140" w:line="276"/>
      </w:pPr>
      <w:r>
        <w:rPr>
          <w:color w:val="1f2328"/>
          <w:sz w:val="21"/>
          <w:szCs w:val="21"/>
        </w:rPr>
        <w:t xml:space="preserve">This guide instructs i3 Technologies' engineering, security and delivery teams on how to design, build, integrate and operate two components of the FORD-Asili PMaaS platform ahead of the 10 August 2027 general election:</w:t>
      </w:r>
    </w:p>
    <w:p>
      <w:pPr>
        <w:pStyle w:val="ListParagraph"/>
        <w:numPr>
          <w:ilvl w:val="0"/>
          <w:numId w:val="2"/>
        </w:numPr>
        <w:spacing w:after="70"/>
      </w:pPr>
      <w:r>
        <w:rPr>
          <w:sz w:val="21"/>
          <w:szCs w:val="21"/>
        </w:rPr>
        <w:t xml:space="preserve">A permissioned, auditable blockchain-based system of record for country-wide party nominations — covering certified membership, candidate eligibility, digital primaries, ballot integrity, and dispute evidence.</w:t>
      </w:r>
    </w:p>
    <w:p>
      <w:pPr>
        <w:pStyle w:val="ListParagraph"/>
        <w:numPr>
          <w:ilvl w:val="0"/>
          <w:numId w:val="2"/>
        </w:numPr>
        <w:spacing w:after="70"/>
      </w:pPr>
      <w:r>
        <w:rPr>
          <w:sz w:val="21"/>
          <w:szCs w:val="21"/>
        </w:rPr>
        <w:t xml:space="preserve">Integration of i3 Engage (i3's engagement/outreach application) into candidate-led recruitment drives, so that the 1,000-new-member-per-ward membership duty is executed, verified and fed into the same certified register the blockchain relies on.</w:t>
      </w:r>
    </w:p>
    <w:p>
      <w:pPr>
        <w:spacing w:after="120"/>
      </w:pPr>
    </w:p>
    <w:p>
      <w:pPr>
        <w:spacing w:after="140" w:line="276"/>
      </w:pPr>
      <w:r>
        <w:rPr>
          <w:color w:val="1f2328"/>
          <w:sz w:val="21"/>
          <w:szCs w:val="21"/>
        </w:rPr>
        <w:t xml:space="preserve">This is an engineering and architecture document, not a legal opinion. Every design choice traces back to a specific compliance requirement noted in the FORD-Asili OSINT assessments already delivered (certified membership registers, ORPP nomination-rule certification, the IEBC 2025–2027 Election Operation Plan, and the Data Protection Act 2019). Where a requirement is legally load-bearing, it is flagged for i3's legal/compliance liaison to confirm against FORD-Asili's certified nomination rules before build sign-off.</w:t>
      </w:r>
    </w:p>
    <w:tbl>
      <w:tblPr>
        <w:tblW w:type="pct" w:w="100%"/>
        <w:tblBorders>
          <w:top w:val="single" w:color="0B1F3A" w:sz="4"/>
          <w:left w:val="single" w:color="0B1F3A" w:sz="24"/>
          <w:bottom w:val="single" w:color="0B1F3A" w:sz="4"/>
          <w:right w:val="single" w:color="0B1F3A" w:sz="4"/>
          <w:insideH w:val="single" w:color="auto" w:sz="4"/>
          <w:insideV w:val="single" w:color="auto" w:sz="4"/>
        </w:tblBorders>
      </w:tblPr>
      <w:tblGrid>
        <w:gridCol w:w="100"/>
      </w:tblGrid>
      <w:tr>
        <w:tc>
          <w:tcPr>
            <w:shd w:fill="E8ECF2" w:val="clear"/>
            <w:tcMar>
              <w:top w:type="dxa" w:w="120"/>
              <w:left w:type="dxa" w:w="180"/>
              <w:bottom w:type="dxa" w:w="120"/>
              <w:right w:type="dxa" w:w="180"/>
            </w:tcMar>
          </w:tcPr>
          <w:p>
            <w:pPr>
              <w:spacing w:after="40"/>
            </w:pPr>
            <w:r>
              <w:rPr>
                <w:b/>
                <w:bCs/>
                <w:color w:val="0B1F3A"/>
                <w:sz w:val="20"/>
                <w:szCs w:val="20"/>
              </w:rPr>
              <w:t xml:space="preserve">Audience</w:t>
            </w:r>
          </w:p>
          <w:p>
            <w:r>
              <w:rPr>
                <w:color w:val="1f2328"/>
                <w:sz w:val="20"/>
                <w:szCs w:val="20"/>
              </w:rPr>
              <w:t xml:space="preserve">Solutions architects, backend/blockchain engineers, mobile/USSD engineers, security engineers, DevOps/SRE, QA, and the i3 Engage product team. Product owners and FORD-Asili NEC stakeholders should read Sections 1–3 and 13–14; engineering teams should treat Sections 4–12 as the working spec.</w:t>
            </w:r>
          </w:p>
        </w:tc>
      </w:tr>
    </w:tbl>
    <w:p>
      <w:pPr>
        <w:spacing w:after="120"/>
      </w:pPr>
    </w:p>
    <w:p>
      <w:pPr>
        <w:pStyle w:val="Heading2"/>
        <w:spacing w:after="120" w:before="260"/>
      </w:pPr>
      <w:r>
        <w:rPr>
          <w:b/>
          <w:bCs/>
          <w:color w:val="0B1F3A"/>
          <w:sz w:val="24"/>
          <w:szCs w:val="24"/>
        </w:rPr>
        <w:t xml:space="preserve">1.1 Relationship to the existing PMaaS platform</w:t>
      </w:r>
    </w:p>
    <w:p>
      <w:pPr>
        <w:spacing w:after="140" w:line="276"/>
      </w:pPr>
      <w:r>
        <w:rPr>
          <w:color w:val="1f2328"/>
          <w:sz w:val="21"/>
          <w:szCs w:val="21"/>
        </w:rPr>
        <w:t xml:space="preserve">PMaaS already provides campaign management, an AI Campaign Briefing module (on-cluster Qwen 14B), voter/constituency management, M-Pesa collections and disbursements via the Safaricom Daraja API, reporting, and the Dawa AI co-worker. This guide adds two new subsystems that plug into that existing platform rather than replacing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0B1F3A" w:val="clear"/>
            <w:tcMar>
              <w:top w:type="dxa" w:w="90"/>
              <w:left w:type="dxa" w:w="110"/>
              <w:bottom w:type="dxa" w:w="90"/>
              <w:right w:type="dxa" w:w="110"/>
            </w:tcMar>
            <w:vAlign w:val="center"/>
          </w:tcPr>
          <w:p>
            <w:pPr>
              <w:jc w:val="left"/>
            </w:pPr>
            <w:r>
              <w:rPr>
                <w:b/>
                <w:bCs/>
                <w:color w:val="FFFFFF"/>
                <w:sz w:val="19"/>
                <w:szCs w:val="19"/>
              </w:rPr>
              <w:t xml:space="preserve">Existing PMaaS module</w:t>
            </w:r>
          </w:p>
        </w:tc>
        <w:tc>
          <w:tcPr>
            <w:tcW w:type="dxa" w:w="3200"/>
            <w:shd w:fill="0B1F3A" w:val="clear"/>
            <w:tcMar>
              <w:top w:type="dxa" w:w="90"/>
              <w:left w:type="dxa" w:w="110"/>
              <w:bottom w:type="dxa" w:w="90"/>
              <w:right w:type="dxa" w:w="110"/>
            </w:tcMar>
            <w:vAlign w:val="center"/>
          </w:tcPr>
          <w:p>
            <w:pPr>
              <w:jc w:val="left"/>
            </w:pPr>
            <w:r>
              <w:rPr>
                <w:b/>
                <w:bCs/>
                <w:color w:val="FFFFFF"/>
                <w:sz w:val="19"/>
                <w:szCs w:val="19"/>
              </w:rPr>
              <w:t xml:space="preserve">New subsystem it connects to</w:t>
            </w:r>
          </w:p>
        </w:tc>
        <w:tc>
          <w:tcPr>
            <w:tcW w:type="dxa" w:w="3200"/>
            <w:shd w:fill="0B1F3A" w:val="clear"/>
            <w:tcMar>
              <w:top w:type="dxa" w:w="90"/>
              <w:left w:type="dxa" w:w="110"/>
              <w:bottom w:type="dxa" w:w="90"/>
              <w:right w:type="dxa" w:w="110"/>
            </w:tcMar>
            <w:vAlign w:val="center"/>
          </w:tcPr>
          <w:p>
            <w:pPr>
              <w:jc w:val="left"/>
            </w:pPr>
            <w:r>
              <w:rPr>
                <w:b/>
                <w:bCs/>
                <w:color w:val="FFFFFF"/>
                <w:sz w:val="19"/>
                <w:szCs w:val="19"/>
              </w:rPr>
              <w:t xml:space="preserve">Nature of the link</w:t>
            </w:r>
          </w:p>
        </w:tc>
      </w:tr>
      <w:tr>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Voter &amp; Constituency Management</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Blockchain Membership Registry</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Certified register becomes the source of truth; PMaaS voter DB becomes a read-optimised projection of ledger state</w:t>
            </w:r>
          </w:p>
        </w:tc>
      </w:tr>
      <w:tr>
        <w:tc>
          <w:tcPr>
            <w:tcW w:type="dxa" w:w="3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Campaigns / Candidate workspace</w:t>
            </w:r>
          </w:p>
        </w:tc>
        <w:tc>
          <w:tcPr>
            <w:tcW w:type="dxa" w:w="3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Nomination Chaincode</w:t>
            </w:r>
          </w:p>
        </w:tc>
        <w:tc>
          <w:tcPr>
            <w:tcW w:type="dxa" w:w="3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Candidate portal reads/writes eligibility, fee status and 1,000-member counters on-chain</w:t>
            </w:r>
          </w:p>
        </w:tc>
      </w:tr>
      <w:tr>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M-Pesa (Daraja)</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Nomination fee &amp; refundable deposit escrow</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Existing Daraja integration reused; payment confirmations trigger chaincode state transitions</w:t>
            </w:r>
          </w:p>
        </w:tc>
      </w:tr>
      <w:tr>
        <w:tc>
          <w:tcPr>
            <w:tcW w:type="dxa" w:w="3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Reports &amp; Analytics</w:t>
            </w:r>
          </w:p>
        </w:tc>
        <w:tc>
          <w:tcPr>
            <w:tcW w:type="dxa" w:w="3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Ledger audit views</w:t>
            </w:r>
          </w:p>
        </w:tc>
        <w:tc>
          <w:tcPr>
            <w:tcW w:type="dxa" w:w="3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Read-only materialised views over ledger blocks feed existing report templates</w:t>
            </w:r>
          </w:p>
        </w:tc>
      </w:tr>
      <w:tr>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Dawa AI co-worker</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i3 Engage campaign copy generation</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Dawa drafts ward-specific recruitment scripts consumed by i3 Engage sequences</w:t>
            </w:r>
          </w:p>
        </w:tc>
      </w:tr>
    </w:tbl>
    <w:p>
      <w:pPr>
        <w:spacing w:after="120"/>
      </w:pPr>
    </w:p>
    <w:p>
      <w:pPr>
        <w:pStyle w:val="Heading2"/>
        <w:spacing w:after="120" w:before="260"/>
      </w:pPr>
      <w:r>
        <w:rPr>
          <w:b/>
          <w:bCs/>
          <w:color w:val="0B1F3A"/>
          <w:sz w:val="24"/>
          <w:szCs w:val="24"/>
        </w:rPr>
        <w:t xml:space="preserve">1.2 Document conventions</w:t>
      </w:r>
    </w:p>
    <w:p>
      <w:pPr>
        <w:pStyle w:val="ListParagraph"/>
        <w:numPr>
          <w:ilvl w:val="0"/>
          <w:numId w:val="2"/>
        </w:numPr>
        <w:spacing w:after="70"/>
      </w:pPr>
      <w:r>
        <w:rPr>
          <w:sz w:val="21"/>
          <w:szCs w:val="21"/>
        </w:rPr>
        <w:t xml:space="preserve">MUST — a hard compliance or security requirement; non-negotiable at build sign-off.</w:t>
      </w:r>
    </w:p>
    <w:p>
      <w:pPr>
        <w:pStyle w:val="ListParagraph"/>
        <w:numPr>
          <w:ilvl w:val="0"/>
          <w:numId w:val="2"/>
        </w:numPr>
        <w:spacing w:after="70"/>
      </w:pPr>
      <w:r>
        <w:rPr>
          <w:sz w:val="21"/>
          <w:szCs w:val="21"/>
        </w:rPr>
        <w:t xml:space="preserve">SHOULD — a strong architectural recommendation; deviations require an architecture decision record (ADR).</w:t>
      </w:r>
    </w:p>
    <w:p>
      <w:pPr>
        <w:pStyle w:val="ListParagraph"/>
        <w:numPr>
          <w:ilvl w:val="0"/>
          <w:numId w:val="2"/>
        </w:numPr>
        <w:spacing w:after="70"/>
      </w:pPr>
      <w:r>
        <w:rPr>
          <w:sz w:val="21"/>
          <w:szCs w:val="21"/>
        </w:rPr>
        <w:t xml:space="preserve">Chaincode = smart contract executing on the Hyperledger Fabric peers described in Section 4.</w:t>
      </w:r>
    </w:p>
    <w:p>
      <w:r>
        <w:br w:type="page"/>
      </w:r>
    </w:p>
    <w:p>
      <w:pPr>
        <w:pStyle w:val="Heading1"/>
        <w:pBdr>
          <w:bottom w:val="single" w:color="C9A227" w:sz="8" w:space="4"/>
        </w:pBdr>
        <w:spacing w:after="160" w:before="360"/>
      </w:pPr>
      <w:r>
        <w:rPr>
          <w:b/>
          <w:bCs/>
          <w:color w:val="0B1F3A"/>
          <w:sz w:val="30"/>
          <w:szCs w:val="30"/>
        </w:rPr>
        <w:t xml:space="preserve">2. Executive Summary</w:t>
      </w:r>
    </w:p>
    <w:p>
      <w:pPr>
        <w:spacing w:after="140" w:line="276"/>
      </w:pPr>
      <w:r>
        <w:rPr>
          <w:color w:val="1f2328"/>
          <w:sz w:val="21"/>
          <w:szCs w:val="21"/>
        </w:rPr>
        <w:t xml:space="preserve">FORD-Asili's 2027 strategy depends on running the country's largest simultaneous party nomination exercise on the cheapest possible infrastructure: up to 1,881 seats, a modelled 1.45 million new members, digital primaries across 1,450 wards, and a 16 March 2027 IEBC deadline for certified membership lists. The technology must be trustworthy enough to survive legal challenge from disgruntled aspirants, cheap enough to run without Political Parties Fund income, and simple enough to work on feature phones in wards with poor connectivity.</w:t>
      </w:r>
    </w:p>
    <w:p>
      <w:pPr>
        <w:spacing w:after="140" w:line="276"/>
      </w:pPr>
      <w:r>
        <w:rPr>
          <w:color w:val="1f2328"/>
          <w:sz w:val="21"/>
          <w:szCs w:val="21"/>
        </w:rPr>
        <w:t xml:space="preserve">i3 Technologies' recommended architecture is a permissioned Hyperledger Fabric network, deployed on Red Hat OpenShift on IBM Cloud (ROKS) — consistent with i3's existing IBM Cloud/ROKS AI Lab footprint — with:</w:t>
      </w:r>
    </w:p>
    <w:p>
      <w:pPr>
        <w:pStyle w:val="ListParagraph"/>
        <w:numPr>
          <w:ilvl w:val="0"/>
          <w:numId w:val="2"/>
        </w:numPr>
        <w:spacing w:after="70"/>
      </w:pPr>
      <w:r>
        <w:rPr>
          <w:sz w:val="21"/>
          <w:szCs w:val="21"/>
        </w:rPr>
        <w:t xml:space="preserve">A tamper-evident, append-only ledger of record for membership, nomination, and primary-result events, replacing an ordinary relational "system of truth" with something FORD-Asili, ORPP and rival aspirants can independently verify.</w:t>
      </w:r>
    </w:p>
    <w:p>
      <w:pPr>
        <w:pStyle w:val="ListParagraph"/>
        <w:numPr>
          <w:ilvl w:val="0"/>
          <w:numId w:val="2"/>
        </w:numPr>
        <w:spacing w:after="70"/>
      </w:pPr>
      <w:r>
        <w:rPr>
          <w:sz w:val="21"/>
          <w:szCs w:val="21"/>
        </w:rPr>
        <w:t xml:space="preserve">Identity and ballot-secrecy separation so that who voted is auditable but how they voted is not, satisfying secret-ballot expectations while keeping a fully auditable turnout trail.</w:t>
      </w:r>
    </w:p>
    <w:p>
      <w:pPr>
        <w:pStyle w:val="ListParagraph"/>
        <w:numPr>
          <w:ilvl w:val="0"/>
          <w:numId w:val="2"/>
        </w:numPr>
        <w:spacing w:after="70"/>
      </w:pPr>
      <w:r>
        <w:rPr>
          <w:sz w:val="21"/>
          <w:szCs w:val="21"/>
        </w:rPr>
        <w:t xml:space="preserve">A USSD/SMS bridge (reusing the existing *509# channel referenced in FORD-Asili's NEC notice) so rural, feature-phone members can register, be verified and vote without a smartphone or data bundle.</w:t>
      </w:r>
    </w:p>
    <w:p>
      <w:pPr>
        <w:pStyle w:val="ListParagraph"/>
        <w:numPr>
          <w:ilvl w:val="0"/>
          <w:numId w:val="2"/>
        </w:numPr>
        <w:spacing w:after="70"/>
      </w:pPr>
      <w:r>
        <w:rPr>
          <w:sz w:val="21"/>
          <w:szCs w:val="21"/>
        </w:rPr>
        <w:t xml:space="preserve">i3 Engage as the recruitment engine that turns each of the up to 1,881 candidates into a lead-generation and verification workflow, writing only de-duplicated, consented, verified members into the ledger — solving the "1.45 million fake members" risk flagged in all three OSINT reports.</w:t>
      </w:r>
    </w:p>
    <w:p>
      <w:pPr>
        <w:spacing w:after="120"/>
      </w:pPr>
    </w:p>
    <w:tbl>
      <w:tblPr>
        <w:tblW w:type="pct" w:w="100%"/>
        <w:tblBorders>
          <w:top w:val="single" w:color="C9A227" w:sz="4"/>
          <w:left w:val="single" w:color="C9A227" w:sz="24"/>
          <w:bottom w:val="single" w:color="C9A227" w:sz="4"/>
          <w:right w:val="single" w:color="C9A227" w:sz="4"/>
          <w:insideH w:val="single" w:color="auto" w:sz="4"/>
          <w:insideV w:val="single" w:color="auto" w:sz="4"/>
        </w:tblBorders>
      </w:tblPr>
      <w:tblGrid>
        <w:gridCol w:w="100"/>
      </w:tblGrid>
      <w:tr>
        <w:tc>
          <w:tcPr>
            <w:shd w:fill="F5EFDD" w:val="clear"/>
            <w:tcMar>
              <w:top w:type="dxa" w:w="120"/>
              <w:left w:type="dxa" w:w="180"/>
              <w:bottom w:type="dxa" w:w="120"/>
              <w:right w:type="dxa" w:w="180"/>
            </w:tcMar>
          </w:tcPr>
          <w:p>
            <w:pPr>
              <w:spacing w:after="40"/>
            </w:pPr>
            <w:r>
              <w:rPr>
                <w:b/>
                <w:bCs/>
                <w:color w:val="C9A227"/>
                <w:sz w:val="20"/>
                <w:szCs w:val="20"/>
              </w:rPr>
              <w:t xml:space="preserve">Bottom line for delivery teams</w:t>
            </w:r>
          </w:p>
          <w:p>
            <w:r>
              <w:rPr>
                <w:color w:val="1f2328"/>
                <w:sz w:val="20"/>
                <w:szCs w:val="20"/>
              </w:rPr>
              <w:t xml:space="preserve">Ship a minimum viable ledger + USSD registration + Engage recruitment pipeline within the 90-day window ending January 2027, ahead of the 16 March 2027 membership-list deadline. Digital primaries (the highest-risk component) get two full dry-run pilots before the 17 March–10 April 2027 primaries window. Nothing in this build should require a rural voter to own a smartphone.</w:t>
            </w:r>
          </w:p>
        </w:tc>
      </w:tr>
    </w:tbl>
    <w:p>
      <w:r>
        <w:br w:type="page"/>
      </w:r>
    </w:p>
    <w:p>
      <w:pPr>
        <w:pStyle w:val="Heading1"/>
        <w:pBdr>
          <w:bottom w:val="single" w:color="C9A227" w:sz="8" w:space="4"/>
        </w:pBdr>
        <w:spacing w:after="160" w:before="360"/>
      </w:pPr>
      <w:r>
        <w:rPr>
          <w:b/>
          <w:bCs/>
          <w:color w:val="0B1F3A"/>
          <w:sz w:val="30"/>
          <w:szCs w:val="30"/>
        </w:rPr>
        <w:t xml:space="preserve">3. Requirements Traceability</w:t>
      </w:r>
    </w:p>
    <w:p>
      <w:pPr>
        <w:spacing w:after="140" w:line="276"/>
      </w:pPr>
      <w:r>
        <w:rPr>
          <w:color w:val="1f2328"/>
          <w:sz w:val="21"/>
          <w:szCs w:val="21"/>
        </w:rPr>
        <w:t xml:space="preserve">Each engineering requirement below is traced to the source finding in the FORD-Asili OSINT assessments so that architecture and legal reviewers can verify nothing was invented outside the brief.</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100"/>
        <w:gridCol w:w="1500"/>
      </w:tblGrid>
      <w:tr>
        <w:trPr>
          <w:tblHeader/>
        </w:trPr>
        <w:tc>
          <w:tcPr>
            <w:tcW w:type="dxa" w:w="700"/>
            <w:shd w:fill="0B1F3A" w:val="clear"/>
            <w:tcMar>
              <w:top w:type="dxa" w:w="90"/>
              <w:left w:type="dxa" w:w="110"/>
              <w:bottom w:type="dxa" w:w="90"/>
              <w:right w:type="dxa" w:w="110"/>
            </w:tcMar>
            <w:vAlign w:val="center"/>
          </w:tcPr>
          <w:p>
            <w:pPr>
              <w:jc w:val="left"/>
            </w:pPr>
            <w:r>
              <w:rPr>
                <w:b/>
                <w:bCs/>
                <w:color w:val="FFFFFF"/>
                <w:sz w:val="19"/>
                <w:szCs w:val="19"/>
              </w:rPr>
              <w:t xml:space="preserve">#</w:t>
            </w:r>
          </w:p>
        </w:tc>
        <w:tc>
          <w:tcPr>
            <w:tcW w:type="dxa" w:w="3300"/>
            <w:shd w:fill="0B1F3A" w:val="clear"/>
            <w:tcMar>
              <w:top w:type="dxa" w:w="90"/>
              <w:left w:type="dxa" w:w="110"/>
              <w:bottom w:type="dxa" w:w="90"/>
              <w:right w:type="dxa" w:w="110"/>
            </w:tcMar>
            <w:vAlign w:val="center"/>
          </w:tcPr>
          <w:p>
            <w:pPr>
              <w:jc w:val="left"/>
            </w:pPr>
            <w:r>
              <w:rPr>
                <w:b/>
                <w:bCs/>
                <w:color w:val="FFFFFF"/>
                <w:sz w:val="19"/>
                <w:szCs w:val="19"/>
              </w:rPr>
              <w:t xml:space="preserve">Requirement</w:t>
            </w:r>
          </w:p>
        </w:tc>
        <w:tc>
          <w:tcPr>
            <w:tcW w:type="dxa" w:w="3100"/>
            <w:shd w:fill="0B1F3A" w:val="clear"/>
            <w:tcMar>
              <w:top w:type="dxa" w:w="90"/>
              <w:left w:type="dxa" w:w="110"/>
              <w:bottom w:type="dxa" w:w="90"/>
              <w:right w:type="dxa" w:w="110"/>
            </w:tcMar>
            <w:vAlign w:val="center"/>
          </w:tcPr>
          <w:p>
            <w:pPr>
              <w:jc w:val="left"/>
            </w:pPr>
            <w:r>
              <w:rPr>
                <w:b/>
                <w:bCs/>
                <w:color w:val="FFFFFF"/>
                <w:sz w:val="19"/>
                <w:szCs w:val="19"/>
              </w:rPr>
              <w:t xml:space="preserve">Source driver</w:t>
            </w:r>
          </w:p>
        </w:tc>
        <w:tc>
          <w:tcPr>
            <w:tcW w:type="dxa" w:w="1500"/>
            <w:shd w:fill="0B1F3A" w:val="clear"/>
            <w:tcMar>
              <w:top w:type="dxa" w:w="90"/>
              <w:left w:type="dxa" w:w="110"/>
              <w:bottom w:type="dxa" w:w="90"/>
              <w:right w:type="dxa" w:w="110"/>
            </w:tcMar>
            <w:vAlign w:val="center"/>
          </w:tcPr>
          <w:p>
            <w:pPr>
              <w:jc w:val="left"/>
            </w:pPr>
            <w:r>
              <w:rPr>
                <w:b/>
                <w:bCs/>
                <w:color w:val="FFFFFF"/>
                <w:sz w:val="19"/>
                <w:szCs w:val="19"/>
              </w:rPr>
              <w:t xml:space="preserve">System owner</w:t>
            </w:r>
          </w:p>
        </w:tc>
      </w:tr>
      <w:tr>
        <w:tc>
          <w:tcPr>
            <w:tcW w:type="dxa" w:w="7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R1</w:t>
            </w:r>
          </w:p>
        </w:tc>
        <w:tc>
          <w:tcPr>
            <w:tcW w:type="dxa" w:w="33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Certified, de-duplicated membership register usable as the IEBC-submissible list</w:t>
            </w:r>
          </w:p>
        </w:tc>
        <w:tc>
          <w:tcPr>
            <w:tcW w:type="dxa" w:w="31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Political Parties Act; certified-register requirement</w:t>
            </w:r>
          </w:p>
        </w:tc>
        <w:tc>
          <w:tcPr>
            <w:tcW w:type="dxa" w:w="1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Blockchain + Membership CRM</w:t>
            </w:r>
          </w:p>
        </w:tc>
      </w:tr>
      <w:tr>
        <w:tc>
          <w:tcPr>
            <w:tcW w:type="dxa" w:w="7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R2</w:t>
            </w:r>
          </w:p>
        </w:tc>
        <w:tc>
          <w:tcPr>
            <w:tcW w:type="dxa" w:w="33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Nomination rules encode free-MCA / Gen-Z waivers and existing NEC fee schedule without contradiction</w:t>
            </w:r>
          </w:p>
        </w:tc>
        <w:tc>
          <w:tcPr>
            <w:tcW w:type="dxa" w:w="31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NEC Aug-2026 fee notice vs. free-nomination proposal</w:t>
            </w:r>
          </w:p>
        </w:tc>
        <w:tc>
          <w:tcPr>
            <w:tcW w:type="dxa" w:w="1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Nomination Chaincode</w:t>
            </w:r>
          </w:p>
        </w:tc>
      </w:tr>
      <w:tr>
        <w:tc>
          <w:tcPr>
            <w:tcW w:type="dxa" w:w="7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R3</w:t>
            </w:r>
          </w:p>
        </w:tc>
        <w:tc>
          <w:tcPr>
            <w:tcW w:type="dxa" w:w="33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1,000 verified new members per ward (tiered 400–1,000 by ward type) tracked per candidate</w:t>
            </w:r>
          </w:p>
        </w:tc>
        <w:tc>
          <w:tcPr>
            <w:tcW w:type="dxa" w:w="31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Membership-duty design correction</w:t>
            </w:r>
          </w:p>
        </w:tc>
        <w:tc>
          <w:tcPr>
            <w:tcW w:type="dxa" w:w="1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Chaincode counters + i3 Engage</w:t>
            </w:r>
          </w:p>
        </w:tc>
      </w:tr>
      <w:tr>
        <w:tc>
          <w:tcPr>
            <w:tcW w:type="dxa" w:w="7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R4</w:t>
            </w:r>
          </w:p>
        </w:tc>
        <w:tc>
          <w:tcPr>
            <w:tcW w:type="dxa" w:w="33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Refundable integrity deposit (KSh 2,000–5,000), waivable for PWD/indigent</w:t>
            </w:r>
          </w:p>
        </w:tc>
        <w:tc>
          <w:tcPr>
            <w:tcW w:type="dxa" w:w="31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Anti-frivolous-candidacy control</w:t>
            </w:r>
          </w:p>
        </w:tc>
        <w:tc>
          <w:tcPr>
            <w:tcW w:type="dxa" w:w="1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Daraja escrow + Chaincode</w:t>
            </w:r>
          </w:p>
        </w:tc>
      </w:tr>
      <w:tr>
        <w:tc>
          <w:tcPr>
            <w:tcW w:type="dxa" w:w="7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R5</w:t>
            </w:r>
          </w:p>
        </w:tc>
        <w:tc>
          <w:tcPr>
            <w:tcW w:type="dxa" w:w="33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Digital primary with independent audit trail, ballot secrecy, and dispute workflow</w:t>
            </w:r>
          </w:p>
        </w:tc>
        <w:tc>
          <w:tcPr>
            <w:tcW w:type="dxa" w:w="31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Election-management-system framing, not "just an app"</w:t>
            </w:r>
          </w:p>
        </w:tc>
        <w:tc>
          <w:tcPr>
            <w:tcW w:type="dxa" w:w="1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Voting Chaincode + HSM</w:t>
            </w:r>
          </w:p>
        </w:tc>
      </w:tr>
      <w:tr>
        <w:tc>
          <w:tcPr>
            <w:tcW w:type="dxa" w:w="7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R6</w:t>
            </w:r>
          </w:p>
        </w:tc>
        <w:tc>
          <w:tcPr>
            <w:tcW w:type="dxa" w:w="33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USSD/feature-phone access (*509#-class channel)</w:t>
            </w:r>
          </w:p>
        </w:tc>
        <w:tc>
          <w:tcPr>
            <w:tcW w:type="dxa" w:w="31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Rural connectivity constraint</w:t>
            </w:r>
          </w:p>
        </w:tc>
        <w:tc>
          <w:tcPr>
            <w:tcW w:type="dxa" w:w="1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USSD Gateway</w:t>
            </w:r>
          </w:p>
        </w:tc>
      </w:tr>
      <w:tr>
        <w:tc>
          <w:tcPr>
            <w:tcW w:type="dxa" w:w="7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R7</w:t>
            </w:r>
          </w:p>
        </w:tc>
        <w:tc>
          <w:tcPr>
            <w:tcW w:type="dxa" w:w="33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Data Protection Act 2019 consent, minimisation, breach-proofing</w:t>
            </w:r>
          </w:p>
        </w:tc>
        <w:tc>
          <w:tcPr>
            <w:tcW w:type="dxa" w:w="31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Membership-register leak risk</w:t>
            </w:r>
          </w:p>
        </w:tc>
        <w:tc>
          <w:tcPr>
            <w:tcW w:type="dxa" w:w="1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Consent Service + Encryption</w:t>
            </w:r>
          </w:p>
        </w:tc>
      </w:tr>
      <w:tr>
        <w:tc>
          <w:tcPr>
            <w:tcW w:type="dxa" w:w="7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R8</w:t>
            </w:r>
          </w:p>
        </w:tc>
        <w:tc>
          <w:tcPr>
            <w:tcW w:type="dxa" w:w="33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Independent security audit / penetration test before go-live</w:t>
            </w:r>
          </w:p>
        </w:tc>
        <w:tc>
          <w:tcPr>
            <w:tcW w:type="dxa" w:w="31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Digital-primary compromise risk (HIGH severity across reports)</w:t>
            </w:r>
          </w:p>
        </w:tc>
        <w:tc>
          <w:tcPr>
            <w:tcW w:type="dxa" w:w="1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Security &amp; QA</w:t>
            </w:r>
          </w:p>
        </w:tc>
      </w:tr>
      <w:tr>
        <w:tc>
          <w:tcPr>
            <w:tcW w:type="dxa" w:w="7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R9</w:t>
            </w:r>
          </w:p>
        </w:tc>
        <w:tc>
          <w:tcPr>
            <w:tcW w:type="dxa" w:w="33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16 March 2027 membership list, 17 Mar–10 Apr 2027 primaries window</w:t>
            </w:r>
          </w:p>
        </w:tc>
        <w:tc>
          <w:tcPr>
            <w:tcW w:type="dxa" w:w="31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IEBC 2025–2027 Election Operation Plan</w:t>
            </w:r>
          </w:p>
        </w:tc>
        <w:tc>
          <w:tcPr>
            <w:tcW w:type="dxa" w:w="1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Programme / Delivery</w:t>
            </w:r>
          </w:p>
        </w:tc>
      </w:tr>
      <w:tr>
        <w:tc>
          <w:tcPr>
            <w:tcW w:type="dxa" w:w="7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R10</w:t>
            </w:r>
          </w:p>
        </w:tc>
        <w:tc>
          <w:tcPr>
            <w:tcW w:type="dxa" w:w="33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Ward-level accountability dossier does not touch the nomination ledger</w:t>
            </w:r>
          </w:p>
        </w:tc>
        <w:tc>
          <w:tcPr>
            <w:tcW w:type="dxa" w:w="31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Separation of powers: campaign content vs. electoral system integrity</w:t>
            </w:r>
          </w:p>
        </w:tc>
        <w:tc>
          <w:tcPr>
            <w:tcW w:type="dxa" w:w="1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Architecture boundary</w:t>
            </w:r>
          </w:p>
        </w:tc>
      </w:tr>
    </w:tbl>
    <w:p>
      <w:r>
        <w:br w:type="page"/>
      </w:r>
    </w:p>
    <w:p>
      <w:pPr>
        <w:pStyle w:val="Heading1"/>
        <w:pBdr>
          <w:bottom w:val="single" w:color="C9A227" w:sz="8" w:space="4"/>
        </w:pBdr>
        <w:spacing w:after="160" w:before="360"/>
      </w:pPr>
      <w:r>
        <w:rPr>
          <w:b/>
          <w:bCs/>
          <w:color w:val="0B1F3A"/>
          <w:sz w:val="30"/>
          <w:szCs w:val="30"/>
        </w:rPr>
        <w:t xml:space="preserve">4. Solution Architecture Overview</w:t>
      </w:r>
    </w:p>
    <w:p>
      <w:pPr>
        <w:pStyle w:val="Heading2"/>
        <w:spacing w:after="120" w:before="260"/>
      </w:pPr>
      <w:r>
        <w:rPr>
          <w:b/>
          <w:bCs/>
          <w:color w:val="0B1F3A"/>
          <w:sz w:val="24"/>
          <w:szCs w:val="24"/>
        </w:rPr>
        <w:t xml:space="preserve">4.1 Architecture principles</w:t>
      </w:r>
    </w:p>
    <w:p>
      <w:pPr>
        <w:pStyle w:val="ListParagraph"/>
        <w:numPr>
          <w:ilvl w:val="0"/>
          <w:numId w:val="3"/>
        </w:numPr>
        <w:spacing w:after="70"/>
      </w:pPr>
      <w:r>
        <w:rPr>
          <w:sz w:val="21"/>
          <w:szCs w:val="21"/>
        </w:rPr>
        <w:t xml:space="preserve">Permissioned, not public. Validator and ordering nodes are operated by named, accountable organisations (i3 Technologies, FORD-Asili National Elections Board, and — optionally — an independent ORPP/observer node). No public/anonymous mining network; this is an election-management system, not a cryptocurrency.</w:t>
      </w:r>
    </w:p>
    <w:p>
      <w:pPr>
        <w:pStyle w:val="ListParagraph"/>
        <w:numPr>
          <w:ilvl w:val="0"/>
          <w:numId w:val="3"/>
        </w:numPr>
        <w:spacing w:after="70"/>
      </w:pPr>
      <w:r>
        <w:rPr>
          <w:sz w:val="21"/>
          <w:szCs w:val="21"/>
        </w:rPr>
        <w:t xml:space="preserve">Identity/ballot separation. The system that authenticates a member is architecturally separate from the system that records a ballot choice, so turnout is fully auditable while individual votes remain secret where secrecy is required (see Section 6).</w:t>
      </w:r>
    </w:p>
    <w:p>
      <w:pPr>
        <w:pStyle w:val="ListParagraph"/>
        <w:numPr>
          <w:ilvl w:val="0"/>
          <w:numId w:val="3"/>
        </w:numPr>
        <w:spacing w:after="70"/>
      </w:pPr>
      <w:r>
        <w:rPr>
          <w:sz w:val="21"/>
          <w:szCs w:val="21"/>
        </w:rPr>
        <w:t xml:space="preserve">Channel-agnostic front door. Web, mobile, USSD and WhatsApp/i3 Engage all terminate at the same API gateway and identity layer — no channel gets a shortcut around verification.</w:t>
      </w:r>
    </w:p>
    <w:p>
      <w:pPr>
        <w:pStyle w:val="ListParagraph"/>
        <w:numPr>
          <w:ilvl w:val="0"/>
          <w:numId w:val="3"/>
        </w:numPr>
        <w:spacing w:after="70"/>
      </w:pPr>
      <w:r>
        <w:rPr>
          <w:sz w:val="21"/>
          <w:szCs w:val="21"/>
        </w:rPr>
        <w:t xml:space="preserve">Everything material is on-chain; everything sensitive is off-chain. Personally identifiable data (name, ID number, phone) lives in an encrypted off-chain store; the ledger holds only hashes, status flags and event references, per Data Protection Act minimisation.</w:t>
      </w:r>
    </w:p>
    <w:p>
      <w:pPr>
        <w:pStyle w:val="ListParagraph"/>
        <w:numPr>
          <w:ilvl w:val="0"/>
          <w:numId w:val="3"/>
        </w:numPr>
        <w:spacing w:after="70"/>
      </w:pPr>
      <w:r>
        <w:rPr>
          <w:sz w:val="21"/>
          <w:szCs w:val="21"/>
        </w:rPr>
        <w:t xml:space="preserve">Human review beats automation for consequential decisions. Deduplication, waiver eligibility, and dispute resolution surface flagged cases to human reviewers (National Elections Board) rather than auto-deciding.</w:t>
      </w:r>
    </w:p>
    <w:p>
      <w:pPr>
        <w:spacing w:after="120"/>
      </w:pPr>
    </w:p>
    <w:p>
      <w:pPr>
        <w:pStyle w:val="Heading2"/>
        <w:spacing w:after="120" w:before="260"/>
      </w:pPr>
      <w:r>
        <w:rPr>
          <w:b/>
          <w:bCs/>
          <w:color w:val="0B1F3A"/>
          <w:sz w:val="24"/>
          <w:szCs w:val="24"/>
        </w:rPr>
        <w:t xml:space="preserve">4.2 Layered architecture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00"/>
      </w:tblGrid>
      <w:tr>
        <w:trPr>
          <w:tblHeader/>
        </w:trPr>
        <w:tc>
          <w:tcPr>
            <w:tcW w:type="dxa" w:w="2000"/>
            <w:shd w:fill="0B1F3A" w:val="clear"/>
            <w:tcMar>
              <w:top w:type="dxa" w:w="90"/>
              <w:left w:type="dxa" w:w="110"/>
              <w:bottom w:type="dxa" w:w="90"/>
              <w:right w:type="dxa" w:w="110"/>
            </w:tcMar>
            <w:vAlign w:val="center"/>
          </w:tcPr>
          <w:p>
            <w:pPr>
              <w:jc w:val="left"/>
            </w:pPr>
            <w:r>
              <w:rPr>
                <w:b/>
                <w:bCs/>
                <w:color w:val="FFFFFF"/>
                <w:sz w:val="19"/>
                <w:szCs w:val="19"/>
              </w:rPr>
              <w:t xml:space="preserve">Layer</w:t>
            </w:r>
          </w:p>
        </w:tc>
        <w:tc>
          <w:tcPr>
            <w:tcW w:type="dxa" w:w="3600"/>
            <w:shd w:fill="0B1F3A" w:val="clear"/>
            <w:tcMar>
              <w:top w:type="dxa" w:w="90"/>
              <w:left w:type="dxa" w:w="110"/>
              <w:bottom w:type="dxa" w:w="90"/>
              <w:right w:type="dxa" w:w="110"/>
            </w:tcMar>
            <w:vAlign w:val="center"/>
          </w:tcPr>
          <w:p>
            <w:pPr>
              <w:jc w:val="left"/>
            </w:pPr>
            <w:r>
              <w:rPr>
                <w:b/>
                <w:bCs/>
                <w:color w:val="FFFFFF"/>
                <w:sz w:val="19"/>
                <w:szCs w:val="19"/>
              </w:rPr>
              <w:t xml:space="preserve">Components</w:t>
            </w:r>
          </w:p>
        </w:tc>
        <w:tc>
          <w:tcPr>
            <w:tcW w:type="dxa" w:w="4000"/>
            <w:shd w:fill="0B1F3A" w:val="clear"/>
            <w:tcMar>
              <w:top w:type="dxa" w:w="90"/>
              <w:left w:type="dxa" w:w="110"/>
              <w:bottom w:type="dxa" w:w="90"/>
              <w:right w:type="dxa" w:w="110"/>
            </w:tcMar>
            <w:vAlign w:val="center"/>
          </w:tcPr>
          <w:p>
            <w:pPr>
              <w:jc w:val="left"/>
            </w:pPr>
            <w:r>
              <w:rPr>
                <w:b/>
                <w:bCs/>
                <w:color w:val="FFFFFF"/>
                <w:sz w:val="19"/>
                <w:szCs w:val="19"/>
              </w:rPr>
              <w:t xml:space="preserve">Responsibility</w:t>
            </w:r>
          </w:p>
        </w:tc>
      </w:tr>
      <w:tr>
        <w:tc>
          <w:tcPr>
            <w:tcW w:type="dxa" w:w="20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Channel layer</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PMaaS web app, PMaaS mobile app, USSD gateway (*509#-class), WhatsApp/SMS via i3 Engage</w:t>
            </w:r>
          </w:p>
        </w:tc>
        <w:tc>
          <w:tcPr>
            <w:tcW w:type="dxa" w:w="40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Member/candidate/agent-facing entry points</w:t>
            </w:r>
          </w:p>
        </w:tc>
      </w:tr>
      <w:tr>
        <w:tc>
          <w:tcPr>
            <w:tcW w:type="dxa" w:w="20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API &amp; identity layer</w:t>
            </w:r>
          </w:p>
        </w:tc>
        <w:tc>
          <w:tcPr>
            <w:tcW w:type="dxa" w:w="3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API Gateway, Identity &amp; Consent Service, MFA/OTP service, Ballot-Secrecy Broker</w:t>
            </w:r>
          </w:p>
        </w:tc>
        <w:tc>
          <w:tcPr>
            <w:tcW w:type="dxa" w:w="40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AuthN/AuthZ, consent capture, session control, vote-anonymisation handoff</w:t>
            </w:r>
          </w:p>
        </w:tc>
      </w:tr>
      <w:tr>
        <w:tc>
          <w:tcPr>
            <w:tcW w:type="dxa" w:w="20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Application services</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Membership Service, Candidate/Nomination Service, Primary Election Service, Fee &amp; Escrow Service, Dedup/Verification Service, Dispute Service</w:t>
            </w:r>
          </w:p>
        </w:tc>
        <w:tc>
          <w:tcPr>
            <w:tcW w:type="dxa" w:w="40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Business logic; orchestrate chaincode calls and off-chain stores</w:t>
            </w:r>
          </w:p>
        </w:tc>
      </w:tr>
      <w:tr>
        <w:tc>
          <w:tcPr>
            <w:tcW w:type="dxa" w:w="20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Ledger layer (Hyperledger Fabric)</w:t>
            </w:r>
          </w:p>
        </w:tc>
        <w:tc>
          <w:tcPr>
            <w:tcW w:type="dxa" w:w="3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Membership chaincode, Nomination chaincode, Voting chaincode, Result-tally chaincode, ordering service, peer nodes</w:t>
            </w:r>
          </w:p>
        </w:tc>
        <w:tc>
          <w:tcPr>
            <w:tcW w:type="dxa" w:w="40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Tamper-evident system of record; consensus and immutability</w:t>
            </w:r>
          </w:p>
        </w:tc>
      </w:tr>
      <w:tr>
        <w:tc>
          <w:tcPr>
            <w:tcW w:type="dxa" w:w="20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Off-chain data layer</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Encrypted PII store, Document store (candidate documents), Analytics warehouse (read replicas)</w:t>
            </w:r>
          </w:p>
        </w:tc>
        <w:tc>
          <w:tcPr>
            <w:tcW w:type="dxa" w:w="40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Sensitive data, large binary attachments, reporting</w:t>
            </w:r>
          </w:p>
        </w:tc>
      </w:tr>
      <w:tr>
        <w:tc>
          <w:tcPr>
            <w:tcW w:type="dxa" w:w="20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Integration layer</w:t>
            </w:r>
          </w:p>
        </w:tc>
        <w:tc>
          <w:tcPr>
            <w:tcW w:type="dxa" w:w="3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i3 Engage connector, Daraja (M-Pesa) connector, Qwen 14B AI-brief connector, ORPP/IEBC export connector</w:t>
            </w:r>
          </w:p>
        </w:tc>
        <w:tc>
          <w:tcPr>
            <w:tcW w:type="dxa" w:w="40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External and cross-module integrations</w:t>
            </w:r>
          </w:p>
        </w:tc>
      </w:tr>
      <w:tr>
        <w:tc>
          <w:tcPr>
            <w:tcW w:type="dxa" w:w="20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Platform &amp; ops</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Red Hat OpenShift on IBM Cloud (ROKS), HSM/KMS, observability stack, backup/DR</w:t>
            </w:r>
          </w:p>
        </w:tc>
        <w:tc>
          <w:tcPr>
            <w:tcW w:type="dxa" w:w="40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Runtime, key management, monitoring, resilience</w:t>
            </w:r>
          </w:p>
        </w:tc>
      </w:tr>
    </w:tbl>
    <w:p>
      <w:pPr>
        <w:spacing w:after="120"/>
      </w:pPr>
    </w:p>
    <w:p>
      <w:pPr>
        <w:pStyle w:val="Heading2"/>
        <w:spacing w:after="120" w:before="260"/>
      </w:pPr>
      <w:r>
        <w:rPr>
          <w:b/>
          <w:bCs/>
          <w:color w:val="0B1F3A"/>
          <w:sz w:val="24"/>
          <w:szCs w:val="24"/>
        </w:rPr>
        <w:t xml:space="preserve">4.3 Why Hyperledger Fabric (and not a public chain)</w:t>
      </w:r>
    </w:p>
    <w:p>
      <w:pPr>
        <w:pStyle w:val="ListParagraph"/>
        <w:numPr>
          <w:ilvl w:val="0"/>
          <w:numId w:val="2"/>
        </w:numPr>
        <w:spacing w:after="70"/>
      </w:pPr>
      <w:r>
        <w:rPr>
          <w:sz w:val="21"/>
          <w:szCs w:val="21"/>
        </w:rPr>
        <w:t xml:space="preserve">Permissioned membership (MSP/CA) matches the requirement for named, accountable validators — FORD-Asili's National Elections Board, i3 as technology operator, and an optional ORPP/independent-audit peer.</w:t>
      </w:r>
    </w:p>
    <w:p>
      <w:pPr>
        <w:pStyle w:val="ListParagraph"/>
        <w:numPr>
          <w:ilvl w:val="0"/>
          <w:numId w:val="2"/>
        </w:numPr>
        <w:spacing w:after="70"/>
      </w:pPr>
      <w:r>
        <w:rPr>
          <w:sz w:val="21"/>
          <w:szCs w:val="21"/>
        </w:rPr>
        <w:t xml:space="preserve">Channel/private-data-collection features let ballot content be shared only among the peers that need it for tallying, while turnout events remain visible to all peers for audit — the core of the identity/ballot-secrecy separation in Section 6.</w:t>
      </w:r>
    </w:p>
    <w:p>
      <w:pPr>
        <w:pStyle w:val="ListParagraph"/>
        <w:numPr>
          <w:ilvl w:val="0"/>
          <w:numId w:val="2"/>
        </w:numPr>
        <w:spacing w:after="70"/>
      </w:pPr>
      <w:r>
        <w:rPr>
          <w:sz w:val="21"/>
          <w:szCs w:val="21"/>
        </w:rPr>
        <w:t xml:space="preserve">No token/cryptocurrency requirement, no public gas fees, and no probabilistic finality — Fabric transactions are final once endorsed and ordered, which matters for a legally contestable nomination result.</w:t>
      </w:r>
    </w:p>
    <w:p>
      <w:pPr>
        <w:pStyle w:val="ListParagraph"/>
        <w:numPr>
          <w:ilvl w:val="0"/>
          <w:numId w:val="2"/>
        </w:numPr>
        <w:spacing w:after="70"/>
      </w:pPr>
      <w:r>
        <w:rPr>
          <w:sz w:val="21"/>
          <w:szCs w:val="21"/>
        </w:rPr>
        <w:t xml:space="preserve">Runs natively on Red Hat OpenShift, which i3 already operates on IBM Cloud (ROKS) for the AI Lab workloads — reusing existing platform skills, monitoring and support contracts rather than standing up a new stack.</w:t>
      </w:r>
    </w:p>
    <w:p>
      <w:r>
        <w:br w:type="page"/>
      </w:r>
    </w:p>
    <w:p>
      <w:pPr>
        <w:pStyle w:val="Heading1"/>
        <w:pBdr>
          <w:bottom w:val="single" w:color="C9A227" w:sz="8" w:space="4"/>
        </w:pBdr>
        <w:spacing w:after="160" w:before="360"/>
      </w:pPr>
      <w:r>
        <w:rPr>
          <w:b/>
          <w:bCs/>
          <w:color w:val="0B1F3A"/>
          <w:sz w:val="30"/>
          <w:szCs w:val="30"/>
        </w:rPr>
        <w:t xml:space="preserve">5. Blockchain Network Design</w:t>
      </w:r>
    </w:p>
    <w:p>
      <w:pPr>
        <w:pStyle w:val="Heading2"/>
        <w:spacing w:after="120" w:before="260"/>
      </w:pPr>
      <w:r>
        <w:rPr>
          <w:b/>
          <w:bCs/>
          <w:color w:val="0B1F3A"/>
          <w:sz w:val="24"/>
          <w:szCs w:val="24"/>
        </w:rPr>
        <w:t xml:space="preserve">5.1 Network topology</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400"/>
        <w:gridCol w:w="3600"/>
      </w:tblGrid>
      <w:tr>
        <w:trPr>
          <w:tblHeader/>
        </w:trPr>
        <w:tc>
          <w:tcPr>
            <w:tcW w:type="dxa" w:w="2600"/>
            <w:shd w:fill="0B1F3A" w:val="clear"/>
            <w:tcMar>
              <w:top w:type="dxa" w:w="90"/>
              <w:left w:type="dxa" w:w="110"/>
              <w:bottom w:type="dxa" w:w="90"/>
              <w:right w:type="dxa" w:w="110"/>
            </w:tcMar>
            <w:vAlign w:val="center"/>
          </w:tcPr>
          <w:p>
            <w:pPr>
              <w:jc w:val="left"/>
            </w:pPr>
            <w:r>
              <w:rPr>
                <w:b/>
                <w:bCs/>
                <w:color w:val="FFFFFF"/>
                <w:sz w:val="19"/>
                <w:szCs w:val="19"/>
              </w:rPr>
              <w:t xml:space="preserve">Organisation (MSP)</w:t>
            </w:r>
          </w:p>
        </w:tc>
        <w:tc>
          <w:tcPr>
            <w:tcW w:type="dxa" w:w="3000"/>
            <w:shd w:fill="0B1F3A" w:val="clear"/>
            <w:tcMar>
              <w:top w:type="dxa" w:w="90"/>
              <w:left w:type="dxa" w:w="110"/>
              <w:bottom w:type="dxa" w:w="90"/>
              <w:right w:type="dxa" w:w="110"/>
            </w:tcMar>
            <w:vAlign w:val="center"/>
          </w:tcPr>
          <w:p>
            <w:pPr>
              <w:jc w:val="left"/>
            </w:pPr>
            <w:r>
              <w:rPr>
                <w:b/>
                <w:bCs/>
                <w:color w:val="FFFFFF"/>
                <w:sz w:val="19"/>
                <w:szCs w:val="19"/>
              </w:rPr>
              <w:t xml:space="preserve">Role</w:t>
            </w:r>
          </w:p>
        </w:tc>
        <w:tc>
          <w:tcPr>
            <w:tcW w:type="dxa" w:w="2400"/>
            <w:shd w:fill="0B1F3A" w:val="clear"/>
            <w:tcMar>
              <w:top w:type="dxa" w:w="90"/>
              <w:left w:type="dxa" w:w="110"/>
              <w:bottom w:type="dxa" w:w="90"/>
              <w:right w:type="dxa" w:w="110"/>
            </w:tcMar>
            <w:vAlign w:val="center"/>
          </w:tcPr>
          <w:p>
            <w:pPr>
              <w:jc w:val="left"/>
            </w:pPr>
            <w:r>
              <w:rPr>
                <w:b/>
                <w:bCs/>
                <w:color w:val="FFFFFF"/>
                <w:sz w:val="19"/>
                <w:szCs w:val="19"/>
              </w:rPr>
              <w:t xml:space="preserve">Nodes operated</w:t>
            </w:r>
          </w:p>
        </w:tc>
        <w:tc>
          <w:tcPr>
            <w:tcW w:type="dxa" w:w="3600"/>
            <w:shd w:fill="0B1F3A" w:val="clear"/>
            <w:tcMar>
              <w:top w:type="dxa" w:w="90"/>
              <w:left w:type="dxa" w:w="110"/>
              <w:bottom w:type="dxa" w:w="90"/>
              <w:right w:type="dxa" w:w="110"/>
            </w:tcMar>
            <w:vAlign w:val="center"/>
          </w:tcPr>
          <w:p>
            <w:pPr>
              <w:jc w:val="left"/>
            </w:pPr>
            <w:r>
              <w:rPr>
                <w:b/>
                <w:bCs/>
                <w:color w:val="FFFFFF"/>
                <w:sz w:val="19"/>
                <w:szCs w:val="19"/>
              </w:rPr>
              <w:t xml:space="preserve">Notes</w:t>
            </w:r>
          </w:p>
        </w:tc>
      </w:tr>
      <w:tr>
        <w:tc>
          <w:tcPr>
            <w:tcW w:type="dxa" w:w="2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i3Tech-MSP</w:t>
            </w:r>
          </w:p>
        </w:tc>
        <w:tc>
          <w:tcPr>
            <w:tcW w:type="dxa" w:w="30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Technology operator / majority validator</w:t>
            </w:r>
          </w:p>
        </w:tc>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2× peer, 1× ordering-service member (Raft), CA</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Runs on ROKS; on-call SRE ownership</w:t>
            </w:r>
          </w:p>
        </w:tc>
      </w:tr>
      <w:tr>
        <w:tc>
          <w:tcPr>
            <w:tcW w:type="dxa" w:w="2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FORDAsili-MSP</w:t>
            </w:r>
          </w:p>
        </w:tc>
        <w:tc>
          <w:tcPr>
            <w:tcW w:type="dxa" w:w="30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Party / National Elections Board</w:t>
            </w:r>
          </w:p>
        </w:tc>
        <w:tc>
          <w:tcPr>
            <w:tcW w:type="dxa" w:w="2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1× peer, 1× ordering-service member, CA</w:t>
            </w:r>
          </w:p>
        </w:tc>
        <w:tc>
          <w:tcPr>
            <w:tcW w:type="dxa" w:w="3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Independent key custody — NEC holds its own signing keys, never i3</w:t>
            </w:r>
          </w:p>
        </w:tc>
      </w:tr>
      <w:tr>
        <w:tc>
          <w:tcPr>
            <w:tcW w:type="dxa" w:w="2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ORPP-Observer-MSP (optional, Phase 2)</w:t>
            </w:r>
          </w:p>
        </w:tc>
        <w:tc>
          <w:tcPr>
            <w:tcW w:type="dxa" w:w="30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Independent compliance observer</w:t>
            </w:r>
          </w:p>
        </w:tc>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1× read-only peer</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Read-only endorsement-exempt observer; strengthens legal defensibility of results</w:t>
            </w:r>
          </w:p>
        </w:tc>
      </w:tr>
    </w:tbl>
    <w:p>
      <w:pPr>
        <w:spacing w:after="120"/>
      </w:pPr>
    </w:p>
    <w:p>
      <w:pPr>
        <w:pStyle w:val="ListParagraph"/>
        <w:numPr>
          <w:ilvl w:val="0"/>
          <w:numId w:val="2"/>
        </w:numPr>
        <w:spacing w:after="70"/>
      </w:pPr>
      <w:r>
        <w:rPr>
          <w:sz w:val="21"/>
          <w:szCs w:val="21"/>
        </w:rPr>
        <w:t xml:space="preserve">Ordering service: Raft consensus across i3Tech-MSP and FORDAsili-MSP orderers — crash-fault tolerant, no single organisation can unilaterally order transactions.</w:t>
      </w:r>
    </w:p>
    <w:p>
      <w:pPr>
        <w:pStyle w:val="ListParagraph"/>
        <w:numPr>
          <w:ilvl w:val="0"/>
          <w:numId w:val="2"/>
        </w:numPr>
        <w:spacing w:after="70"/>
      </w:pPr>
      <w:r>
        <w:rPr>
          <w:sz w:val="21"/>
          <w:szCs w:val="21"/>
        </w:rPr>
        <w:t xml:space="preserve">Channels: a `membership` channel (i3Tech-MSP, FORDAsili-MSP), a `nominations` channel (same members), and a per-election-cycle `primaries-2027` channel using private data collections scoped per constituency to bound ledger size and blast radius.</w:t>
      </w:r>
    </w:p>
    <w:p>
      <w:pPr>
        <w:pStyle w:val="ListParagraph"/>
        <w:numPr>
          <w:ilvl w:val="0"/>
          <w:numId w:val="2"/>
        </w:numPr>
        <w:spacing w:after="70"/>
      </w:pPr>
      <w:r>
        <w:rPr>
          <w:sz w:val="21"/>
          <w:szCs w:val="21"/>
        </w:rPr>
        <w:t xml:space="preserve">Certificate Authorities issue enrolment certificates to application services, not directly to end users — end users authenticate to the Identity Service, which acts on their behalf via service-account identities scoped by role (member, candidate, agent, NEC-reviewer).</w:t>
      </w:r>
    </w:p>
    <w:p>
      <w:pPr>
        <w:spacing w:after="120"/>
      </w:pPr>
    </w:p>
    <w:p>
      <w:pPr>
        <w:pStyle w:val="Heading2"/>
        <w:spacing w:after="120" w:before="260"/>
      </w:pPr>
      <w:r>
        <w:rPr>
          <w:b/>
          <w:bCs/>
          <w:color w:val="0B1F3A"/>
          <w:sz w:val="24"/>
          <w:szCs w:val="24"/>
        </w:rPr>
        <w:t xml:space="preserve">5.2 Chaincode (smart contract) inventory</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3600"/>
      </w:tblGrid>
      <w:tr>
        <w:trPr>
          <w:tblHeader/>
        </w:trPr>
        <w:tc>
          <w:tcPr>
            <w:tcW w:type="dxa" w:w="2200"/>
            <w:shd w:fill="0B1F3A" w:val="clear"/>
            <w:tcMar>
              <w:top w:type="dxa" w:w="90"/>
              <w:left w:type="dxa" w:w="110"/>
              <w:bottom w:type="dxa" w:w="90"/>
              <w:right w:type="dxa" w:w="110"/>
            </w:tcMar>
            <w:vAlign w:val="center"/>
          </w:tcPr>
          <w:p>
            <w:pPr>
              <w:jc w:val="left"/>
            </w:pPr>
            <w:r>
              <w:rPr>
                <w:b/>
                <w:bCs/>
                <w:color w:val="FFFFFF"/>
                <w:sz w:val="19"/>
                <w:szCs w:val="19"/>
              </w:rPr>
              <w:t xml:space="preserve">Chaincode</w:t>
            </w:r>
          </w:p>
        </w:tc>
        <w:tc>
          <w:tcPr>
            <w:tcW w:type="dxa" w:w="5200"/>
            <w:shd w:fill="0B1F3A" w:val="clear"/>
            <w:tcMar>
              <w:top w:type="dxa" w:w="90"/>
              <w:left w:type="dxa" w:w="110"/>
              <w:bottom w:type="dxa" w:w="90"/>
              <w:right w:type="dxa" w:w="110"/>
            </w:tcMar>
            <w:vAlign w:val="center"/>
          </w:tcPr>
          <w:p>
            <w:pPr>
              <w:jc w:val="left"/>
            </w:pPr>
            <w:r>
              <w:rPr>
                <w:b/>
                <w:bCs/>
                <w:color w:val="FFFFFF"/>
                <w:sz w:val="19"/>
                <w:szCs w:val="19"/>
              </w:rPr>
              <w:t xml:space="preserve">Key functions</w:t>
            </w:r>
          </w:p>
        </w:tc>
        <w:tc>
          <w:tcPr>
            <w:tcW w:type="dxa" w:w="3600"/>
            <w:shd w:fill="0B1F3A" w:val="clear"/>
            <w:tcMar>
              <w:top w:type="dxa" w:w="90"/>
              <w:left w:type="dxa" w:w="110"/>
              <w:bottom w:type="dxa" w:w="90"/>
              <w:right w:type="dxa" w:w="110"/>
            </w:tcMar>
            <w:vAlign w:val="center"/>
          </w:tcPr>
          <w:p>
            <w:pPr>
              <w:jc w:val="left"/>
            </w:pPr>
            <w:r>
              <w:rPr>
                <w:b/>
                <w:bCs/>
                <w:color w:val="FFFFFF"/>
                <w:sz w:val="19"/>
                <w:szCs w:val="19"/>
              </w:rPr>
              <w:t xml:space="preserve">State written</w:t>
            </w:r>
          </w:p>
        </w:tc>
      </w:tr>
      <w:tr>
        <w:tc>
          <w:tcPr>
            <w:tcW w:type="dxa" w:w="2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MembershipRegistry</w:t>
            </w:r>
          </w:p>
        </w:tc>
        <w:tc>
          <w:tcPr>
            <w:tcW w:type="dxa" w:w="5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RegisterMember, VerifyMember, FlagDuplicate, RenewMembership, GetMemberStatus</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Hashed national-ID reference, ward, status (pending/verified/flagged/active), consent timestamp</w:t>
            </w:r>
          </w:p>
        </w:tc>
      </w:tr>
      <w:tr>
        <w:tc>
          <w:tcPr>
            <w:tcW w:type="dxa" w:w="2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Nomination</w:t>
            </w:r>
          </w:p>
        </w:tc>
        <w:tc>
          <w:tcPr>
            <w:tcW w:type="dxa" w:w="5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OpenNominationWindow, SubmitCandidacy, ApplyWaiver(GenZ/MCA), RecordFeePayment, RecordMemberDutyProgress, CertifyEligibility, CloseNominationWindow</w:t>
            </w:r>
          </w:p>
        </w:tc>
        <w:tc>
          <w:tcPr>
            <w:tcW w:type="dxa" w:w="3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Candidate ID, seat, fee/waiver status, member-duty counter, eligibility flag, certification hash</w:t>
            </w:r>
          </w:p>
        </w:tc>
      </w:tr>
      <w:tr>
        <w:tc>
          <w:tcPr>
            <w:tcW w:type="dxa" w:w="2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Escrow</w:t>
            </w:r>
          </w:p>
        </w:tc>
        <w:tc>
          <w:tcPr>
            <w:tcW w:type="dxa" w:w="5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CollectDeposit, ReleaseDeposit, ForfeitDeposit, WaiveDeposit(PWD/indigent)</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Deposit status keyed to candidate ID and Daraja transaction reference</w:t>
            </w:r>
          </w:p>
        </w:tc>
      </w:tr>
      <w:tr>
        <w:tc>
          <w:tcPr>
            <w:tcW w:type="dxa" w:w="2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PrimaryVoting</w:t>
            </w:r>
          </w:p>
        </w:tc>
        <w:tc>
          <w:tcPr>
            <w:tcW w:type="dxa" w:w="5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OpenBallot, CastEncryptedBallot, CloseBallot, RecordTurnoutEvent</w:t>
            </w:r>
          </w:p>
        </w:tc>
        <w:tc>
          <w:tcPr>
            <w:tcW w:type="dxa" w:w="3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Turnout event per verified voter (public); encrypted ballot content (private data collection, scoped to tally peers only)</w:t>
            </w:r>
          </w:p>
        </w:tc>
      </w:tr>
      <w:tr>
        <w:tc>
          <w:tcPr>
            <w:tcW w:type="dxa" w:w="2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ResultTally</w:t>
            </w:r>
          </w:p>
        </w:tc>
        <w:tc>
          <w:tcPr>
            <w:tcW w:type="dxa" w:w="5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Tally, PublishSignedResult, OpenDisputeWindow, RecordDisputeEvidence, ResolveDispute</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Aggregated, signed result summaries; dispute case references and evidence hashes</w:t>
            </w:r>
          </w:p>
        </w:tc>
      </w:tr>
    </w:tbl>
    <w:tbl>
      <w:tblPr>
        <w:tblW w:type="pct" w:w="100%"/>
        <w:tblBorders>
          <w:top w:val="single" w:color="0B1F3A" w:sz="4"/>
          <w:left w:val="single" w:color="0B1F3A" w:sz="24"/>
          <w:bottom w:val="single" w:color="0B1F3A" w:sz="4"/>
          <w:right w:val="single" w:color="0B1F3A" w:sz="4"/>
          <w:insideH w:val="single" w:color="auto" w:sz="4"/>
          <w:insideV w:val="single" w:color="auto" w:sz="4"/>
        </w:tblBorders>
      </w:tblPr>
      <w:tblGrid>
        <w:gridCol w:w="100"/>
      </w:tblGrid>
      <w:tr>
        <w:tc>
          <w:tcPr>
            <w:shd w:fill="E8ECF2" w:val="clear"/>
            <w:tcMar>
              <w:top w:type="dxa" w:w="120"/>
              <w:left w:type="dxa" w:w="180"/>
              <w:bottom w:type="dxa" w:w="120"/>
              <w:right w:type="dxa" w:w="180"/>
            </w:tcMar>
          </w:tcPr>
          <w:p>
            <w:pPr>
              <w:spacing w:after="40"/>
            </w:pPr>
            <w:r>
              <w:rPr>
                <w:b/>
                <w:bCs/>
                <w:color w:val="0B1F3A"/>
                <w:sz w:val="20"/>
                <w:szCs w:val="20"/>
              </w:rPr>
              <w:t xml:space="preserve">MUST — ballot secrecy control</w:t>
            </w:r>
          </w:p>
          <w:p>
            <w:r>
              <w:rPr>
                <w:color w:val="1f2328"/>
                <w:sz w:val="20"/>
                <w:szCs w:val="20"/>
              </w:rPr>
              <w:t xml:space="preserve">CastEncryptedBallot writes only a turnout event (member voted: yes/no, timestamped, publicly auditable) to the public channel state. The actual candidate choice is written only into a private data collection accessible to the tally peers, encrypted client-side before submission, and never linked to the voter's identity in any queryable index. This is the concrete mechanism satisfying the "separate identity verification from ballot secrecy" recommendation in every OSINT report.</w:t>
            </w:r>
          </w:p>
        </w:tc>
      </w:tr>
    </w:tbl>
    <w:p>
      <w:r>
        <w:br w:type="page"/>
      </w:r>
    </w:p>
    <w:p>
      <w:pPr>
        <w:pStyle w:val="Heading1"/>
        <w:pBdr>
          <w:bottom w:val="single" w:color="C9A227" w:sz="8" w:space="4"/>
        </w:pBdr>
        <w:spacing w:after="160" w:before="360"/>
      </w:pPr>
      <w:r>
        <w:rPr>
          <w:b/>
          <w:bCs/>
          <w:color w:val="0B1F3A"/>
          <w:sz w:val="30"/>
          <w:szCs w:val="30"/>
        </w:rPr>
        <w:t xml:space="preserve">6. Identity, Authentication &amp; Ballot Secrecy</w:t>
      </w:r>
    </w:p>
    <w:p>
      <w:pPr>
        <w:pStyle w:val="Heading2"/>
        <w:spacing w:after="120" w:before="260"/>
      </w:pPr>
      <w:r>
        <w:rPr>
          <w:b/>
          <w:bCs/>
          <w:color w:val="0B1F3A"/>
          <w:sz w:val="24"/>
          <w:szCs w:val="24"/>
        </w:rPr>
        <w:t xml:space="preserve">6.1 Identity verification pipeline</w:t>
      </w:r>
    </w:p>
    <w:p>
      <w:pPr>
        <w:pStyle w:val="ListParagraph"/>
        <w:numPr>
          <w:ilvl w:val="0"/>
          <w:numId w:val="3"/>
        </w:numPr>
        <w:spacing w:after="70"/>
      </w:pPr>
      <w:r>
        <w:rPr>
          <w:sz w:val="21"/>
          <w:szCs w:val="21"/>
        </w:rPr>
        <w:t xml:space="preserve">Candidate/agent submits a new member via web, mobile, USSD, or an i3 Engage-driven WhatsApp/SMS flow, capturing: full name, national ID number, phone number, ward, and explicit consent to processing under the Data Protection Act 2019.</w:t>
      </w:r>
    </w:p>
    <w:p>
      <w:pPr>
        <w:pStyle w:val="ListParagraph"/>
        <w:numPr>
          <w:ilvl w:val="0"/>
          <w:numId w:val="3"/>
        </w:numPr>
        <w:spacing w:after="70"/>
      </w:pPr>
      <w:r>
        <w:rPr>
          <w:sz w:val="21"/>
          <w:szCs w:val="21"/>
        </w:rPr>
        <w:t xml:space="preserve">Identity Service validates ID-number format and phone format, then calls the Dedup/Verification Service, which checks the encrypted PII store for existing hashed-ID matches across the whole national register (not just within one ward).</w:t>
      </w:r>
    </w:p>
    <w:p>
      <w:pPr>
        <w:pStyle w:val="ListParagraph"/>
        <w:numPr>
          <w:ilvl w:val="0"/>
          <w:numId w:val="3"/>
        </w:numPr>
        <w:spacing w:after="70"/>
      </w:pPr>
      <w:r>
        <w:rPr>
          <w:sz w:val="21"/>
          <w:szCs w:val="21"/>
        </w:rPr>
        <w:t xml:space="preserve">If no duplicate: a member record is created with status `pending`, an OTP is sent to the phone for confirmation, and — once confirmed — MembershipRegistry.RegisterMember writes the hashed reference and status `verified` to the ledger.</w:t>
      </w:r>
    </w:p>
    <w:p>
      <w:pPr>
        <w:pStyle w:val="ListParagraph"/>
        <w:numPr>
          <w:ilvl w:val="0"/>
          <w:numId w:val="3"/>
        </w:numPr>
        <w:spacing w:after="70"/>
      </w:pPr>
      <w:r>
        <w:rPr>
          <w:sz w:val="21"/>
          <w:szCs w:val="21"/>
        </w:rPr>
        <w:t xml:space="preserve">If a duplicate or suspicious bulk-registration pattern is detected (same device/agent registering many members in a short window, sequential ID numbers, repeated phone prefixes), the record is set to `flagged` and routed to the National Elections Board review queue — never silently rejected or silently accepted.</w:t>
      </w:r>
    </w:p>
    <w:p>
      <w:pPr>
        <w:spacing w:after="120"/>
      </w:pPr>
    </w:p>
    <w:p>
      <w:pPr>
        <w:pStyle w:val="Heading2"/>
        <w:spacing w:after="120" w:before="260"/>
      </w:pPr>
      <w:r>
        <w:rPr>
          <w:b/>
          <w:bCs/>
          <w:color w:val="0B1F3A"/>
          <w:sz w:val="24"/>
          <w:szCs w:val="24"/>
        </w:rPr>
        <w:t xml:space="preserve">6.2 Authentication tiers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600"/>
      </w:tblGrid>
      <w:tr>
        <w:trPr>
          <w:tblHeader/>
        </w:trPr>
        <w:tc>
          <w:tcPr>
            <w:tcW w:type="dxa" w:w="2600"/>
            <w:shd w:fill="0B1F3A" w:val="clear"/>
            <w:tcMar>
              <w:top w:type="dxa" w:w="90"/>
              <w:left w:type="dxa" w:w="110"/>
              <w:bottom w:type="dxa" w:w="90"/>
              <w:right w:type="dxa" w:w="110"/>
            </w:tcMar>
            <w:vAlign w:val="center"/>
          </w:tcPr>
          <w:p>
            <w:pPr>
              <w:jc w:val="left"/>
            </w:pPr>
            <w:r>
              <w:rPr>
                <w:b/>
                <w:bCs/>
                <w:color w:val="FFFFFF"/>
                <w:sz w:val="19"/>
                <w:szCs w:val="19"/>
              </w:rPr>
              <w:t xml:space="preserve">Actor</w:t>
            </w:r>
          </w:p>
        </w:tc>
        <w:tc>
          <w:tcPr>
            <w:tcW w:type="dxa" w:w="2600"/>
            <w:shd w:fill="0B1F3A" w:val="clear"/>
            <w:tcMar>
              <w:top w:type="dxa" w:w="90"/>
              <w:left w:type="dxa" w:w="110"/>
              <w:bottom w:type="dxa" w:w="90"/>
              <w:right w:type="dxa" w:w="110"/>
            </w:tcMar>
            <w:vAlign w:val="center"/>
          </w:tcPr>
          <w:p>
            <w:pPr>
              <w:jc w:val="left"/>
            </w:pPr>
            <w:r>
              <w:rPr>
                <w:b/>
                <w:bCs/>
                <w:color w:val="FFFFFF"/>
                <w:sz w:val="19"/>
                <w:szCs w:val="19"/>
              </w:rPr>
              <w:t xml:space="preserve">Channel</w:t>
            </w:r>
          </w:p>
        </w:tc>
        <w:tc>
          <w:tcPr>
            <w:tcW w:type="dxa" w:w="3600"/>
            <w:shd w:fill="0B1F3A" w:val="clear"/>
            <w:tcMar>
              <w:top w:type="dxa" w:w="90"/>
              <w:left w:type="dxa" w:w="110"/>
              <w:bottom w:type="dxa" w:w="90"/>
              <w:right w:type="dxa" w:w="110"/>
            </w:tcMar>
            <w:vAlign w:val="center"/>
          </w:tcPr>
          <w:p>
            <w:pPr>
              <w:jc w:val="left"/>
            </w:pPr>
            <w:r>
              <w:rPr>
                <w:b/>
                <w:bCs/>
                <w:color w:val="FFFFFF"/>
                <w:sz w:val="19"/>
                <w:szCs w:val="19"/>
              </w:rPr>
              <w:t xml:space="preserve">Authentication</w:t>
            </w:r>
          </w:p>
        </w:tc>
      </w:tr>
      <w:tr>
        <w:tc>
          <w:tcPr>
            <w:tcW w:type="dxa" w:w="2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Ordinary member</w:t>
            </w:r>
          </w:p>
        </w:tc>
        <w:tc>
          <w:tcPr>
            <w:tcW w:type="dxa" w:w="2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USSD / SMS / WhatsApp</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Phone-number possession (OTP) + national-ID match; no password</w:t>
            </w:r>
          </w:p>
        </w:tc>
      </w:tr>
      <w:tr>
        <w:tc>
          <w:tcPr>
            <w:tcW w:type="dxa" w:w="2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Ordinary member</w:t>
            </w:r>
          </w:p>
        </w:tc>
        <w:tc>
          <w:tcPr>
            <w:tcW w:type="dxa" w:w="2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Web/mobile app</w:t>
            </w:r>
          </w:p>
        </w:tc>
        <w:tc>
          <w:tcPr>
            <w:tcW w:type="dxa" w:w="3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Phone OTP + optional PIN for repeat sessions</w:t>
            </w:r>
          </w:p>
        </w:tc>
      </w:tr>
      <w:tr>
        <w:tc>
          <w:tcPr>
            <w:tcW w:type="dxa" w:w="2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Candidate</w:t>
            </w:r>
          </w:p>
        </w:tc>
        <w:tc>
          <w:tcPr>
            <w:tcW w:type="dxa" w:w="2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Candidate portal</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Phone OTP + email verification + document upload; elevated KYC before nomination certification</w:t>
            </w:r>
          </w:p>
        </w:tc>
      </w:tr>
      <w:tr>
        <w:tc>
          <w:tcPr>
            <w:tcW w:type="dxa" w:w="2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Recruitment agent / candidate's team</w:t>
            </w:r>
          </w:p>
        </w:tc>
        <w:tc>
          <w:tcPr>
            <w:tcW w:type="dxa" w:w="2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i3 Engage campaign console</w:t>
            </w:r>
          </w:p>
        </w:tc>
        <w:tc>
          <w:tcPr>
            <w:tcW w:type="dxa" w:w="3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SSO via i3 identity provider + role-scoped API token; MFA mandatory</w:t>
            </w:r>
          </w:p>
        </w:tc>
      </w:tr>
      <w:tr>
        <w:tc>
          <w:tcPr>
            <w:tcW w:type="dxa" w:w="2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National Elections Board reviewer</w:t>
            </w:r>
          </w:p>
        </w:tc>
        <w:tc>
          <w:tcPr>
            <w:tcW w:type="dxa" w:w="2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Admin console</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SSO + hardware-token MFA; all actions logged to an immutable audit channel</w:t>
            </w:r>
          </w:p>
        </w:tc>
      </w:tr>
      <w:tr>
        <w:tc>
          <w:tcPr>
            <w:tcW w:type="dxa" w:w="2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i3 platform engineer</w:t>
            </w:r>
          </w:p>
        </w:tc>
        <w:tc>
          <w:tcPr>
            <w:tcW w:type="dxa" w:w="2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Fabric CA / OpenShift console</w:t>
            </w:r>
          </w:p>
        </w:tc>
        <w:tc>
          <w:tcPr>
            <w:tcW w:type="dxa" w:w="3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Hardware-token MFA; break-glass access requires two-person authorisation and is itself logged on-chain</w:t>
            </w:r>
          </w:p>
        </w:tc>
      </w:tr>
    </w:tbl>
    <w:p>
      <w:pPr>
        <w:spacing w:after="120"/>
      </w:pPr>
    </w:p>
    <w:p>
      <w:pPr>
        <w:pStyle w:val="Heading2"/>
        <w:spacing w:after="120" w:before="260"/>
      </w:pPr>
      <w:r>
        <w:rPr>
          <w:b/>
          <w:bCs/>
          <w:color w:val="0B1F3A"/>
          <w:sz w:val="24"/>
          <w:szCs w:val="24"/>
        </w:rPr>
        <w:t xml:space="preserve">6.3 Why never rely on a phone number alone</w:t>
      </w:r>
    </w:p>
    <w:p>
      <w:pPr>
        <w:spacing w:after="140" w:line="276"/>
      </w:pPr>
      <w:r>
        <w:rPr>
          <w:color w:val="1f2328"/>
          <w:sz w:val="21"/>
          <w:szCs w:val="21"/>
        </w:rPr>
        <w:t xml:space="preserve">All three OSINT assessments flag phone-only authentication as insufficient for something with legal consequences. The design mitigates this three ways: (1) national-ID cross-check against the certified register at registration time, (2) SIM-swap risk mitigated by binding a member's OTP-verified phone to a re-verification step if the phone number changes after initial registration, and (3) any change of registered phone number for an already-active member requires a secondary verification path (in-person agent confirmation or video-KYC in Phase 2), never a bare SMS reset.</w:t>
      </w:r>
    </w:p>
    <w:p>
      <w:r>
        <w:br w:type="page"/>
      </w:r>
    </w:p>
    <w:p>
      <w:pPr>
        <w:pStyle w:val="Heading1"/>
        <w:pBdr>
          <w:bottom w:val="single" w:color="C9A227" w:sz="8" w:space="4"/>
        </w:pBdr>
        <w:spacing w:after="160" w:before="360"/>
      </w:pPr>
      <w:r>
        <w:rPr>
          <w:b/>
          <w:bCs/>
          <w:color w:val="0B1F3A"/>
          <w:sz w:val="30"/>
          <w:szCs w:val="30"/>
        </w:rPr>
        <w:t xml:space="preserve">7. i3 Engage Recruitment Drive Integration</w:t>
      </w:r>
    </w:p>
    <w:p>
      <w:pPr>
        <w:pStyle w:val="Heading2"/>
        <w:spacing w:after="120" w:before="260"/>
      </w:pPr>
      <w:r>
        <w:rPr>
          <w:b/>
          <w:bCs/>
          <w:color w:val="0B1F3A"/>
          <w:sz w:val="24"/>
          <w:szCs w:val="24"/>
        </w:rPr>
        <w:t xml:space="preserve">7.1 Why i3 Engage sits in front of the membership register</w:t>
      </w:r>
    </w:p>
    <w:p>
      <w:pPr>
        <w:spacing w:after="140" w:line="276"/>
      </w:pPr>
      <w:r>
        <w:rPr>
          <w:color w:val="1f2328"/>
          <w:sz w:val="21"/>
          <w:szCs w:val="21"/>
        </w:rPr>
        <w:t xml:space="preserve">The single biggest technical risk flagged across all three OSINT reports is register inflation: candidates chasing a 1,000-member (or tiered 400–1,000) quota have every incentive to submit low-quality, duplicate, or coerced sign-ups. i3 Engage is positioned as the only channel through which bulk recruitment happens, so every recruitment interaction is instrumented, rate-limited, and consent-checked before it ever reaches MembershipRegistry.</w:t>
      </w:r>
    </w:p>
    <w:p>
      <w:pPr>
        <w:pStyle w:val="Heading2"/>
        <w:spacing w:after="120" w:before="260"/>
      </w:pPr>
      <w:r>
        <w:rPr>
          <w:b/>
          <w:bCs/>
          <w:color w:val="0B1F3A"/>
          <w:sz w:val="24"/>
          <w:szCs w:val="24"/>
        </w:rPr>
        <w:t xml:space="preserve">7.2 Recruitment workflow</w:t>
      </w:r>
    </w:p>
    <w:p>
      <w:pPr>
        <w:pStyle w:val="ListParagraph"/>
        <w:numPr>
          <w:ilvl w:val="0"/>
          <w:numId w:val="3"/>
        </w:numPr>
        <w:spacing w:after="70"/>
      </w:pPr>
      <w:r>
        <w:rPr>
          <w:sz w:val="21"/>
          <w:szCs w:val="21"/>
        </w:rPr>
        <w:t xml:space="preserve">Candidate is onboarded in the Candidate Portal and issued an i3 Engage campaign workspace scoped to their ward (or constituency, for MP-level races).</w:t>
      </w:r>
    </w:p>
    <w:p>
      <w:pPr>
        <w:pStyle w:val="ListParagraph"/>
        <w:numPr>
          <w:ilvl w:val="0"/>
          <w:numId w:val="3"/>
        </w:numPr>
        <w:spacing w:after="70"/>
      </w:pPr>
      <w:r>
        <w:rPr>
          <w:sz w:val="21"/>
          <w:szCs w:val="21"/>
        </w:rPr>
        <w:t xml:space="preserve">Dawa (the existing PMaaS AI co-worker) drafts ward-specific recruitment scripts for SMS, WhatsApp and voice-assisted USSD prompts; a human campaign owner reviews and approves scripts before send — no AI-generated message reaches a voter unreviewed.</w:t>
      </w:r>
    </w:p>
    <w:p>
      <w:pPr>
        <w:pStyle w:val="ListParagraph"/>
        <w:numPr>
          <w:ilvl w:val="0"/>
          <w:numId w:val="3"/>
        </w:numPr>
        <w:spacing w:after="70"/>
      </w:pPr>
      <w:r>
        <w:rPr>
          <w:sz w:val="21"/>
          <w:szCs w:val="21"/>
        </w:rPr>
        <w:t xml:space="preserve">i3 Engage runs the outreach sequence (SMS blast, WhatsApp broadcast to opted-in numbers, or agent-assisted door-to-door capture via the Engage mobile app) and captures consent-to-join responses as structured leads.</w:t>
      </w:r>
    </w:p>
    <w:p>
      <w:pPr>
        <w:pStyle w:val="ListParagraph"/>
        <w:numPr>
          <w:ilvl w:val="0"/>
          <w:numId w:val="3"/>
        </w:numPr>
        <w:spacing w:after="70"/>
      </w:pPr>
      <w:r>
        <w:rPr>
          <w:sz w:val="21"/>
          <w:szCs w:val="21"/>
        </w:rPr>
        <w:t xml:space="preserve">Each lead is pushed via the i3 Engage → Membership Service webhook into the identity verification pipeline described in Section 6.1 — Engage never writes directly to the ledger.</w:t>
      </w:r>
    </w:p>
    <w:p>
      <w:pPr>
        <w:pStyle w:val="ListParagraph"/>
        <w:numPr>
          <w:ilvl w:val="0"/>
          <w:numId w:val="3"/>
        </w:numPr>
        <w:spacing w:after="70"/>
      </w:pPr>
      <w:r>
        <w:rPr>
          <w:sz w:val="21"/>
          <w:szCs w:val="21"/>
        </w:rPr>
        <w:t xml:space="preserve">Rate limiting: the Membership Service enforces a per-agent/per-candidate velocity cap (configurable; default 150 verified registrations/day/agent) so a sudden spike in submissions is throttled into the human-review queue rather than silently accepted.</w:t>
      </w:r>
    </w:p>
    <w:p>
      <w:pPr>
        <w:pStyle w:val="ListParagraph"/>
        <w:numPr>
          <w:ilvl w:val="0"/>
          <w:numId w:val="3"/>
        </w:numPr>
        <w:spacing w:after="70"/>
      </w:pPr>
      <w:r>
        <w:rPr>
          <w:sz w:val="21"/>
          <w:szCs w:val="21"/>
        </w:rPr>
        <w:t xml:space="preserve">The candidate's live member-duty counter (MembershipRegistry / Nomination chaincode) is exposed back into their i3 Engage dashboard, turning recruitment into a gamified, real-time progress view rather than a black box.</w:t>
      </w:r>
    </w:p>
    <w:p>
      <w:pPr>
        <w:spacing w:after="120"/>
      </w:pPr>
    </w:p>
    <w:p>
      <w:pPr>
        <w:pStyle w:val="Heading2"/>
        <w:spacing w:after="120" w:before="260"/>
      </w:pPr>
      <w:r>
        <w:rPr>
          <w:b/>
          <w:bCs/>
          <w:color w:val="0B1F3A"/>
          <w:sz w:val="24"/>
          <w:szCs w:val="24"/>
        </w:rPr>
        <w:t xml:space="preserve">7.3 i3 Engage — technical integration points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800"/>
      </w:tblGrid>
      <w:tr>
        <w:trPr>
          <w:tblHeader/>
        </w:trPr>
        <w:tc>
          <w:tcPr>
            <w:tcW w:type="dxa" w:w="2400"/>
            <w:shd w:fill="0B1F3A" w:val="clear"/>
            <w:tcMar>
              <w:top w:type="dxa" w:w="90"/>
              <w:left w:type="dxa" w:w="110"/>
              <w:bottom w:type="dxa" w:w="90"/>
              <w:right w:type="dxa" w:w="110"/>
            </w:tcMar>
            <w:vAlign w:val="center"/>
          </w:tcPr>
          <w:p>
            <w:pPr>
              <w:jc w:val="left"/>
            </w:pPr>
            <w:r>
              <w:rPr>
                <w:b/>
                <w:bCs/>
                <w:color w:val="FFFFFF"/>
                <w:sz w:val="19"/>
                <w:szCs w:val="19"/>
              </w:rPr>
              <w:t xml:space="preserve">Integration point</w:t>
            </w:r>
          </w:p>
        </w:tc>
        <w:tc>
          <w:tcPr>
            <w:tcW w:type="dxa" w:w="2600"/>
            <w:shd w:fill="0B1F3A" w:val="clear"/>
            <w:tcMar>
              <w:top w:type="dxa" w:w="90"/>
              <w:left w:type="dxa" w:w="110"/>
              <w:bottom w:type="dxa" w:w="90"/>
              <w:right w:type="dxa" w:w="110"/>
            </w:tcMar>
            <w:vAlign w:val="center"/>
          </w:tcPr>
          <w:p>
            <w:pPr>
              <w:jc w:val="left"/>
            </w:pPr>
            <w:r>
              <w:rPr>
                <w:b/>
                <w:bCs/>
                <w:color w:val="FFFFFF"/>
                <w:sz w:val="19"/>
                <w:szCs w:val="19"/>
              </w:rPr>
              <w:t xml:space="preserve">Direction</w:t>
            </w:r>
          </w:p>
        </w:tc>
        <w:tc>
          <w:tcPr>
            <w:tcW w:type="dxa" w:w="3800"/>
            <w:shd w:fill="0B1F3A" w:val="clear"/>
            <w:tcMar>
              <w:top w:type="dxa" w:w="90"/>
              <w:left w:type="dxa" w:w="110"/>
              <w:bottom w:type="dxa" w:w="90"/>
              <w:right w:type="dxa" w:w="110"/>
            </w:tcMar>
            <w:vAlign w:val="center"/>
          </w:tcPr>
          <w:p>
            <w:pPr>
              <w:jc w:val="left"/>
            </w:pPr>
            <w:r>
              <w:rPr>
                <w:b/>
                <w:bCs/>
                <w:color w:val="FFFFFF"/>
                <w:sz w:val="19"/>
                <w:szCs w:val="19"/>
              </w:rPr>
              <w:t xml:space="preserve">Payload / mechanism</w:t>
            </w:r>
          </w:p>
        </w:tc>
      </w:tr>
      <w:tr>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Campaign creation API</w:t>
            </w:r>
          </w:p>
        </w:tc>
        <w:tc>
          <w:tcPr>
            <w:tcW w:type="dxa" w:w="2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PMaaS → i3 Engage</w:t>
            </w:r>
          </w:p>
        </w:tc>
        <w:tc>
          <w:tcPr>
            <w:tcW w:type="dxa" w:w="3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Ward, candidate ID, approved script variants, target headcount, campaign window</w:t>
            </w:r>
          </w:p>
        </w:tc>
      </w:tr>
      <w:tr>
        <w:tc>
          <w:tcPr>
            <w:tcW w:type="dxa" w:w="2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Lead capture webhook</w:t>
            </w:r>
          </w:p>
        </w:tc>
        <w:tc>
          <w:tcPr>
            <w:tcW w:type="dxa" w:w="2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i3 Engage → Membership Service</w:t>
            </w:r>
          </w:p>
        </w:tc>
        <w:tc>
          <w:tcPr>
            <w:tcW w:type="dxa" w:w="3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Name, phone, national ID (where captured), ward, consent flag, agent ID, timestamp</w:t>
            </w:r>
          </w:p>
        </w:tc>
      </w:tr>
      <w:tr>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Consent double-opt-in</w:t>
            </w:r>
          </w:p>
        </w:tc>
        <w:tc>
          <w:tcPr>
            <w:tcW w:type="dxa" w:w="2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i3 Engage ↔ member</w:t>
            </w:r>
          </w:p>
        </w:tc>
        <w:tc>
          <w:tcPr>
            <w:tcW w:type="dxa" w:w="3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WhatsApp/SMS confirmation message with explicit opt-in link before lead is marked consented</w:t>
            </w:r>
          </w:p>
        </w:tc>
      </w:tr>
      <w:tr>
        <w:tc>
          <w:tcPr>
            <w:tcW w:type="dxa" w:w="2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Progress feed</w:t>
            </w:r>
          </w:p>
        </w:tc>
        <w:tc>
          <w:tcPr>
            <w:tcW w:type="dxa" w:w="2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Membership Service → i3 Engage dashboard</w:t>
            </w:r>
          </w:p>
        </w:tc>
        <w:tc>
          <w:tcPr>
            <w:tcW w:type="dxa" w:w="3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Verified-member count, flagged count, duplicate-rejection count per candidate</w:t>
            </w:r>
          </w:p>
        </w:tc>
      </w:tr>
      <w:tr>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Dedup signal</w:t>
            </w:r>
          </w:p>
        </w:tc>
        <w:tc>
          <w:tcPr>
            <w:tcW w:type="dxa" w:w="2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Dedup/Verification Service → i3 Engage</w:t>
            </w:r>
          </w:p>
        </w:tc>
        <w:tc>
          <w:tcPr>
            <w:tcW w:type="dxa" w:w="3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Suppresses re-targeting of already-registered numbers to avoid spam/harassment complaints</w:t>
            </w:r>
          </w:p>
        </w:tc>
      </w:tr>
      <w:tr>
        <w:tc>
          <w:tcPr>
            <w:tcW w:type="dxa" w:w="2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Script content</w:t>
            </w:r>
          </w:p>
        </w:tc>
        <w:tc>
          <w:tcPr>
            <w:tcW w:type="dxa" w:w="2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Dawa AI → i3 Engage (via human approval queue)</w:t>
            </w:r>
          </w:p>
        </w:tc>
        <w:tc>
          <w:tcPr>
            <w:tcW w:type="dxa" w:w="3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Draft ward-specific copy; never auto-published</w:t>
            </w:r>
          </w:p>
        </w:tc>
      </w:tr>
    </w:tbl>
    <w:p>
      <w:pPr>
        <w:spacing w:after="120"/>
      </w:pPr>
    </w:p>
    <w:p>
      <w:pPr>
        <w:pStyle w:val="Heading2"/>
        <w:spacing w:after="120" w:before="260"/>
      </w:pPr>
      <w:r>
        <w:rPr>
          <w:b/>
          <w:bCs/>
          <w:color w:val="0B1F3A"/>
          <w:sz w:val="24"/>
          <w:szCs w:val="24"/>
        </w:rPr>
        <w:t xml:space="preserve">7.4 Compliance guardrails specific to Engage</w:t>
      </w:r>
    </w:p>
    <w:p>
      <w:pPr>
        <w:pStyle w:val="ListParagraph"/>
        <w:numPr>
          <w:ilvl w:val="0"/>
          <w:numId w:val="2"/>
        </w:numPr>
        <w:spacing w:after="70"/>
      </w:pPr>
      <w:r>
        <w:rPr>
          <w:sz w:val="21"/>
          <w:szCs w:val="21"/>
        </w:rPr>
        <w:t xml:space="preserve">Every outbound message includes a clear opt-out/STOP instruction; opt-outs propagate immediately to suppress further contact, satisfying Data Protection Act consent-withdrawal requirements.</w:t>
      </w:r>
    </w:p>
    <w:p>
      <w:pPr>
        <w:pStyle w:val="ListParagraph"/>
        <w:numPr>
          <w:ilvl w:val="0"/>
          <w:numId w:val="2"/>
        </w:numPr>
        <w:spacing w:after="70"/>
      </w:pPr>
      <w:r>
        <w:rPr>
          <w:sz w:val="21"/>
          <w:szCs w:val="21"/>
        </w:rPr>
        <w:t xml:space="preserve">Membership must never be represented as tied to a promise of public benefit (CDF, bursary, jobs) in Engage script content — this is enforced by a keyword/policy linter in the script-approval queue, not left to reviewer memory.</w:t>
      </w:r>
    </w:p>
    <w:p>
      <w:pPr>
        <w:pStyle w:val="ListParagraph"/>
        <w:numPr>
          <w:ilvl w:val="0"/>
          <w:numId w:val="2"/>
        </w:numPr>
        <w:spacing w:after="70"/>
      </w:pPr>
      <w:r>
        <w:rPr>
          <w:sz w:val="21"/>
          <w:szCs w:val="21"/>
        </w:rPr>
        <w:t xml:space="preserve">Engage campaign data retention follows the platform-wide retention schedule (Section 9); raw outreach logs are purged after the statutory retention period while consented, verified member records persist in the register.</w:t>
      </w:r>
    </w:p>
    <w:p>
      <w:r>
        <w:br w:type="page"/>
      </w:r>
    </w:p>
    <w:p>
      <w:pPr>
        <w:pStyle w:val="Heading1"/>
        <w:pBdr>
          <w:bottom w:val="single" w:color="C9A227" w:sz="8" w:space="4"/>
        </w:pBdr>
        <w:spacing w:after="160" w:before="360"/>
      </w:pPr>
      <w:r>
        <w:rPr>
          <w:b/>
          <w:bCs/>
          <w:color w:val="0B1F3A"/>
          <w:sz w:val="30"/>
          <w:szCs w:val="30"/>
        </w:rPr>
        <w:t xml:space="preserve">8. Digital Primaries: End-to-End Design</w:t>
      </w:r>
    </w:p>
    <w:p>
      <w:pPr>
        <w:pStyle w:val="Heading2"/>
        <w:spacing w:after="120" w:before="260"/>
      </w:pPr>
      <w:r>
        <w:rPr>
          <w:b/>
          <w:bCs/>
          <w:color w:val="0B1F3A"/>
          <w:sz w:val="24"/>
          <w:szCs w:val="24"/>
        </w:rPr>
        <w:t xml:space="preserve">8.1 Primary-day sequence</w:t>
      </w:r>
    </w:p>
    <w:p>
      <w:pPr>
        <w:pStyle w:val="ListParagraph"/>
        <w:numPr>
          <w:ilvl w:val="0"/>
          <w:numId w:val="3"/>
        </w:numPr>
        <w:spacing w:after="70"/>
      </w:pPr>
      <w:r>
        <w:rPr>
          <w:sz w:val="21"/>
          <w:szCs w:val="21"/>
        </w:rPr>
        <w:t xml:space="preserve">National Elections Board opens the ballot for a given ward/seat via PrimaryVoting.OpenBallot, referencing the certified voter roll snapshot (a Merkle-rooted extract of MembershipRegistry state as of the certification date).</w:t>
      </w:r>
    </w:p>
    <w:p>
      <w:pPr>
        <w:pStyle w:val="ListParagraph"/>
        <w:numPr>
          <w:ilvl w:val="0"/>
          <w:numId w:val="3"/>
        </w:numPr>
        <w:spacing w:after="70"/>
      </w:pPr>
      <w:r>
        <w:rPr>
          <w:sz w:val="21"/>
          <w:szCs w:val="21"/>
        </w:rPr>
        <w:t xml:space="preserve">Eligible voter authenticates (Section 6.2) via web, app, or USSD and receives a one-time ballot token bound to their verified member ID but cryptographically unlinkable to their eventual candidate choice.</w:t>
      </w:r>
    </w:p>
    <w:p>
      <w:pPr>
        <w:pStyle w:val="ListParagraph"/>
        <w:numPr>
          <w:ilvl w:val="0"/>
          <w:numId w:val="3"/>
        </w:numPr>
        <w:spacing w:after="70"/>
      </w:pPr>
      <w:r>
        <w:rPr>
          <w:sz w:val="21"/>
          <w:szCs w:val="21"/>
        </w:rPr>
        <w:t xml:space="preserve">Voter casts a ballot; the client encrypts the candidate choice with the tally peers' public key before submission. PrimaryVoting.CastEncryptedBallot writes (a) a public turnout event and (b) the encrypted choice into the private data collection.</w:t>
      </w:r>
    </w:p>
    <w:p>
      <w:pPr>
        <w:pStyle w:val="ListParagraph"/>
        <w:numPr>
          <w:ilvl w:val="0"/>
          <w:numId w:val="3"/>
        </w:numPr>
        <w:spacing w:after="70"/>
      </w:pPr>
      <w:r>
        <w:rPr>
          <w:sz w:val="21"/>
          <w:szCs w:val="21"/>
        </w:rPr>
        <w:t xml:space="preserve">At close, ResultTally.Tally runs only on the designated tally peers, decrypts within that trusted execution context, aggregates, and calls PublishSignedResult, writing a signed, publicly verifiable result summary (turnout, per-candidate totals, rejected-ballot count) to the public channel.</w:t>
      </w:r>
    </w:p>
    <w:p>
      <w:pPr>
        <w:pStyle w:val="ListParagraph"/>
        <w:numPr>
          <w:ilvl w:val="0"/>
          <w:numId w:val="3"/>
        </w:numPr>
        <w:spacing w:after="70"/>
      </w:pPr>
      <w:r>
        <w:rPr>
          <w:sz w:val="21"/>
          <w:szCs w:val="21"/>
        </w:rPr>
        <w:t xml:space="preserve">A dispute window (configurable, default 72 hours) opens automatically; OpenDisputeWindow and RecordDisputeEvidence let any candidate or NEC member submit evidence, which is hashed and time-stamped on-chain even though the underlying documents live in the off-chain document store.</w:t>
      </w:r>
    </w:p>
    <w:p>
      <w:pPr>
        <w:spacing w:after="120"/>
      </w:pPr>
    </w:p>
    <w:p>
      <w:pPr>
        <w:pStyle w:val="Heading2"/>
        <w:spacing w:after="120" w:before="260"/>
      </w:pPr>
      <w:r>
        <w:rPr>
          <w:b/>
          <w:bCs/>
          <w:color w:val="0B1F3A"/>
          <w:sz w:val="24"/>
          <w:szCs w:val="24"/>
        </w:rPr>
        <w:t xml:space="preserve">8.2 Offline / connectivity contingency</w:t>
      </w:r>
    </w:p>
    <w:p>
      <w:pPr>
        <w:pStyle w:val="ListParagraph"/>
        <w:numPr>
          <w:ilvl w:val="0"/>
          <w:numId w:val="2"/>
        </w:numPr>
        <w:spacing w:after="70"/>
      </w:pPr>
      <w:r>
        <w:rPr>
          <w:sz w:val="21"/>
          <w:szCs w:val="21"/>
        </w:rPr>
        <w:t xml:space="preserve">USSD voting sessions are stateful at the gateway and resumable — a dropped session does not invalidate a partially-completed ballot; the voter resumes from the last confirmed step.</w:t>
      </w:r>
    </w:p>
    <w:p>
      <w:pPr>
        <w:pStyle w:val="ListParagraph"/>
        <w:numPr>
          <w:ilvl w:val="0"/>
          <w:numId w:val="2"/>
        </w:numPr>
        <w:spacing w:after="70"/>
      </w:pPr>
      <w:r>
        <w:rPr>
          <w:sz w:val="21"/>
          <w:szCs w:val="21"/>
        </w:rPr>
        <w:t xml:space="preserve">For wards with confirmed connectivity failure on primary day, a parallel paper/manual fallback ballot (pre-agreed with the National Elections Board) is reconciled into the ledger post-hoc via a manual `RecordOfflineBallot` transaction requiring two-person sign-off, with the paper ballots retained as physical evidence.</w:t>
      </w:r>
    </w:p>
    <w:p>
      <w:pPr>
        <w:pStyle w:val="ListParagraph"/>
        <w:numPr>
          <w:ilvl w:val="0"/>
          <w:numId w:val="2"/>
        </w:numPr>
        <w:spacing w:after="70"/>
      </w:pPr>
      <w:r>
        <w:rPr>
          <w:sz w:val="21"/>
          <w:szCs w:val="21"/>
        </w:rPr>
        <w:t xml:space="preserve">All Fabric peers replicate synchronously within the Raft ordering group; a single data-centre outage does not halt the network provided a majority of orderers remain reachable.</w:t>
      </w:r>
    </w:p>
    <w:p>
      <w:pPr>
        <w:spacing w:after="120"/>
      </w:pPr>
    </w:p>
    <w:p>
      <w:pPr>
        <w:pStyle w:val="Heading2"/>
        <w:spacing w:after="120" w:before="260"/>
      </w:pPr>
      <w:r>
        <w:rPr>
          <w:b/>
          <w:bCs/>
          <w:color w:val="0B1F3A"/>
          <w:sz w:val="24"/>
          <w:szCs w:val="24"/>
        </w:rPr>
        <w:t xml:space="preserve">8.3 Pilot requirements before go-live</w:t>
      </w:r>
    </w:p>
    <w:p>
      <w:pPr>
        <w:spacing w:after="140" w:line="276"/>
      </w:pPr>
      <w:r>
        <w:rPr>
          <w:color w:val="1f2328"/>
          <w:sz w:val="21"/>
          <w:szCs w:val="21"/>
        </w:rPr>
        <w:t xml:space="preserve">Per the risk register in Section 11, digital primaries are the single highest-severity technical risk in this programme. i3 MUST run two independent, full-scope pilots before the 17 March–10 April 2027 window:</w:t>
      </w:r>
    </w:p>
    <w:p>
      <w:pPr>
        <w:pStyle w:val="ListParagraph"/>
        <w:numPr>
          <w:ilvl w:val="0"/>
          <w:numId w:val="2"/>
        </w:numPr>
        <w:spacing w:after="70"/>
      </w:pPr>
      <w:r>
        <w:rPr>
          <w:sz w:val="21"/>
          <w:szCs w:val="21"/>
        </w:rPr>
        <w:t xml:space="preserve">Pilot 1 (target: December 2026, 2 wards) — functional and usability validation, including USSD flow with real feature phones on multiple network operators.</w:t>
      </w:r>
    </w:p>
    <w:p>
      <w:pPr>
        <w:pStyle w:val="ListParagraph"/>
        <w:numPr>
          <w:ilvl w:val="0"/>
          <w:numId w:val="2"/>
        </w:numPr>
        <w:spacing w:after="70"/>
      </w:pPr>
      <w:r>
        <w:rPr>
          <w:sz w:val="21"/>
          <w:szCs w:val="21"/>
        </w:rPr>
        <w:t xml:space="preserve">Pilot 2 (target: February 2027, 5–10 wards across at least 3 counties) — load, security, and dispute-workflow validation, including a simulated DDoS and a simulated insider-rigging attempt, run by the independent security auditor (Section 12).</w:t>
      </w:r>
    </w:p>
    <w:p>
      <w:r>
        <w:br w:type="page"/>
      </w:r>
    </w:p>
    <w:p>
      <w:pPr>
        <w:pStyle w:val="Heading1"/>
        <w:pBdr>
          <w:bottom w:val="single" w:color="C9A227" w:sz="8" w:space="4"/>
        </w:pBdr>
        <w:spacing w:after="160" w:before="360"/>
      </w:pPr>
      <w:r>
        <w:rPr>
          <w:b/>
          <w:bCs/>
          <w:color w:val="0B1F3A"/>
          <w:sz w:val="30"/>
          <w:szCs w:val="30"/>
        </w:rPr>
        <w:t xml:space="preserve">9. Data Architecture, Security &amp; Data Protection Act Compliance</w:t>
      </w:r>
    </w:p>
    <w:p>
      <w:pPr>
        <w:pStyle w:val="Heading2"/>
        <w:spacing w:after="120" w:before="260"/>
      </w:pPr>
      <w:r>
        <w:rPr>
          <w:b/>
          <w:bCs/>
          <w:color w:val="0B1F3A"/>
          <w:sz w:val="24"/>
          <w:szCs w:val="24"/>
        </w:rPr>
        <w:t xml:space="preserve">9.1 What lives where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rPr>
          <w:tblHeader/>
        </w:trPr>
        <w:tc>
          <w:tcPr>
            <w:tcW w:type="dxa" w:w="2400"/>
            <w:shd w:fill="0B1F3A" w:val="clear"/>
            <w:tcMar>
              <w:top w:type="dxa" w:w="90"/>
              <w:left w:type="dxa" w:w="110"/>
              <w:bottom w:type="dxa" w:w="90"/>
              <w:right w:type="dxa" w:w="110"/>
            </w:tcMar>
            <w:vAlign w:val="center"/>
          </w:tcPr>
          <w:p>
            <w:pPr>
              <w:jc w:val="left"/>
            </w:pPr>
            <w:r>
              <w:rPr>
                <w:b/>
                <w:bCs/>
                <w:color w:val="FFFFFF"/>
                <w:sz w:val="19"/>
                <w:szCs w:val="19"/>
              </w:rPr>
              <w:t xml:space="preserve">Data class</w:t>
            </w:r>
          </w:p>
        </w:tc>
        <w:tc>
          <w:tcPr>
            <w:tcW w:type="dxa" w:w="3200"/>
            <w:shd w:fill="0B1F3A" w:val="clear"/>
            <w:tcMar>
              <w:top w:type="dxa" w:w="90"/>
              <w:left w:type="dxa" w:w="110"/>
              <w:bottom w:type="dxa" w:w="90"/>
              <w:right w:type="dxa" w:w="110"/>
            </w:tcMar>
            <w:vAlign w:val="center"/>
          </w:tcPr>
          <w:p>
            <w:pPr>
              <w:jc w:val="left"/>
            </w:pPr>
            <w:r>
              <w:rPr>
                <w:b/>
                <w:bCs/>
                <w:color w:val="FFFFFF"/>
                <w:sz w:val="19"/>
                <w:szCs w:val="19"/>
              </w:rPr>
              <w:t xml:space="preserve">Storage location</w:t>
            </w:r>
          </w:p>
        </w:tc>
        <w:tc>
          <w:tcPr>
            <w:tcW w:type="dxa" w:w="3200"/>
            <w:shd w:fill="0B1F3A" w:val="clear"/>
            <w:tcMar>
              <w:top w:type="dxa" w:w="90"/>
              <w:left w:type="dxa" w:w="110"/>
              <w:bottom w:type="dxa" w:w="90"/>
              <w:right w:type="dxa" w:w="110"/>
            </w:tcMar>
            <w:vAlign w:val="center"/>
          </w:tcPr>
          <w:p>
            <w:pPr>
              <w:jc w:val="left"/>
            </w:pPr>
            <w:r>
              <w:rPr>
                <w:b/>
                <w:bCs/>
                <w:color w:val="FFFFFF"/>
                <w:sz w:val="19"/>
                <w:szCs w:val="19"/>
              </w:rPr>
              <w:t xml:space="preserve">Protection</w:t>
            </w:r>
          </w:p>
        </w:tc>
      </w:tr>
      <w:tr>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National ID, full name, raw phone number</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Encrypted off-chain PII store (not on ledger)</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AES-256 at rest, field-level encryption, access via Identity Service only</w:t>
            </w:r>
          </w:p>
        </w:tc>
      </w:tr>
      <w:tr>
        <w:tc>
          <w:tcPr>
            <w:tcW w:type="dxa" w:w="2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Hashed ID reference, membership status, ward</w:t>
            </w:r>
          </w:p>
        </w:tc>
        <w:tc>
          <w:tcPr>
            <w:tcW w:type="dxa" w:w="3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On-chain (MembershipRegistry state)</w:t>
            </w:r>
          </w:p>
        </w:tc>
        <w:tc>
          <w:tcPr>
            <w:tcW w:type="dxa" w:w="3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SHA-256 hash of ID + salt; ledger is tamper-evident, not confidentiality-providing on its own</w:t>
            </w:r>
          </w:p>
        </w:tc>
      </w:tr>
      <w:tr>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Candidate documents (ID copies, clearance certificates)</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Encrypted document store, referenced by hash on-chain</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Access-controlled; hash on-chain proves non-tampering without exposing the document</w:t>
            </w:r>
          </w:p>
        </w:tc>
      </w:tr>
      <w:tr>
        <w:tc>
          <w:tcPr>
            <w:tcW w:type="dxa" w:w="2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Ballot choice (encrypted)</w:t>
            </w:r>
          </w:p>
        </w:tc>
        <w:tc>
          <w:tcPr>
            <w:tcW w:type="dxa" w:w="3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Private data collection, tally-peer scoped</w:t>
            </w:r>
          </w:p>
        </w:tc>
        <w:tc>
          <w:tcPr>
            <w:tcW w:type="dxa" w:w="3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Client-side encryption; decryptable only within the tally process</w:t>
            </w:r>
          </w:p>
        </w:tc>
      </w:tr>
      <w:tr>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Turnout events</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Public channel state</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Publicly auditable; contains no vote content</w:t>
            </w:r>
          </w:p>
        </w:tc>
      </w:tr>
      <w:tr>
        <w:tc>
          <w:tcPr>
            <w:tcW w:type="dxa" w:w="2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Engage outreach logs</w:t>
            </w:r>
          </w:p>
        </w:tc>
        <w:tc>
          <w:tcPr>
            <w:tcW w:type="dxa" w:w="3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i3 Engage data store</w:t>
            </w:r>
          </w:p>
        </w:tc>
        <w:tc>
          <w:tcPr>
            <w:tcW w:type="dxa" w:w="3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Purged per retention schedule; consented leads promoted to Membership Service, raw logs not retained indefinitely</w:t>
            </w:r>
          </w:p>
        </w:tc>
      </w:tr>
      <w:tr>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Ward accountability dossier data (CDF/NG-CDF, procurement)</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Separate analytics store — architecturally isolated from the nomination ledger</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Public-source data; kept out of the electoral system per R10</w:t>
            </w:r>
          </w:p>
        </w:tc>
      </w:tr>
    </w:tbl>
    <w:p>
      <w:pPr>
        <w:spacing w:after="120"/>
      </w:pPr>
    </w:p>
    <w:p>
      <w:pPr>
        <w:pStyle w:val="Heading2"/>
        <w:spacing w:after="120" w:before="260"/>
      </w:pPr>
      <w:r>
        <w:rPr>
          <w:b/>
          <w:bCs/>
          <w:color w:val="0B1F3A"/>
          <w:sz w:val="24"/>
          <w:szCs w:val="24"/>
        </w:rPr>
        <w:t xml:space="preserve">9.2 Key management</w:t>
      </w:r>
    </w:p>
    <w:p>
      <w:pPr>
        <w:pStyle w:val="ListParagraph"/>
        <w:numPr>
          <w:ilvl w:val="0"/>
          <w:numId w:val="2"/>
        </w:numPr>
        <w:spacing w:after="70"/>
      </w:pPr>
      <w:r>
        <w:rPr>
          <w:sz w:val="21"/>
          <w:szCs w:val="21"/>
        </w:rPr>
        <w:t xml:space="preserve">All Fabric organisation signing keys are generated and stored in a Hardware Security Module (HSM) — FORD-Asili's National Elections Board keys are never held by i3 staff; i3 provisions the HSM partition and access ceremony but custody of the NEC key material is FORD-Asili's.</w:t>
      </w:r>
    </w:p>
    <w:p>
      <w:pPr>
        <w:pStyle w:val="ListParagraph"/>
        <w:numPr>
          <w:ilvl w:val="0"/>
          <w:numId w:val="2"/>
        </w:numPr>
        <w:spacing w:after="70"/>
      </w:pPr>
      <w:r>
        <w:rPr>
          <w:sz w:val="21"/>
          <w:szCs w:val="21"/>
        </w:rPr>
        <w:t xml:space="preserve">Client-side ballot encryption keys (public key of the tally peers) are rotated per election cycle and published in advance for independent verification.</w:t>
      </w:r>
    </w:p>
    <w:p>
      <w:pPr>
        <w:pStyle w:val="ListParagraph"/>
        <w:numPr>
          <w:ilvl w:val="0"/>
          <w:numId w:val="2"/>
        </w:numPr>
        <w:spacing w:after="70"/>
      </w:pPr>
      <w:r>
        <w:rPr>
          <w:sz w:val="21"/>
          <w:szCs w:val="21"/>
        </w:rPr>
        <w:t xml:space="preserve">Break-glass administrative access to production Fabric peers requires two-person authorisation and is itself recorded as an audit-channel transaction.</w:t>
      </w:r>
    </w:p>
    <w:p>
      <w:pPr>
        <w:spacing w:after="120"/>
      </w:pPr>
    </w:p>
    <w:p>
      <w:pPr>
        <w:pStyle w:val="Heading2"/>
        <w:spacing w:after="120" w:before="260"/>
      </w:pPr>
      <w:r>
        <w:rPr>
          <w:b/>
          <w:bCs/>
          <w:color w:val="0B1F3A"/>
          <w:sz w:val="24"/>
          <w:szCs w:val="24"/>
        </w:rPr>
        <w:t xml:space="preserve">9.3 Data Protection Act 2019 controls</w:t>
      </w:r>
    </w:p>
    <w:p>
      <w:pPr>
        <w:pStyle w:val="ListParagraph"/>
        <w:numPr>
          <w:ilvl w:val="0"/>
          <w:numId w:val="2"/>
        </w:numPr>
        <w:spacing w:after="70"/>
      </w:pPr>
      <w:r>
        <w:rPr>
          <w:sz w:val="21"/>
          <w:szCs w:val="21"/>
        </w:rPr>
        <w:t xml:space="preserve">Lawful basis: explicit, opt-in consent captured at registration (Section 6.1) and at every i3 Engage recruitment touch-point (Section 7.4); consent is itself a timestamped, revocable record.</w:t>
      </w:r>
    </w:p>
    <w:p>
      <w:pPr>
        <w:pStyle w:val="ListParagraph"/>
        <w:numPr>
          <w:ilvl w:val="0"/>
          <w:numId w:val="2"/>
        </w:numPr>
        <w:spacing w:after="70"/>
      </w:pPr>
      <w:r>
        <w:rPr>
          <w:sz w:val="21"/>
          <w:szCs w:val="21"/>
        </w:rPr>
        <w:t xml:space="preserve">Data minimisation: only hashed identifiers and status flags go on-chain; raw PII stays in the encrypted off-chain store and is never replicated to Fabric peers.</w:t>
      </w:r>
    </w:p>
    <w:p>
      <w:pPr>
        <w:pStyle w:val="ListParagraph"/>
        <w:numPr>
          <w:ilvl w:val="0"/>
          <w:numId w:val="2"/>
        </w:numPr>
        <w:spacing w:after="70"/>
      </w:pPr>
      <w:r>
        <w:rPr>
          <w:sz w:val="21"/>
          <w:szCs w:val="21"/>
        </w:rPr>
        <w:t xml:space="preserve">Purpose limitation: membership data collected for party registration MUST NOT be repurposed for the ward accountability dossier or any campaign-messaging use beyond party administration without a fresh consent basis.</w:t>
      </w:r>
    </w:p>
    <w:p>
      <w:pPr>
        <w:pStyle w:val="ListParagraph"/>
        <w:numPr>
          <w:ilvl w:val="0"/>
          <w:numId w:val="2"/>
        </w:numPr>
        <w:spacing w:after="70"/>
      </w:pPr>
      <w:r>
        <w:rPr>
          <w:sz w:val="21"/>
          <w:szCs w:val="21"/>
        </w:rPr>
        <w:t xml:space="preserve">Breach response: a documented incident-response runbook (Section 12.3) with mandatory notification timelines; the encrypted-at-rest design limits blast radius even in a partial breach.</w:t>
      </w:r>
    </w:p>
    <w:p>
      <w:pPr>
        <w:pStyle w:val="ListParagraph"/>
        <w:numPr>
          <w:ilvl w:val="0"/>
          <w:numId w:val="2"/>
        </w:numPr>
        <w:spacing w:after="70"/>
      </w:pPr>
      <w:r>
        <w:rPr>
          <w:sz w:val="21"/>
          <w:szCs w:val="21"/>
        </w:rPr>
        <w:t xml:space="preserve">A Data Protection Officer function (party-side, supported by i3 as processor) is designated before the membership drive begins at scale.</w:t>
      </w:r>
    </w:p>
    <w:p>
      <w:r>
        <w:br w:type="page"/>
      </w:r>
    </w:p>
    <w:p>
      <w:pPr>
        <w:pStyle w:val="Heading1"/>
        <w:pBdr>
          <w:bottom w:val="single" w:color="C9A227" w:sz="8" w:space="4"/>
        </w:pBdr>
        <w:spacing w:after="160" w:before="360"/>
      </w:pPr>
      <w:r>
        <w:rPr>
          <w:b/>
          <w:bCs/>
          <w:color w:val="0B1F3A"/>
          <w:sz w:val="30"/>
          <w:szCs w:val="30"/>
        </w:rPr>
        <w:t xml:space="preserve">10. Infrastructure &amp; Deployment Architecture</w:t>
      </w:r>
    </w:p>
    <w:p>
      <w:pPr>
        <w:pStyle w:val="Heading2"/>
        <w:spacing w:after="120" w:before="260"/>
      </w:pPr>
      <w:r>
        <w:rPr>
          <w:b/>
          <w:bCs/>
          <w:color w:val="0B1F3A"/>
          <w:sz w:val="24"/>
          <w:szCs w:val="24"/>
        </w:rPr>
        <w:t xml:space="preserve">10.1 Platform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800"/>
      </w:tblGrid>
      <w:tr>
        <w:trPr>
          <w:tblHeader/>
        </w:trPr>
        <w:tc>
          <w:tcPr>
            <w:tcW w:type="dxa" w:w="2400"/>
            <w:shd w:fill="0B1F3A" w:val="clear"/>
            <w:tcMar>
              <w:top w:type="dxa" w:w="90"/>
              <w:left w:type="dxa" w:w="110"/>
              <w:bottom w:type="dxa" w:w="90"/>
              <w:right w:type="dxa" w:w="110"/>
            </w:tcMar>
            <w:vAlign w:val="center"/>
          </w:tcPr>
          <w:p>
            <w:pPr>
              <w:jc w:val="left"/>
            </w:pPr>
            <w:r>
              <w:rPr>
                <w:b/>
                <w:bCs/>
                <w:color w:val="FFFFFF"/>
                <w:sz w:val="19"/>
                <w:szCs w:val="19"/>
              </w:rPr>
              <w:t xml:space="preserve">Component</w:t>
            </w:r>
          </w:p>
        </w:tc>
        <w:tc>
          <w:tcPr>
            <w:tcW w:type="dxa" w:w="3600"/>
            <w:shd w:fill="0B1F3A" w:val="clear"/>
            <w:tcMar>
              <w:top w:type="dxa" w:w="90"/>
              <w:left w:type="dxa" w:w="110"/>
              <w:bottom w:type="dxa" w:w="90"/>
              <w:right w:type="dxa" w:w="110"/>
            </w:tcMar>
            <w:vAlign w:val="center"/>
          </w:tcPr>
          <w:p>
            <w:pPr>
              <w:jc w:val="left"/>
            </w:pPr>
            <w:r>
              <w:rPr>
                <w:b/>
                <w:bCs/>
                <w:color w:val="FFFFFF"/>
                <w:sz w:val="19"/>
                <w:szCs w:val="19"/>
              </w:rPr>
              <w:t xml:space="preserve">Technology</w:t>
            </w:r>
          </w:p>
        </w:tc>
        <w:tc>
          <w:tcPr>
            <w:tcW w:type="dxa" w:w="2800"/>
            <w:shd w:fill="0B1F3A" w:val="clear"/>
            <w:tcMar>
              <w:top w:type="dxa" w:w="90"/>
              <w:left w:type="dxa" w:w="110"/>
              <w:bottom w:type="dxa" w:w="90"/>
              <w:right w:type="dxa" w:w="110"/>
            </w:tcMar>
            <w:vAlign w:val="center"/>
          </w:tcPr>
          <w:p>
            <w:pPr>
              <w:jc w:val="left"/>
            </w:pPr>
            <w:r>
              <w:rPr>
                <w:b/>
                <w:bCs/>
                <w:color w:val="FFFFFF"/>
                <w:sz w:val="19"/>
                <w:szCs w:val="19"/>
              </w:rPr>
              <w:t xml:space="preserve">Notes</w:t>
            </w:r>
          </w:p>
        </w:tc>
      </w:tr>
      <w:tr>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Container platform</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Red Hat OpenShift on IBM Cloud (ROKS)</w:t>
            </w:r>
          </w:p>
        </w:tc>
        <w:tc>
          <w:tcPr>
            <w:tcW w:type="dxa" w:w="2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Reuses i3's existing ROKS AI Lab footprint and Red Hat partner skills</w:t>
            </w:r>
          </w:p>
        </w:tc>
      </w:tr>
      <w:tr>
        <w:tc>
          <w:tcPr>
            <w:tcW w:type="dxa" w:w="2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Blockchain runtime</w:t>
            </w:r>
          </w:p>
        </w:tc>
        <w:tc>
          <w:tcPr>
            <w:tcW w:type="dxa" w:w="3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Hyperledger Fabric 2.5 LTS</w:t>
            </w:r>
          </w:p>
        </w:tc>
        <w:tc>
          <w:tcPr>
            <w:tcW w:type="dxa" w:w="2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Peers/orderers as OpenShift StatefulSets; Fabric Operator for lifecycle management</w:t>
            </w:r>
          </w:p>
        </w:tc>
      </w:tr>
      <w:tr>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API layer</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Node.js/Express or equivalent behind API Gateway</w:t>
            </w:r>
          </w:p>
        </w:tc>
        <w:tc>
          <w:tcPr>
            <w:tcW w:type="dxa" w:w="2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Rate limiting, request validation, OAuth2/OIDC</w:t>
            </w:r>
          </w:p>
        </w:tc>
      </w:tr>
      <w:tr>
        <w:tc>
          <w:tcPr>
            <w:tcW w:type="dxa" w:w="2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Identity provider</w:t>
            </w:r>
          </w:p>
        </w:tc>
        <w:tc>
          <w:tcPr>
            <w:tcW w:type="dxa" w:w="3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Keycloak (Red Hat SSO) or IBM App ID</w:t>
            </w:r>
          </w:p>
        </w:tc>
        <w:tc>
          <w:tcPr>
            <w:tcW w:type="dxa" w:w="2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SSO for internal/agent/NEC users; OTP service for members</w:t>
            </w:r>
          </w:p>
        </w:tc>
      </w:tr>
      <w:tr>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USSD gateway</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Africa's Talking / Safaricom USSD aggregator</w:t>
            </w:r>
          </w:p>
        </w:tc>
        <w:tc>
          <w:tcPr>
            <w:tcW w:type="dxa" w:w="2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Reuses the existing *509#-class channel already live for PMaaS</w:t>
            </w:r>
          </w:p>
        </w:tc>
      </w:tr>
      <w:tr>
        <w:tc>
          <w:tcPr>
            <w:tcW w:type="dxa" w:w="2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Messaging (SMS/WhatsApp)</w:t>
            </w:r>
          </w:p>
        </w:tc>
        <w:tc>
          <w:tcPr>
            <w:tcW w:type="dxa" w:w="3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i3 Engage platform, WhatsApp Business API</w:t>
            </w:r>
          </w:p>
        </w:tc>
        <w:tc>
          <w:tcPr>
            <w:tcW w:type="dxa" w:w="2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Recruitment and notification channel</w:t>
            </w:r>
          </w:p>
        </w:tc>
      </w:tr>
      <w:tr>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Encrypted PII store</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IBM Cloud Databases (Postgres) with field-level encryption / IBM Key Protect</w:t>
            </w:r>
          </w:p>
        </w:tc>
        <w:tc>
          <w:tcPr>
            <w:tcW w:type="dxa" w:w="2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Off-chain sensitive data</w:t>
            </w:r>
          </w:p>
        </w:tc>
      </w:tr>
      <w:tr>
        <w:tc>
          <w:tcPr>
            <w:tcW w:type="dxa" w:w="2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Document store</w:t>
            </w:r>
          </w:p>
        </w:tc>
        <w:tc>
          <w:tcPr>
            <w:tcW w:type="dxa" w:w="3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IBM Cloud Object Storage (encrypted buckets)</w:t>
            </w:r>
          </w:p>
        </w:tc>
        <w:tc>
          <w:tcPr>
            <w:tcW w:type="dxa" w:w="2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Candidate documents, evidence artefacts</w:t>
            </w:r>
          </w:p>
        </w:tc>
      </w:tr>
      <w:tr>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Observability</w:t>
            </w:r>
          </w:p>
        </w:tc>
        <w:tc>
          <w:tcPr>
            <w:tcW w:type="dxa" w:w="3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Prometheus/Grafana + IBM Cloud Log Analysis</w:t>
            </w:r>
          </w:p>
        </w:tc>
        <w:tc>
          <w:tcPr>
            <w:tcW w:type="dxa" w:w="2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Ledger health, endorsement latency, chaincode error rates</w:t>
            </w:r>
          </w:p>
        </w:tc>
      </w:tr>
      <w:tr>
        <w:tc>
          <w:tcPr>
            <w:tcW w:type="dxa" w:w="2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CI/CD</w:t>
            </w:r>
          </w:p>
        </w:tc>
        <w:tc>
          <w:tcPr>
            <w:tcW w:type="dxa" w:w="3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OpenShift Pipelines (Tekton) + GitOps (ArgoCD)</w:t>
            </w:r>
          </w:p>
        </w:tc>
        <w:tc>
          <w:tcPr>
            <w:tcW w:type="dxa" w:w="2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Chaincode and service deployment with mandatory peer review</w:t>
            </w:r>
          </w:p>
        </w:tc>
      </w:tr>
    </w:tbl>
    <w:p>
      <w:pPr>
        <w:spacing w:after="120"/>
      </w:pPr>
    </w:p>
    <w:p>
      <w:pPr>
        <w:pStyle w:val="Heading2"/>
        <w:spacing w:after="120" w:before="260"/>
      </w:pPr>
      <w:r>
        <w:rPr>
          <w:b/>
          <w:bCs/>
          <w:color w:val="0B1F3A"/>
          <w:sz w:val="24"/>
          <w:szCs w:val="24"/>
        </w:rPr>
        <w:t xml:space="preserve">10.2 Environments</w:t>
      </w:r>
    </w:p>
    <w:p>
      <w:pPr>
        <w:pStyle w:val="ListParagraph"/>
        <w:numPr>
          <w:ilvl w:val="0"/>
          <w:numId w:val="2"/>
        </w:numPr>
        <w:spacing w:after="70"/>
      </w:pPr>
      <w:r>
        <w:rPr>
          <w:sz w:val="21"/>
          <w:szCs w:val="21"/>
        </w:rPr>
        <w:t xml:space="preserve">Dev → Test → Staging (pilot) → Production, each on separate OpenShift namespaces/clusters with separate Fabric channels; no shared keys across environments.</w:t>
      </w:r>
    </w:p>
    <w:p>
      <w:pPr>
        <w:pStyle w:val="ListParagraph"/>
        <w:numPr>
          <w:ilvl w:val="0"/>
          <w:numId w:val="2"/>
        </w:numPr>
        <w:spacing w:after="70"/>
      </w:pPr>
      <w:r>
        <w:rPr>
          <w:sz w:val="21"/>
          <w:szCs w:val="21"/>
        </w:rPr>
        <w:t xml:space="preserve">Staging is the environment used for the two mandatory pilots in Section 8.3 and must mirror production sizing and network conditions (including simulated low-bandwidth USSD sessions).</w:t>
      </w:r>
    </w:p>
    <w:p>
      <w:pPr>
        <w:spacing w:after="120"/>
      </w:pPr>
    </w:p>
    <w:p>
      <w:pPr>
        <w:pStyle w:val="Heading2"/>
        <w:spacing w:after="120" w:before="260"/>
      </w:pPr>
      <w:r>
        <w:rPr>
          <w:b/>
          <w:bCs/>
          <w:color w:val="0B1F3A"/>
          <w:sz w:val="24"/>
          <w:szCs w:val="24"/>
        </w:rPr>
        <w:t xml:space="preserve">10.3 Scalability targets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600"/>
      </w:tblGrid>
      <w:tr>
        <w:trPr>
          <w:tblHeader/>
        </w:trPr>
        <w:tc>
          <w:tcPr>
            <w:tcW w:type="dxa" w:w="4200"/>
            <w:shd w:fill="0B1F3A" w:val="clear"/>
            <w:tcMar>
              <w:top w:type="dxa" w:w="90"/>
              <w:left w:type="dxa" w:w="110"/>
              <w:bottom w:type="dxa" w:w="90"/>
              <w:right w:type="dxa" w:w="110"/>
            </w:tcMar>
            <w:vAlign w:val="center"/>
          </w:tcPr>
          <w:p>
            <w:pPr>
              <w:jc w:val="left"/>
            </w:pPr>
            <w:r>
              <w:rPr>
                <w:b/>
                <w:bCs/>
                <w:color w:val="FFFFFF"/>
                <w:sz w:val="19"/>
                <w:szCs w:val="19"/>
              </w:rPr>
              <w:t xml:space="preserve">Metric</w:t>
            </w:r>
          </w:p>
        </w:tc>
        <w:tc>
          <w:tcPr>
            <w:tcW w:type="dxa" w:w="4600"/>
            <w:shd w:fill="0B1F3A" w:val="clear"/>
            <w:tcMar>
              <w:top w:type="dxa" w:w="90"/>
              <w:left w:type="dxa" w:w="110"/>
              <w:bottom w:type="dxa" w:w="90"/>
              <w:right w:type="dxa" w:w="110"/>
            </w:tcMar>
            <w:vAlign w:val="center"/>
          </w:tcPr>
          <w:p>
            <w:pPr>
              <w:jc w:val="left"/>
            </w:pPr>
            <w:r>
              <w:rPr>
                <w:b/>
                <w:bCs/>
                <w:color w:val="FFFFFF"/>
                <w:sz w:val="19"/>
                <w:szCs w:val="19"/>
              </w:rPr>
              <w:t xml:space="preserve">Target</w:t>
            </w:r>
          </w:p>
        </w:tc>
      </w:tr>
      <w:tr>
        <w:tc>
          <w:tcPr>
            <w:tcW w:type="dxa" w:w="4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Concurrent USSD sessions (peak, primary day)</w:t>
            </w:r>
          </w:p>
        </w:tc>
        <w:tc>
          <w:tcPr>
            <w:tcW w:type="dxa" w:w="4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 5,000 concurrent sessions nationally</w:t>
            </w:r>
          </w:p>
        </w:tc>
      </w:tr>
      <w:tr>
        <w:tc>
          <w:tcPr>
            <w:tcW w:type="dxa" w:w="4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Membership registrations processed</w:t>
            </w:r>
          </w:p>
        </w:tc>
        <w:tc>
          <w:tcPr>
            <w:tcW w:type="dxa" w:w="4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 50,000 per day sustained during the recruitment drive</w:t>
            </w:r>
          </w:p>
        </w:tc>
      </w:tr>
      <w:tr>
        <w:tc>
          <w:tcPr>
            <w:tcW w:type="dxa" w:w="4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Ballot transactions per ward on primary day</w:t>
            </w:r>
          </w:p>
        </w:tc>
        <w:tc>
          <w:tcPr>
            <w:tcW w:type="dxa" w:w="4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Sized to ward voter roll, worst case ~15,000 votes/ward within a 12-hour window</w:t>
            </w:r>
          </w:p>
        </w:tc>
      </w:tr>
      <w:tr>
        <w:tc>
          <w:tcPr>
            <w:tcW w:type="dxa" w:w="4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Ledger write latency (endorsement to commit)</w:t>
            </w:r>
          </w:p>
        </w:tc>
        <w:tc>
          <w:tcPr>
            <w:tcW w:type="dxa" w:w="4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&lt; 2 seconds at P95 under peak load</w:t>
            </w:r>
          </w:p>
        </w:tc>
      </w:tr>
      <w:tr>
        <w:tc>
          <w:tcPr>
            <w:tcW w:type="dxa" w:w="4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Platform availability during primaries window</w:t>
            </w:r>
          </w:p>
        </w:tc>
        <w:tc>
          <w:tcPr>
            <w:tcW w:type="dxa" w:w="4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 99.9%, multi-zone IBM Cloud region</w:t>
            </w:r>
          </w:p>
        </w:tc>
      </w:tr>
    </w:tbl>
    <w:p>
      <w:r>
        <w:br w:type="page"/>
      </w:r>
    </w:p>
    <w:p>
      <w:pPr>
        <w:pStyle w:val="Heading1"/>
        <w:pBdr>
          <w:bottom w:val="single" w:color="C9A227" w:sz="8" w:space="4"/>
        </w:pBdr>
        <w:spacing w:after="160" w:before="360"/>
      </w:pPr>
      <w:r>
        <w:rPr>
          <w:b/>
          <w:bCs/>
          <w:color w:val="0B1F3A"/>
          <w:sz w:val="30"/>
          <w:szCs w:val="30"/>
        </w:rPr>
        <w:t xml:space="preserve">11. Technical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200"/>
        <w:gridCol w:w="4100"/>
      </w:tblGrid>
      <w:tr>
        <w:trPr>
          <w:tblHeader/>
        </w:trPr>
        <w:tc>
          <w:tcPr>
            <w:tcW w:type="dxa" w:w="500"/>
            <w:shd w:fill="0B1F3A" w:val="clear"/>
            <w:tcMar>
              <w:top w:type="dxa" w:w="90"/>
              <w:left w:type="dxa" w:w="110"/>
              <w:bottom w:type="dxa" w:w="90"/>
              <w:right w:type="dxa" w:w="110"/>
            </w:tcMar>
            <w:vAlign w:val="center"/>
          </w:tcPr>
          <w:p>
            <w:pPr>
              <w:jc w:val="left"/>
            </w:pPr>
            <w:r>
              <w:rPr>
                <w:b/>
                <w:bCs/>
                <w:color w:val="FFFFFF"/>
                <w:sz w:val="19"/>
                <w:szCs w:val="19"/>
              </w:rPr>
              <w:t xml:space="preserve">#</w:t>
            </w:r>
          </w:p>
        </w:tc>
        <w:tc>
          <w:tcPr>
            <w:tcW w:type="dxa" w:w="3200"/>
            <w:shd w:fill="0B1F3A" w:val="clear"/>
            <w:tcMar>
              <w:top w:type="dxa" w:w="90"/>
              <w:left w:type="dxa" w:w="110"/>
              <w:bottom w:type="dxa" w:w="90"/>
              <w:right w:type="dxa" w:w="110"/>
            </w:tcMar>
            <w:vAlign w:val="center"/>
          </w:tcPr>
          <w:p>
            <w:pPr>
              <w:jc w:val="left"/>
            </w:pPr>
            <w:r>
              <w:rPr>
                <w:b/>
                <w:bCs/>
                <w:color w:val="FFFFFF"/>
                <w:sz w:val="19"/>
                <w:szCs w:val="19"/>
              </w:rPr>
              <w:t xml:space="preserve">Risk</w:t>
            </w:r>
          </w:p>
        </w:tc>
        <w:tc>
          <w:tcPr>
            <w:tcW w:type="dxa" w:w="1200"/>
            <w:shd w:fill="0B1F3A" w:val="clear"/>
            <w:tcMar>
              <w:top w:type="dxa" w:w="90"/>
              <w:left w:type="dxa" w:w="110"/>
              <w:bottom w:type="dxa" w:w="90"/>
              <w:right w:type="dxa" w:w="110"/>
            </w:tcMar>
            <w:vAlign w:val="center"/>
          </w:tcPr>
          <w:p>
            <w:pPr>
              <w:jc w:val="left"/>
            </w:pPr>
            <w:r>
              <w:rPr>
                <w:b/>
                <w:bCs/>
                <w:color w:val="FFFFFF"/>
                <w:sz w:val="19"/>
                <w:szCs w:val="19"/>
              </w:rPr>
              <w:t xml:space="preserve">Severity</w:t>
            </w:r>
          </w:p>
        </w:tc>
        <w:tc>
          <w:tcPr>
            <w:tcW w:type="dxa" w:w="4100"/>
            <w:shd w:fill="0B1F3A" w:val="clear"/>
            <w:tcMar>
              <w:top w:type="dxa" w:w="90"/>
              <w:left w:type="dxa" w:w="110"/>
              <w:bottom w:type="dxa" w:w="90"/>
              <w:right w:type="dxa" w:w="110"/>
            </w:tcMar>
            <w:vAlign w:val="center"/>
          </w:tcPr>
          <w:p>
            <w:pPr>
              <w:jc w:val="left"/>
            </w:pPr>
            <w:r>
              <w:rPr>
                <w:b/>
                <w:bCs/>
                <w:color w:val="FFFFFF"/>
                <w:sz w:val="19"/>
                <w:szCs w:val="19"/>
              </w:rPr>
              <w:t xml:space="preserve">Mitigation (engineering-owned)</w:t>
            </w:r>
          </w:p>
        </w:tc>
      </w:tr>
      <w:tr>
        <w:tc>
          <w:tcPr>
            <w:tcW w:type="dxa" w:w="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T1</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Register inflation via bulk/duplicate recruitment</w:t>
            </w:r>
          </w:p>
        </w:tc>
        <w:tc>
          <w:tcPr>
            <w:tcW w:type="dxa" w:w="1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High</w:t>
            </w:r>
          </w:p>
        </w:tc>
        <w:tc>
          <w:tcPr>
            <w:tcW w:type="dxa" w:w="41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i3 Engage rate limiting, dedup service, human-review queue (Sections 6.1, 7.2)</w:t>
            </w:r>
          </w:p>
        </w:tc>
      </w:tr>
      <w:tr>
        <w:tc>
          <w:tcPr>
            <w:tcW w:type="dxa" w:w="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T2</w:t>
            </w:r>
          </w:p>
        </w:tc>
        <w:tc>
          <w:tcPr>
            <w:tcW w:type="dxa" w:w="3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Digital-primary manipulation (insider rigging, DDoS)</w:t>
            </w:r>
          </w:p>
        </w:tc>
        <w:tc>
          <w:tcPr>
            <w:tcW w:type="dxa" w:w="1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Very high</w:t>
            </w:r>
          </w:p>
        </w:tc>
        <w:tc>
          <w:tcPr>
            <w:tcW w:type="dxa" w:w="41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Two-person HSM key custody, independent audit peer, pre-primary pilots, signed results (Sections 8.3, 12)</w:t>
            </w:r>
          </w:p>
        </w:tc>
      </w:tr>
      <w:tr>
        <w:tc>
          <w:tcPr>
            <w:tcW w:type="dxa" w:w="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T3</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Ballot secrecy failure (vote linked back to voter)</w:t>
            </w:r>
          </w:p>
        </w:tc>
        <w:tc>
          <w:tcPr>
            <w:tcW w:type="dxa" w:w="1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Very high</w:t>
            </w:r>
          </w:p>
        </w:tc>
        <w:tc>
          <w:tcPr>
            <w:tcW w:type="dxa" w:w="41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Private data collection + client-side encryption architecture (Section 6.3/5.2), independently code-reviewed</w:t>
            </w:r>
          </w:p>
        </w:tc>
      </w:tr>
      <w:tr>
        <w:tc>
          <w:tcPr>
            <w:tcW w:type="dxa" w:w="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T4</w:t>
            </w:r>
          </w:p>
        </w:tc>
        <w:tc>
          <w:tcPr>
            <w:tcW w:type="dxa" w:w="3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Data Protection Act breach of membership register</w:t>
            </w:r>
          </w:p>
        </w:tc>
        <w:tc>
          <w:tcPr>
            <w:tcW w:type="dxa" w:w="1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Very high</w:t>
            </w:r>
          </w:p>
        </w:tc>
        <w:tc>
          <w:tcPr>
            <w:tcW w:type="dxa" w:w="41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Field-level encryption, off-chain PII isolation, incident-response runbook (Section 9)</w:t>
            </w:r>
          </w:p>
        </w:tc>
      </w:tr>
      <w:tr>
        <w:tc>
          <w:tcPr>
            <w:tcW w:type="dxa" w:w="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T5</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USSD/network outage on primary day</w:t>
            </w:r>
          </w:p>
        </w:tc>
        <w:tc>
          <w:tcPr>
            <w:tcW w:type="dxa" w:w="1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High</w:t>
            </w:r>
          </w:p>
        </w:tc>
        <w:tc>
          <w:tcPr>
            <w:tcW w:type="dxa" w:w="41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Stateful resumable sessions, paper fallback with two-person reconciliation (Section 8.2)</w:t>
            </w:r>
          </w:p>
        </w:tc>
      </w:tr>
      <w:tr>
        <w:tc>
          <w:tcPr>
            <w:tcW w:type="dxa" w:w="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T6</w:t>
            </w:r>
          </w:p>
        </w:tc>
        <w:tc>
          <w:tcPr>
            <w:tcW w:type="dxa" w:w="3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Contradiction between certified nomination rules and platform logic (e.g., fee schedule)</w:t>
            </w:r>
          </w:p>
        </w:tc>
        <w:tc>
          <w:tcPr>
            <w:tcW w:type="dxa" w:w="1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High</w:t>
            </w:r>
          </w:p>
        </w:tc>
        <w:tc>
          <w:tcPr>
            <w:tcW w:type="dxa" w:w="41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Nomination chaincode config is driven by a signed rules document reviewed by legal before each election cycle; no hard-coded fee logic</w:t>
            </w:r>
          </w:p>
        </w:tc>
      </w:tr>
      <w:tr>
        <w:tc>
          <w:tcPr>
            <w:tcW w:type="dxa" w:w="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T7</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IEBC/ORPP timeline slippage vs. build schedule</w:t>
            </w:r>
          </w:p>
        </w:tc>
        <w:tc>
          <w:tcPr>
            <w:tcW w:type="dxa" w:w="1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Medium</w:t>
            </w:r>
          </w:p>
        </w:tc>
        <w:tc>
          <w:tcPr>
            <w:tcW w:type="dxa" w:w="41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Roadmap in Section 13 back-timed from the 16 Mar 2027 and 30 Oct 2026 statutory dates with buffer</w:t>
            </w:r>
          </w:p>
        </w:tc>
      </w:tr>
      <w:tr>
        <w:tc>
          <w:tcPr>
            <w:tcW w:type="dxa" w:w="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T8</w:t>
            </w:r>
          </w:p>
        </w:tc>
        <w:tc>
          <w:tcPr>
            <w:tcW w:type="dxa" w:w="3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Ward accountability dossier data bleeding into the electoral system</w:t>
            </w:r>
          </w:p>
        </w:tc>
        <w:tc>
          <w:tcPr>
            <w:tcW w:type="dxa" w:w="12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Medium</w:t>
            </w:r>
          </w:p>
        </w:tc>
        <w:tc>
          <w:tcPr>
            <w:tcW w:type="dxa" w:w="41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Hard architectural separation (R10); dossier store has no write path to any chaincode</w:t>
            </w:r>
          </w:p>
        </w:tc>
      </w:tr>
      <w:tr>
        <w:tc>
          <w:tcPr>
            <w:tcW w:type="dxa" w:w="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T9</w:t>
            </w:r>
          </w:p>
        </w:tc>
        <w:tc>
          <w:tcPr>
            <w:tcW w:type="dxa" w:w="3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Key person / operational dependency on a small i3 delivery team</w:t>
            </w:r>
          </w:p>
        </w:tc>
        <w:tc>
          <w:tcPr>
            <w:tcW w:type="dxa" w:w="12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Medium</w:t>
            </w:r>
          </w:p>
        </w:tc>
        <w:tc>
          <w:tcPr>
            <w:tcW w:type="dxa" w:w="41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Documented runbooks, cross-trained SRE pair, FORD-Asili NEC holds its own HSM key custody independent of i3</w:t>
            </w:r>
          </w:p>
        </w:tc>
      </w:tr>
    </w:tbl>
    <w:p>
      <w:r>
        <w:br w:type="page"/>
      </w:r>
    </w:p>
    <w:p>
      <w:pPr>
        <w:pStyle w:val="Heading1"/>
        <w:pBdr>
          <w:bottom w:val="single" w:color="C9A227" w:sz="8" w:space="4"/>
        </w:pBdr>
        <w:spacing w:after="160" w:before="360"/>
      </w:pPr>
      <w:r>
        <w:rPr>
          <w:b/>
          <w:bCs/>
          <w:color w:val="0B1F3A"/>
          <w:sz w:val="30"/>
          <w:szCs w:val="30"/>
        </w:rPr>
        <w:t xml:space="preserve">12. Testing, Security Audit &amp; Certification Plan</w:t>
      </w:r>
    </w:p>
    <w:p>
      <w:pPr>
        <w:pStyle w:val="Heading2"/>
        <w:spacing w:after="120" w:before="260"/>
      </w:pPr>
      <w:r>
        <w:rPr>
          <w:b/>
          <w:bCs/>
          <w:color w:val="0B1F3A"/>
          <w:sz w:val="24"/>
          <w:szCs w:val="24"/>
        </w:rPr>
        <w:t xml:space="preserve">12.1 Test layers</w:t>
      </w:r>
    </w:p>
    <w:p>
      <w:pPr>
        <w:pStyle w:val="ListParagraph"/>
        <w:numPr>
          <w:ilvl w:val="0"/>
          <w:numId w:val="2"/>
        </w:numPr>
        <w:spacing w:after="70"/>
      </w:pPr>
      <w:r>
        <w:rPr>
          <w:sz w:val="21"/>
          <w:szCs w:val="21"/>
        </w:rPr>
        <w:t xml:space="preserve">Unit &amp; chaincode tests: every chaincode function covered by automated tests in CI; no chaincode is deployed to Staging without passing coverage thresholds.</w:t>
      </w:r>
    </w:p>
    <w:p>
      <w:pPr>
        <w:pStyle w:val="ListParagraph"/>
        <w:numPr>
          <w:ilvl w:val="0"/>
          <w:numId w:val="2"/>
        </w:numPr>
        <w:spacing w:after="70"/>
      </w:pPr>
      <w:r>
        <w:rPr>
          <w:sz w:val="21"/>
          <w:szCs w:val="21"/>
        </w:rPr>
        <w:t xml:space="preserve">Integration tests: end-to-end candidate journey (registration → recruitment → verification → nomination → voting → tally) run nightly against Staging.</w:t>
      </w:r>
    </w:p>
    <w:p>
      <w:pPr>
        <w:pStyle w:val="ListParagraph"/>
        <w:numPr>
          <w:ilvl w:val="0"/>
          <w:numId w:val="2"/>
        </w:numPr>
        <w:spacing w:after="70"/>
      </w:pPr>
      <w:r>
        <w:rPr>
          <w:sz w:val="21"/>
          <w:szCs w:val="21"/>
        </w:rPr>
        <w:t xml:space="preserve">Load tests: simulate the scalability targets in Section 10.3, including worst-case ward turnout and simultaneous USSD sessions.</w:t>
      </w:r>
    </w:p>
    <w:p>
      <w:pPr>
        <w:pStyle w:val="ListParagraph"/>
        <w:numPr>
          <w:ilvl w:val="0"/>
          <w:numId w:val="2"/>
        </w:numPr>
        <w:spacing w:after="70"/>
      </w:pPr>
      <w:r>
        <w:rPr>
          <w:sz w:val="21"/>
          <w:szCs w:val="21"/>
        </w:rPr>
        <w:t xml:space="preserve">Chaos/failover tests: kill individual peers/orderers during a simulated primary to confirm Raft failover does not corrupt or halt the ledger.</w:t>
      </w:r>
    </w:p>
    <w:p>
      <w:pPr>
        <w:spacing w:after="120"/>
      </w:pPr>
    </w:p>
    <w:p>
      <w:pPr>
        <w:pStyle w:val="Heading2"/>
        <w:spacing w:after="120" w:before="260"/>
      </w:pPr>
      <w:r>
        <w:rPr>
          <w:b/>
          <w:bCs/>
          <w:color w:val="0B1F3A"/>
          <w:sz w:val="24"/>
          <w:szCs w:val="24"/>
        </w:rPr>
        <w:t xml:space="preserve">12.2 Independent security audit (MUST, before go-live)</w:t>
      </w:r>
    </w:p>
    <w:p>
      <w:pPr>
        <w:pStyle w:val="ListParagraph"/>
        <w:numPr>
          <w:ilvl w:val="0"/>
          <w:numId w:val="3"/>
        </w:numPr>
        <w:spacing w:after="70"/>
      </w:pPr>
      <w:r>
        <w:rPr>
          <w:sz w:val="21"/>
          <w:szCs w:val="21"/>
        </w:rPr>
        <w:t xml:space="preserve">Engage an independent third-party security firm (not i3) to conduct a full penetration test of the API layer, USSD gateway, Fabric network configuration, and key-management ceremony.</w:t>
      </w:r>
    </w:p>
    <w:p>
      <w:pPr>
        <w:pStyle w:val="ListParagraph"/>
        <w:numPr>
          <w:ilvl w:val="0"/>
          <w:numId w:val="3"/>
        </w:numPr>
        <w:spacing w:after="70"/>
      </w:pPr>
      <w:r>
        <w:rPr>
          <w:sz w:val="21"/>
          <w:szCs w:val="21"/>
        </w:rPr>
        <w:t xml:space="preserve">Independent code review of the ballot-secrecy mechanism (private data collection + client-side encryption) specifically, given its Very High severity rating.</w:t>
      </w:r>
    </w:p>
    <w:p>
      <w:pPr>
        <w:pStyle w:val="ListParagraph"/>
        <w:numPr>
          <w:ilvl w:val="0"/>
          <w:numId w:val="3"/>
        </w:numPr>
        <w:spacing w:after="70"/>
      </w:pPr>
      <w:r>
        <w:rPr>
          <w:sz w:val="21"/>
          <w:szCs w:val="21"/>
        </w:rPr>
        <w:t xml:space="preserve">A simulated insider-rigging exercise (red-team) targeting the tally process, executed during Pilot 2 (Section 8.3).</w:t>
      </w:r>
    </w:p>
    <w:p>
      <w:pPr>
        <w:pStyle w:val="ListParagraph"/>
        <w:numPr>
          <w:ilvl w:val="0"/>
          <w:numId w:val="3"/>
        </w:numPr>
        <w:spacing w:after="70"/>
      </w:pPr>
      <w:r>
        <w:rPr>
          <w:sz w:val="21"/>
          <w:szCs w:val="21"/>
        </w:rPr>
        <w:t xml:space="preserve">Findings are remediated and a written certification is issued before the 17 March 2027 primaries window; any Critical/High finding blocks go-live until resolved.</w:t>
      </w:r>
    </w:p>
    <w:p>
      <w:pPr>
        <w:spacing w:after="120"/>
      </w:pPr>
    </w:p>
    <w:p>
      <w:pPr>
        <w:pStyle w:val="Heading2"/>
        <w:spacing w:after="120" w:before="260"/>
      </w:pPr>
      <w:r>
        <w:rPr>
          <w:b/>
          <w:bCs/>
          <w:color w:val="0B1F3A"/>
          <w:sz w:val="24"/>
          <w:szCs w:val="24"/>
        </w:rPr>
        <w:t xml:space="preserve">12.3 Incident response</w:t>
      </w:r>
    </w:p>
    <w:p>
      <w:pPr>
        <w:spacing w:after="140" w:line="276"/>
      </w:pPr>
      <w:r>
        <w:rPr>
          <w:color w:val="1f2328"/>
          <w:sz w:val="21"/>
          <w:szCs w:val="21"/>
        </w:rPr>
        <w:t xml:space="preserve">A documented runbook covers: detection (observability alerts + anomaly detection on registration velocity and ballot patterns), containment (ability to pause a specific ward's primary via NEC-authorised two-person action), notification (Data Protection Act timelines), and post-incident review feeding back into the risk register.</w:t>
      </w:r>
    </w:p>
    <w:p>
      <w:r>
        <w:br w:type="page"/>
      </w:r>
    </w:p>
    <w:p>
      <w:pPr>
        <w:pStyle w:val="Heading1"/>
        <w:pBdr>
          <w:bottom w:val="single" w:color="C9A227" w:sz="8" w:space="4"/>
        </w:pBdr>
        <w:spacing w:after="160" w:before="360"/>
      </w:pPr>
      <w:r>
        <w:rPr>
          <w:b/>
          <w:bCs/>
          <w:color w:val="0B1F3A"/>
          <w:sz w:val="30"/>
          <w:szCs w:val="30"/>
        </w:rPr>
        <w:t xml:space="preserve">13. Implementation Roadmap (aligned to the IEBC clock)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700"/>
      </w:tblGrid>
      <w:tr>
        <w:trPr>
          <w:tblHeader/>
        </w:trPr>
        <w:tc>
          <w:tcPr>
            <w:tcW w:type="dxa" w:w="1800"/>
            <w:shd w:fill="0B1F3A" w:val="clear"/>
            <w:tcMar>
              <w:top w:type="dxa" w:w="90"/>
              <w:left w:type="dxa" w:w="110"/>
              <w:bottom w:type="dxa" w:w="90"/>
              <w:right w:type="dxa" w:w="110"/>
            </w:tcMar>
            <w:vAlign w:val="center"/>
          </w:tcPr>
          <w:p>
            <w:pPr>
              <w:jc w:val="left"/>
            </w:pPr>
            <w:r>
              <w:rPr>
                <w:b/>
                <w:bCs/>
                <w:color w:val="FFFFFF"/>
                <w:sz w:val="19"/>
                <w:szCs w:val="19"/>
              </w:rPr>
              <w:t xml:space="preserve">Phase</w:t>
            </w:r>
          </w:p>
        </w:tc>
        <w:tc>
          <w:tcPr>
            <w:tcW w:type="dxa" w:w="2400"/>
            <w:shd w:fill="0B1F3A" w:val="clear"/>
            <w:tcMar>
              <w:top w:type="dxa" w:w="90"/>
              <w:left w:type="dxa" w:w="110"/>
              <w:bottom w:type="dxa" w:w="90"/>
              <w:right w:type="dxa" w:w="110"/>
            </w:tcMar>
            <w:vAlign w:val="center"/>
          </w:tcPr>
          <w:p>
            <w:pPr>
              <w:jc w:val="left"/>
            </w:pPr>
            <w:r>
              <w:rPr>
                <w:b/>
                <w:bCs/>
                <w:color w:val="FFFFFF"/>
                <w:sz w:val="19"/>
                <w:szCs w:val="19"/>
              </w:rPr>
              <w:t xml:space="preserve">Window</w:t>
            </w:r>
          </w:p>
        </w:tc>
        <w:tc>
          <w:tcPr>
            <w:tcW w:type="dxa" w:w="4700"/>
            <w:shd w:fill="0B1F3A" w:val="clear"/>
            <w:tcMar>
              <w:top w:type="dxa" w:w="90"/>
              <w:left w:type="dxa" w:w="110"/>
              <w:bottom w:type="dxa" w:w="90"/>
              <w:right w:type="dxa" w:w="110"/>
            </w:tcMar>
            <w:vAlign w:val="center"/>
          </w:tcPr>
          <w:p>
            <w:pPr>
              <w:jc w:val="left"/>
            </w:pPr>
            <w:r>
              <w:rPr>
                <w:b/>
                <w:bCs/>
                <w:color w:val="FFFFFF"/>
                <w:sz w:val="19"/>
                <w:szCs w:val="19"/>
              </w:rPr>
              <w:t xml:space="preserve">Engineering deliverables</w:t>
            </w:r>
          </w:p>
        </w:tc>
      </w:tr>
      <w:tr>
        <w:tc>
          <w:tcPr>
            <w:tcW w:type="dxa" w:w="1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0 — Foundations</w:t>
            </w:r>
          </w:p>
        </w:tc>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Now – 15 Oct 2026</w:t>
            </w:r>
          </w:p>
        </w:tc>
        <w:tc>
          <w:tcPr>
            <w:tcW w:type="dxa" w:w="47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Fabric network stood up on ROKS; MSPs/CAs provisioned; NEC HSM key ceremony; nomination-rules config schema agreed with legal</w:t>
            </w:r>
          </w:p>
        </w:tc>
      </w:tr>
      <w:tr>
        <w:tc>
          <w:tcPr>
            <w:tcW w:type="dxa" w:w="1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1 — Rules-to-code</w:t>
            </w:r>
          </w:p>
        </w:tc>
        <w:tc>
          <w:tcPr>
            <w:tcW w:type="dxa" w:w="2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By 30 Oct 2026</w:t>
            </w:r>
          </w:p>
        </w:tc>
        <w:tc>
          <w:tcPr>
            <w:tcW w:type="dxa" w:w="47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Nomination chaincode encodes certified rules (fee schedule, waivers, deposit); ORPP certification sign-off obtained before this date</w:t>
            </w:r>
          </w:p>
        </w:tc>
      </w:tr>
      <w:tr>
        <w:tc>
          <w:tcPr>
            <w:tcW w:type="dxa" w:w="1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2 — Platform MVP</w:t>
            </w:r>
          </w:p>
        </w:tc>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Nov 2026 – Jan 2027</w:t>
            </w:r>
          </w:p>
        </w:tc>
        <w:tc>
          <w:tcPr>
            <w:tcW w:type="dxa" w:w="47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Membership registry live; USSD registration flow live; i3 Engage recruitment integration live in 5 pilot counties; candidate portal with live member-duty counter</w:t>
            </w:r>
          </w:p>
        </w:tc>
      </w:tr>
      <w:tr>
        <w:tc>
          <w:tcPr>
            <w:tcW w:type="dxa" w:w="1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3 — Mass recruitment support</w:t>
            </w:r>
          </w:p>
        </w:tc>
        <w:tc>
          <w:tcPr>
            <w:tcW w:type="dxa" w:w="2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Dec 2026 – 16 Mar 2027</w:t>
            </w:r>
          </w:p>
        </w:tc>
        <w:tc>
          <w:tcPr>
            <w:tcW w:type="dxa" w:w="47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Platform scaled to all 47 counties / 1,450 wards; dedup and anomaly-detection tuned under real load; membership list frozen and certified for the 16 Mar deadline</w:t>
            </w:r>
          </w:p>
        </w:tc>
      </w:tr>
      <w:tr>
        <w:tc>
          <w:tcPr>
            <w:tcW w:type="dxa" w:w="1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4 — Digital primaries</w:t>
            </w:r>
          </w:p>
        </w:tc>
        <w:tc>
          <w:tcPr>
            <w:tcW w:type="dxa" w:w="2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Pilot 1: Dec 2026; Pilot 2: Feb 2027; Live: 17 Mar – 10 Apr 2027</w:t>
            </w:r>
          </w:p>
        </w:tc>
        <w:tc>
          <w:tcPr>
            <w:tcW w:type="dxa" w:w="47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Voting chaincode hardened, security-audited, and piloted twice before live primaries; dispute workflow operational</w:t>
            </w:r>
          </w:p>
        </w:tc>
      </w:tr>
      <w:tr>
        <w:tc>
          <w:tcPr>
            <w:tcW w:type="dxa" w:w="1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5 — General election support</w:t>
            </w:r>
          </w:p>
        </w:tc>
        <w:tc>
          <w:tcPr>
            <w:tcW w:type="dxa" w:w="2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29 May – 10 Aug 2027</w:t>
            </w:r>
          </w:p>
        </w:tc>
        <w:tc>
          <w:tcPr>
            <w:tcW w:type="dxa" w:w="47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Candidate registration exports to IEBC; platform moves to steady-state monitoring; ledger retained as permanent audit record</w:t>
            </w:r>
          </w:p>
        </w:tc>
      </w:tr>
    </w:tbl>
    <w:p>
      <w:r>
        <w:br w:type="page"/>
      </w:r>
    </w:p>
    <w:p>
      <w:pPr>
        <w:pStyle w:val="Heading1"/>
        <w:pBdr>
          <w:bottom w:val="single" w:color="C9A227" w:sz="8" w:space="4"/>
        </w:pBdr>
        <w:spacing w:after="160" w:before="360"/>
      </w:pPr>
      <w:r>
        <w:rPr>
          <w:b/>
          <w:bCs/>
          <w:color w:val="0B1F3A"/>
          <w:sz w:val="30"/>
          <w:szCs w:val="30"/>
        </w:rPr>
        <w:t xml:space="preserve">14. Delivery Team &amp; RACI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400"/>
        <w:gridCol w:w="1300"/>
        <w:gridCol w:w="1400"/>
      </w:tblGrid>
      <w:tr>
        <w:trPr>
          <w:tblHeader/>
        </w:trPr>
        <w:tc>
          <w:tcPr>
            <w:tcW w:type="dxa" w:w="2600"/>
            <w:shd w:fill="0B1F3A" w:val="clear"/>
            <w:tcMar>
              <w:top w:type="dxa" w:w="90"/>
              <w:left w:type="dxa" w:w="110"/>
              <w:bottom w:type="dxa" w:w="90"/>
              <w:right w:type="dxa" w:w="110"/>
            </w:tcMar>
            <w:vAlign w:val="center"/>
          </w:tcPr>
          <w:p>
            <w:pPr>
              <w:jc w:val="left"/>
            </w:pPr>
            <w:r>
              <w:rPr>
                <w:b/>
                <w:bCs/>
                <w:color w:val="FFFFFF"/>
                <w:sz w:val="19"/>
                <w:szCs w:val="19"/>
              </w:rPr>
              <w:t xml:space="preserve">Workstream</w:t>
            </w:r>
          </w:p>
        </w:tc>
        <w:tc>
          <w:tcPr>
            <w:tcW w:type="dxa" w:w="1500"/>
            <w:shd w:fill="0B1F3A" w:val="clear"/>
            <w:tcMar>
              <w:top w:type="dxa" w:w="90"/>
              <w:left w:type="dxa" w:w="110"/>
              <w:bottom w:type="dxa" w:w="90"/>
              <w:right w:type="dxa" w:w="110"/>
            </w:tcMar>
            <w:vAlign w:val="center"/>
          </w:tcPr>
          <w:p>
            <w:pPr>
              <w:jc w:val="left"/>
            </w:pPr>
            <w:r>
              <w:rPr>
                <w:b/>
                <w:bCs/>
                <w:color w:val="FFFFFF"/>
                <w:sz w:val="19"/>
                <w:szCs w:val="19"/>
              </w:rPr>
              <w:t xml:space="preserve">i3 Solutions Architect</w:t>
            </w:r>
          </w:p>
        </w:tc>
        <w:tc>
          <w:tcPr>
            <w:tcW w:type="dxa" w:w="1500"/>
            <w:shd w:fill="0B1F3A" w:val="clear"/>
            <w:tcMar>
              <w:top w:type="dxa" w:w="90"/>
              <w:left w:type="dxa" w:w="110"/>
              <w:bottom w:type="dxa" w:w="90"/>
              <w:right w:type="dxa" w:w="110"/>
            </w:tcMar>
            <w:vAlign w:val="center"/>
          </w:tcPr>
          <w:p>
            <w:pPr>
              <w:jc w:val="left"/>
            </w:pPr>
            <w:r>
              <w:rPr>
                <w:b/>
                <w:bCs/>
                <w:color w:val="FFFFFF"/>
                <w:sz w:val="19"/>
                <w:szCs w:val="19"/>
              </w:rPr>
              <w:t xml:space="preserve">i3 Blockchain Eng.</w:t>
            </w:r>
          </w:p>
        </w:tc>
        <w:tc>
          <w:tcPr>
            <w:tcW w:type="dxa" w:w="1400"/>
            <w:shd w:fill="0B1F3A" w:val="clear"/>
            <w:tcMar>
              <w:top w:type="dxa" w:w="90"/>
              <w:left w:type="dxa" w:w="110"/>
              <w:bottom w:type="dxa" w:w="90"/>
              <w:right w:type="dxa" w:w="110"/>
            </w:tcMar>
            <w:vAlign w:val="center"/>
          </w:tcPr>
          <w:p>
            <w:pPr>
              <w:jc w:val="left"/>
            </w:pPr>
            <w:r>
              <w:rPr>
                <w:b/>
                <w:bCs/>
                <w:color w:val="FFFFFF"/>
                <w:sz w:val="19"/>
                <w:szCs w:val="19"/>
              </w:rPr>
              <w:t xml:space="preserve">i3 Engage Team</w:t>
            </w:r>
          </w:p>
        </w:tc>
        <w:tc>
          <w:tcPr>
            <w:tcW w:type="dxa" w:w="1300"/>
            <w:shd w:fill="0B1F3A" w:val="clear"/>
            <w:tcMar>
              <w:top w:type="dxa" w:w="90"/>
              <w:left w:type="dxa" w:w="110"/>
              <w:bottom w:type="dxa" w:w="90"/>
              <w:right w:type="dxa" w:w="110"/>
            </w:tcMar>
            <w:vAlign w:val="center"/>
          </w:tcPr>
          <w:p>
            <w:pPr>
              <w:jc w:val="left"/>
            </w:pPr>
            <w:r>
              <w:rPr>
                <w:b/>
                <w:bCs/>
                <w:color w:val="FFFFFF"/>
                <w:sz w:val="19"/>
                <w:szCs w:val="19"/>
              </w:rPr>
              <w:t xml:space="preserve">i3 Security</w:t>
            </w:r>
          </w:p>
        </w:tc>
        <w:tc>
          <w:tcPr>
            <w:tcW w:type="dxa" w:w="1400"/>
            <w:shd w:fill="0B1F3A" w:val="clear"/>
            <w:tcMar>
              <w:top w:type="dxa" w:w="90"/>
              <w:left w:type="dxa" w:w="110"/>
              <w:bottom w:type="dxa" w:w="90"/>
              <w:right w:type="dxa" w:w="110"/>
            </w:tcMar>
            <w:vAlign w:val="center"/>
          </w:tcPr>
          <w:p>
            <w:pPr>
              <w:jc w:val="left"/>
            </w:pPr>
            <w:r>
              <w:rPr>
                <w:b/>
                <w:bCs/>
                <w:color w:val="FFFFFF"/>
                <w:sz w:val="19"/>
                <w:szCs w:val="19"/>
              </w:rPr>
              <w:t xml:space="preserve">FORD-Asili NEC</w:t>
            </w:r>
          </w:p>
        </w:tc>
      </w:tr>
      <w:tr>
        <w:tc>
          <w:tcPr>
            <w:tcW w:type="dxa" w:w="2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Network &amp; chaincode design</w:t>
            </w:r>
          </w:p>
        </w:tc>
        <w:tc>
          <w:tcPr>
            <w:tcW w:type="dxa" w:w="1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A</w:t>
            </w:r>
          </w:p>
        </w:tc>
        <w:tc>
          <w:tcPr>
            <w:tcW w:type="dxa" w:w="1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w:t>
            </w:r>
          </w:p>
        </w:tc>
        <w:tc>
          <w:tcPr>
            <w:tcW w:type="dxa" w:w="1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w:t>
            </w:r>
          </w:p>
        </w:tc>
        <w:tc>
          <w:tcPr>
            <w:tcW w:type="dxa" w:w="13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w:t>
            </w:r>
          </w:p>
        </w:tc>
        <w:tc>
          <w:tcPr>
            <w:tcW w:type="dxa" w:w="1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I</w:t>
            </w:r>
          </w:p>
        </w:tc>
      </w:tr>
      <w:tr>
        <w:tc>
          <w:tcPr>
            <w:tcW w:type="dxa" w:w="2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Nomination-rules encoding</w:t>
            </w:r>
          </w:p>
        </w:tc>
        <w:tc>
          <w:tcPr>
            <w:tcW w:type="dxa" w:w="1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w:t>
            </w:r>
          </w:p>
        </w:tc>
        <w:tc>
          <w:tcPr>
            <w:tcW w:type="dxa" w:w="1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w:t>
            </w:r>
          </w:p>
        </w:tc>
        <w:tc>
          <w:tcPr>
            <w:tcW w:type="dxa" w:w="1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w:t>
            </w:r>
          </w:p>
        </w:tc>
        <w:tc>
          <w:tcPr>
            <w:tcW w:type="dxa" w:w="13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w:t>
            </w:r>
          </w:p>
        </w:tc>
        <w:tc>
          <w:tcPr>
            <w:tcW w:type="dxa" w:w="1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A</w:t>
            </w:r>
          </w:p>
        </w:tc>
      </w:tr>
      <w:tr>
        <w:tc>
          <w:tcPr>
            <w:tcW w:type="dxa" w:w="2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i3 Engage recruitment integration</w:t>
            </w:r>
          </w:p>
        </w:tc>
        <w:tc>
          <w:tcPr>
            <w:tcW w:type="dxa" w:w="1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w:t>
            </w:r>
          </w:p>
        </w:tc>
        <w:tc>
          <w:tcPr>
            <w:tcW w:type="dxa" w:w="1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I</w:t>
            </w:r>
          </w:p>
        </w:tc>
        <w:tc>
          <w:tcPr>
            <w:tcW w:type="dxa" w:w="1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w:t>
            </w:r>
          </w:p>
        </w:tc>
        <w:tc>
          <w:tcPr>
            <w:tcW w:type="dxa" w:w="13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w:t>
            </w:r>
          </w:p>
        </w:tc>
        <w:tc>
          <w:tcPr>
            <w:tcW w:type="dxa" w:w="1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I</w:t>
            </w:r>
          </w:p>
        </w:tc>
      </w:tr>
      <w:tr>
        <w:tc>
          <w:tcPr>
            <w:tcW w:type="dxa" w:w="2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USSD/mobile channel</w:t>
            </w:r>
          </w:p>
        </w:tc>
        <w:tc>
          <w:tcPr>
            <w:tcW w:type="dxa" w:w="1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w:t>
            </w:r>
          </w:p>
        </w:tc>
        <w:tc>
          <w:tcPr>
            <w:tcW w:type="dxa" w:w="1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w:t>
            </w:r>
          </w:p>
        </w:tc>
        <w:tc>
          <w:tcPr>
            <w:tcW w:type="dxa" w:w="1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w:t>
            </w:r>
          </w:p>
        </w:tc>
        <w:tc>
          <w:tcPr>
            <w:tcW w:type="dxa" w:w="13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w:t>
            </w:r>
          </w:p>
        </w:tc>
        <w:tc>
          <w:tcPr>
            <w:tcW w:type="dxa" w:w="1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w:t>
            </w:r>
          </w:p>
        </w:tc>
      </w:tr>
      <w:tr>
        <w:tc>
          <w:tcPr>
            <w:tcW w:type="dxa" w:w="2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HSM / key custody ceremony</w:t>
            </w:r>
          </w:p>
        </w:tc>
        <w:tc>
          <w:tcPr>
            <w:tcW w:type="dxa" w:w="1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w:t>
            </w:r>
          </w:p>
        </w:tc>
        <w:tc>
          <w:tcPr>
            <w:tcW w:type="dxa" w:w="1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w:t>
            </w:r>
          </w:p>
        </w:tc>
        <w:tc>
          <w:tcPr>
            <w:tcW w:type="dxa" w:w="1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I</w:t>
            </w:r>
          </w:p>
        </w:tc>
        <w:tc>
          <w:tcPr>
            <w:tcW w:type="dxa" w:w="13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A</w:t>
            </w:r>
          </w:p>
        </w:tc>
        <w:tc>
          <w:tcPr>
            <w:tcW w:type="dxa" w:w="1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w:t>
            </w:r>
          </w:p>
        </w:tc>
      </w:tr>
      <w:tr>
        <w:tc>
          <w:tcPr>
            <w:tcW w:type="dxa" w:w="2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Independent security audit coordination</w:t>
            </w:r>
          </w:p>
        </w:tc>
        <w:tc>
          <w:tcPr>
            <w:tcW w:type="dxa" w:w="1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w:t>
            </w:r>
          </w:p>
        </w:tc>
        <w:tc>
          <w:tcPr>
            <w:tcW w:type="dxa" w:w="1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w:t>
            </w:r>
          </w:p>
        </w:tc>
        <w:tc>
          <w:tcPr>
            <w:tcW w:type="dxa" w:w="1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w:t>
            </w:r>
          </w:p>
        </w:tc>
        <w:tc>
          <w:tcPr>
            <w:tcW w:type="dxa" w:w="13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A</w:t>
            </w:r>
          </w:p>
        </w:tc>
        <w:tc>
          <w:tcPr>
            <w:tcW w:type="dxa" w:w="1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w:t>
            </w:r>
          </w:p>
        </w:tc>
      </w:tr>
      <w:tr>
        <w:tc>
          <w:tcPr>
            <w:tcW w:type="dxa" w:w="2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Digital-primary pilots</w:t>
            </w:r>
          </w:p>
        </w:tc>
        <w:tc>
          <w:tcPr>
            <w:tcW w:type="dxa" w:w="1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A</w:t>
            </w:r>
          </w:p>
        </w:tc>
        <w:tc>
          <w:tcPr>
            <w:tcW w:type="dxa" w:w="15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w:t>
            </w:r>
          </w:p>
        </w:tc>
        <w:tc>
          <w:tcPr>
            <w:tcW w:type="dxa" w:w="1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I</w:t>
            </w:r>
          </w:p>
        </w:tc>
        <w:tc>
          <w:tcPr>
            <w:tcW w:type="dxa" w:w="13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w:t>
            </w:r>
          </w:p>
        </w:tc>
        <w:tc>
          <w:tcPr>
            <w:tcW w:type="dxa" w:w="14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w:t>
            </w:r>
          </w:p>
        </w:tc>
      </w:tr>
      <w:tr>
        <w:tc>
          <w:tcPr>
            <w:tcW w:type="dxa" w:w="2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Go-live certification sign-off</w:t>
            </w:r>
          </w:p>
        </w:tc>
        <w:tc>
          <w:tcPr>
            <w:tcW w:type="dxa" w:w="1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w:t>
            </w:r>
          </w:p>
        </w:tc>
        <w:tc>
          <w:tcPr>
            <w:tcW w:type="dxa" w:w="15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w:t>
            </w:r>
          </w:p>
        </w:tc>
        <w:tc>
          <w:tcPr>
            <w:tcW w:type="dxa" w:w="1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I</w:t>
            </w:r>
          </w:p>
        </w:tc>
        <w:tc>
          <w:tcPr>
            <w:tcW w:type="dxa" w:w="13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w:t>
            </w:r>
          </w:p>
        </w:tc>
        <w:tc>
          <w:tcPr>
            <w:tcW w:type="dxa" w:w="14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A</w:t>
            </w:r>
          </w:p>
        </w:tc>
      </w:tr>
    </w:tbl>
    <w:p>
      <w:pPr>
        <w:spacing w:after="120"/>
      </w:pPr>
    </w:p>
    <w:p>
      <w:pPr>
        <w:spacing w:after="140" w:line="276"/>
      </w:pPr>
      <w:r>
        <w:rPr>
          <w:color w:val="1f2328"/>
          <w:sz w:val="21"/>
          <w:szCs w:val="21"/>
        </w:rPr>
        <w:t xml:space="preserve">R = Responsible, A = Accountable, C = Consulted, I = Informed. FORD-Asili NEC accountability (A) on rules-encoding, HSM custody, and go-live sign-off reflects that these are governance decisions, not purely technical ones — i3 builds and recommends, the party owns and certifies its own election-management rules.</w:t>
      </w:r>
    </w:p>
    <w:p>
      <w:r>
        <w:br w:type="page"/>
      </w:r>
    </w:p>
    <w:p>
      <w:pPr>
        <w:pStyle w:val="Heading1"/>
        <w:pBdr>
          <w:bottom w:val="single" w:color="C9A227" w:sz="8" w:space="4"/>
        </w:pBdr>
        <w:spacing w:after="160" w:before="360"/>
      </w:pPr>
      <w:r>
        <w:rPr>
          <w:b/>
          <w:bCs/>
          <w:color w:val="0B1F3A"/>
          <w:sz w:val="30"/>
          <w:szCs w:val="30"/>
        </w:rPr>
        <w:t xml:space="preserve">15. Appendix A — Chaincode Function Reference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00"/>
      </w:tblGrid>
      <w:tr>
        <w:trPr>
          <w:tblHeader/>
        </w:trPr>
        <w:tc>
          <w:tcPr>
            <w:tcW w:type="dxa" w:w="1800"/>
            <w:shd w:fill="0B1F3A" w:val="clear"/>
            <w:tcMar>
              <w:top w:type="dxa" w:w="90"/>
              <w:left w:type="dxa" w:w="110"/>
              <w:bottom w:type="dxa" w:w="90"/>
              <w:right w:type="dxa" w:w="110"/>
            </w:tcMar>
            <w:vAlign w:val="center"/>
          </w:tcPr>
          <w:p>
            <w:pPr>
              <w:jc w:val="left"/>
            </w:pPr>
            <w:r>
              <w:rPr>
                <w:b/>
                <w:bCs/>
                <w:color w:val="FFFFFF"/>
                <w:sz w:val="19"/>
                <w:szCs w:val="19"/>
              </w:rPr>
              <w:t xml:space="preserve">Chaincode</w:t>
            </w:r>
          </w:p>
        </w:tc>
        <w:tc>
          <w:tcPr>
            <w:tcW w:type="dxa" w:w="4600"/>
            <w:shd w:fill="0B1F3A" w:val="clear"/>
            <w:tcMar>
              <w:top w:type="dxa" w:w="90"/>
              <w:left w:type="dxa" w:w="110"/>
              <w:bottom w:type="dxa" w:w="90"/>
              <w:right w:type="dxa" w:w="110"/>
            </w:tcMar>
            <w:vAlign w:val="center"/>
          </w:tcPr>
          <w:p>
            <w:pPr>
              <w:jc w:val="left"/>
            </w:pPr>
            <w:r>
              <w:rPr>
                <w:b/>
                <w:bCs/>
                <w:color w:val="FFFFFF"/>
                <w:sz w:val="19"/>
                <w:szCs w:val="19"/>
              </w:rPr>
              <w:t xml:space="preserve">Function</w:t>
            </w:r>
          </w:p>
        </w:tc>
        <w:tc>
          <w:tcPr>
            <w:tcW w:type="dxa" w:w="2900"/>
            <w:shd w:fill="0B1F3A" w:val="clear"/>
            <w:tcMar>
              <w:top w:type="dxa" w:w="90"/>
              <w:left w:type="dxa" w:w="110"/>
              <w:bottom w:type="dxa" w:w="90"/>
              <w:right w:type="dxa" w:w="110"/>
            </w:tcMar>
            <w:vAlign w:val="center"/>
          </w:tcPr>
          <w:p>
            <w:pPr>
              <w:jc w:val="left"/>
            </w:pPr>
            <w:r>
              <w:rPr>
                <w:b/>
                <w:bCs/>
                <w:color w:val="FFFFFF"/>
                <w:sz w:val="19"/>
                <w:szCs w:val="19"/>
              </w:rPr>
              <w:t xml:space="preserve">Access role</w:t>
            </w:r>
          </w:p>
        </w:tc>
      </w:tr>
      <w:tr>
        <w:tc>
          <w:tcPr>
            <w:tcW w:type="dxa" w:w="1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MembershipRegistry</w:t>
            </w:r>
          </w:p>
        </w:tc>
        <w:tc>
          <w:tcPr>
            <w:tcW w:type="dxa" w:w="4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RegisterMember(memberHash, ward, consentRef)</w:t>
            </w:r>
          </w:p>
        </w:tc>
        <w:tc>
          <w:tcPr>
            <w:tcW w:type="dxa" w:w="29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Membership Service</w:t>
            </w:r>
          </w:p>
        </w:tc>
      </w:tr>
      <w:tr>
        <w:tc>
          <w:tcPr>
            <w:tcW w:type="dxa" w:w="1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MembershipRegistry</w:t>
            </w:r>
          </w:p>
        </w:tc>
        <w:tc>
          <w:tcPr>
            <w:tcW w:type="dxa" w:w="4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VerifyMember(memberID)</w:t>
            </w:r>
          </w:p>
        </w:tc>
        <w:tc>
          <w:tcPr>
            <w:tcW w:type="dxa" w:w="29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Verification Service, NEC reviewer</w:t>
            </w:r>
          </w:p>
        </w:tc>
      </w:tr>
      <w:tr>
        <w:tc>
          <w:tcPr>
            <w:tcW w:type="dxa" w:w="1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MembershipRegistry</w:t>
            </w:r>
          </w:p>
        </w:tc>
        <w:tc>
          <w:tcPr>
            <w:tcW w:type="dxa" w:w="4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FlagDuplicate(memberID, reason)</w:t>
            </w:r>
          </w:p>
        </w:tc>
        <w:tc>
          <w:tcPr>
            <w:tcW w:type="dxa" w:w="29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Dedup Service, NEC reviewer</w:t>
            </w:r>
          </w:p>
        </w:tc>
      </w:tr>
      <w:tr>
        <w:tc>
          <w:tcPr>
            <w:tcW w:type="dxa" w:w="1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Nomination</w:t>
            </w:r>
          </w:p>
        </w:tc>
        <w:tc>
          <w:tcPr>
            <w:tcW w:type="dxa" w:w="4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SubmitCandidacy(candidateID, seat, ward)</w:t>
            </w:r>
          </w:p>
        </w:tc>
        <w:tc>
          <w:tcPr>
            <w:tcW w:type="dxa" w:w="29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Candidate Portal</w:t>
            </w:r>
          </w:p>
        </w:tc>
      </w:tr>
      <w:tr>
        <w:tc>
          <w:tcPr>
            <w:tcW w:type="dxa" w:w="1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Nomination</w:t>
            </w:r>
          </w:p>
        </w:tc>
        <w:tc>
          <w:tcPr>
            <w:tcW w:type="dxa" w:w="4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ApplyWaiver(candidateID, waiverType)</w:t>
            </w:r>
          </w:p>
        </w:tc>
        <w:tc>
          <w:tcPr>
            <w:tcW w:type="dxa" w:w="29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Candidate Portal, NEC reviewer</w:t>
            </w:r>
          </w:p>
        </w:tc>
      </w:tr>
      <w:tr>
        <w:tc>
          <w:tcPr>
            <w:tcW w:type="dxa" w:w="1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Nomination</w:t>
            </w:r>
          </w:p>
        </w:tc>
        <w:tc>
          <w:tcPr>
            <w:tcW w:type="dxa" w:w="4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RecordMemberDutyProgress(candidateID, verifiedCount)</w:t>
            </w:r>
          </w:p>
        </w:tc>
        <w:tc>
          <w:tcPr>
            <w:tcW w:type="dxa" w:w="29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Membership Service (event-driven)</w:t>
            </w:r>
          </w:p>
        </w:tc>
      </w:tr>
      <w:tr>
        <w:tc>
          <w:tcPr>
            <w:tcW w:type="dxa" w:w="1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Nomination</w:t>
            </w:r>
          </w:p>
        </w:tc>
        <w:tc>
          <w:tcPr>
            <w:tcW w:type="dxa" w:w="4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CertifyEligibility(candidateID)</w:t>
            </w:r>
          </w:p>
        </w:tc>
        <w:tc>
          <w:tcPr>
            <w:tcW w:type="dxa" w:w="29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NEC reviewer only</w:t>
            </w:r>
          </w:p>
        </w:tc>
      </w:tr>
      <w:tr>
        <w:tc>
          <w:tcPr>
            <w:tcW w:type="dxa" w:w="1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Escrow</w:t>
            </w:r>
          </w:p>
        </w:tc>
        <w:tc>
          <w:tcPr>
            <w:tcW w:type="dxa" w:w="4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CollectDeposit / ReleaseDeposit / ForfeitDeposit</w:t>
            </w:r>
          </w:p>
        </w:tc>
        <w:tc>
          <w:tcPr>
            <w:tcW w:type="dxa" w:w="29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Fee &amp; Escrow Service (Daraja-triggered)</w:t>
            </w:r>
          </w:p>
        </w:tc>
      </w:tr>
      <w:tr>
        <w:tc>
          <w:tcPr>
            <w:tcW w:type="dxa" w:w="1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PrimaryVoting</w:t>
            </w:r>
          </w:p>
        </w:tc>
        <w:tc>
          <w:tcPr>
            <w:tcW w:type="dxa" w:w="4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OpenBallot(wardID) / CloseBallot(wardID)</w:t>
            </w:r>
          </w:p>
        </w:tc>
        <w:tc>
          <w:tcPr>
            <w:tcW w:type="dxa" w:w="29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NEC reviewer (two-person)</w:t>
            </w:r>
          </w:p>
        </w:tc>
      </w:tr>
      <w:tr>
        <w:tc>
          <w:tcPr>
            <w:tcW w:type="dxa" w:w="1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PrimaryVoting</w:t>
            </w:r>
          </w:p>
        </w:tc>
        <w:tc>
          <w:tcPr>
            <w:tcW w:type="dxa" w:w="4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CastEncryptedBallot(ballotToken, encryptedChoice)</w:t>
            </w:r>
          </w:p>
        </w:tc>
        <w:tc>
          <w:tcPr>
            <w:tcW w:type="dxa" w:w="29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Voter session (via Ballot-Secrecy Broker)</w:t>
            </w:r>
          </w:p>
        </w:tc>
      </w:tr>
      <w:tr>
        <w:tc>
          <w:tcPr>
            <w:tcW w:type="dxa" w:w="18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ResultTally</w:t>
            </w:r>
          </w:p>
        </w:tc>
        <w:tc>
          <w:tcPr>
            <w:tcW w:type="dxa" w:w="46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Tally(wardID) / PublishSignedResult(wardID)</w:t>
            </w:r>
          </w:p>
        </w:tc>
        <w:tc>
          <w:tcPr>
            <w:tcW w:type="dxa" w:w="2900"/>
            <w:shd w:fill="FFFFFF" w:val="clear"/>
            <w:tcMar>
              <w:top w:type="dxa" w:w="90"/>
              <w:left w:type="dxa" w:w="110"/>
              <w:bottom w:type="dxa" w:w="90"/>
              <w:right w:type="dxa" w:w="110"/>
            </w:tcMar>
            <w:vAlign w:val="center"/>
          </w:tcPr>
          <w:p>
            <w:pPr>
              <w:jc w:val="left"/>
            </w:pPr>
            <w:r>
              <w:rPr>
                <w:b w:val="false"/>
                <w:bCs w:val="false"/>
                <w:color w:val="1f2328"/>
                <w:sz w:val="19"/>
                <w:szCs w:val="19"/>
              </w:rPr>
              <w:t xml:space="preserve">Tally peer process only</w:t>
            </w:r>
          </w:p>
        </w:tc>
      </w:tr>
      <w:tr>
        <w:tc>
          <w:tcPr>
            <w:tcW w:type="dxa" w:w="18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ResultTally</w:t>
            </w:r>
          </w:p>
        </w:tc>
        <w:tc>
          <w:tcPr>
            <w:tcW w:type="dxa" w:w="46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RecordDisputeEvidence(caseID, evidenceHash)</w:t>
            </w:r>
          </w:p>
        </w:tc>
        <w:tc>
          <w:tcPr>
            <w:tcW w:type="dxa" w:w="2900"/>
            <w:shd w:fill="F7F8FA" w:val="clear"/>
            <w:tcMar>
              <w:top w:type="dxa" w:w="90"/>
              <w:left w:type="dxa" w:w="110"/>
              <w:bottom w:type="dxa" w:w="90"/>
              <w:right w:type="dxa" w:w="110"/>
            </w:tcMar>
            <w:vAlign w:val="center"/>
          </w:tcPr>
          <w:p>
            <w:pPr>
              <w:jc w:val="left"/>
            </w:pPr>
            <w:r>
              <w:rPr>
                <w:b w:val="false"/>
                <w:bCs w:val="false"/>
                <w:color w:val="1f2328"/>
                <w:sz w:val="19"/>
                <w:szCs w:val="19"/>
              </w:rPr>
              <w:t xml:space="preserve">Dispute Service, any registered candidate</w:t>
            </w:r>
          </w:p>
        </w:tc>
      </w:tr>
    </w:tbl>
    <w:p>
      <w:pPr>
        <w:spacing w:after="120"/>
      </w:pPr>
    </w:p>
    <w:p>
      <w:pPr>
        <w:pStyle w:val="Heading1"/>
        <w:pBdr>
          <w:bottom w:val="single" w:color="C9A227" w:sz="8" w:space="4"/>
        </w:pBdr>
        <w:spacing w:after="160" w:before="360"/>
      </w:pPr>
      <w:r>
        <w:rPr>
          <w:b/>
          <w:bCs/>
          <w:color w:val="0B1F3A"/>
          <w:sz w:val="30"/>
          <w:szCs w:val="30"/>
        </w:rPr>
        <w:t xml:space="preserve">Appendix B — Glossary</w:t>
      </w:r>
    </w:p>
    <w:p>
      <w:pPr>
        <w:pStyle w:val="ListParagraph"/>
        <w:numPr>
          <w:ilvl w:val="0"/>
          <w:numId w:val="2"/>
        </w:numPr>
        <w:spacing w:after="70"/>
      </w:pPr>
      <w:r>
        <w:rPr>
          <w:sz w:val="21"/>
          <w:szCs w:val="21"/>
        </w:rPr>
        <w:t xml:space="preserve">MSP — Membership Service Provider; Fabric's mechanism for defining an organisation's cryptographic identity.</w:t>
      </w:r>
    </w:p>
    <w:p>
      <w:pPr>
        <w:pStyle w:val="ListParagraph"/>
        <w:numPr>
          <w:ilvl w:val="0"/>
          <w:numId w:val="2"/>
        </w:numPr>
        <w:spacing w:after="70"/>
      </w:pPr>
      <w:r>
        <w:rPr>
          <w:sz w:val="21"/>
          <w:szCs w:val="21"/>
        </w:rPr>
        <w:t xml:space="preserve">HSM — Hardware Security Module; tamper-resistant device for generating and storing cryptographic keys.</w:t>
      </w:r>
    </w:p>
    <w:p>
      <w:pPr>
        <w:pStyle w:val="ListParagraph"/>
        <w:numPr>
          <w:ilvl w:val="0"/>
          <w:numId w:val="2"/>
        </w:numPr>
        <w:spacing w:after="70"/>
      </w:pPr>
      <w:r>
        <w:rPr>
          <w:sz w:val="21"/>
          <w:szCs w:val="21"/>
        </w:rPr>
        <w:t xml:space="preserve">ROKS — Red Hat OpenShift Kubernetes Service on IBM Cloud.</w:t>
      </w:r>
    </w:p>
    <w:p>
      <w:pPr>
        <w:pStyle w:val="ListParagraph"/>
        <w:numPr>
          <w:ilvl w:val="0"/>
          <w:numId w:val="2"/>
        </w:numPr>
        <w:spacing w:after="70"/>
      </w:pPr>
      <w:r>
        <w:rPr>
          <w:sz w:val="21"/>
          <w:szCs w:val="21"/>
        </w:rPr>
        <w:t xml:space="preserve">Private data collection — a Fabric feature restricting a subset of ledger data to a defined set of peers, used here to keep ballot content away from non-tally peers.</w:t>
      </w:r>
    </w:p>
    <w:p>
      <w:pPr>
        <w:pStyle w:val="ListParagraph"/>
        <w:numPr>
          <w:ilvl w:val="0"/>
          <w:numId w:val="2"/>
        </w:numPr>
        <w:spacing w:after="70"/>
      </w:pPr>
      <w:r>
        <w:rPr>
          <w:sz w:val="21"/>
          <w:szCs w:val="21"/>
        </w:rPr>
        <w:t xml:space="preserve">Ballot-Secrecy Broker — the application-layer component that issues an anonymised ballot token to a verified voter, breaking the link between identity verification and vote content.</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space="4"/>
      </w:pBdr>
      <w:tabs>
        <w:tab w:val="right" w:pos="9026"/>
      </w:tabs>
    </w:pPr>
    <w:r>
      <w:rPr>
        <w:color w:val="57606A"/>
        <w:sz w:val="14"/>
        <w:szCs w:val="14"/>
      </w:rPr>
      <w:t xml:space="preserve">CONFIDENTIAL — i3 Technologies / FORD-Asili</w:t>
    </w:r>
    <w:r>
      <w:rPr>
        <w:color w:val="57606A"/>
        <w:sz w:val="14"/>
        <w:szCs w:val="14"/>
      </w:rPr>
      <w:t xml:space="preserve">	Page </w:t>
    </w:r>
    <w:r>
      <w:rPr>
        <w:color w:val="57606A"/>
        <w:sz w:val="14"/>
        <w:szCs w:val="14"/>
      </w:rPr>
      <w:fldChar w:fldCharType="begin"/>
      <w:instrText xml:space="preserve">PAGE</w:instrText>
      <w:fldChar w:fldCharType="separate"/>
      <w:fldChar w:fldCharType="end"/>
    </w:r>
    <w:r>
      <w:rPr>
        <w:color w:val="57606A"/>
        <w:sz w:val="14"/>
        <w:szCs w:val="14"/>
      </w:rPr>
      <w:t xml:space="preserve"> of </w:t>
    </w:r>
    <w:r>
      <w:rPr>
        <w:color w:val="57606A"/>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b/>
        <w:bCs/>
        <w:color w:val="0B1F3A"/>
        <w:sz w:val="17"/>
        <w:szCs w:val="17"/>
      </w:rPr>
      <w:t xml:space="preserve">i3 Technologies Ltd</w:t>
    </w:r>
    <w:r>
      <w:rPr>
        <w:color w:val="57606A"/>
        <w:sz w:val="15"/>
        <w:szCs w:val="15"/>
      </w:rPr>
      <w:t xml:space="preserve">	PMaaS — Blockchain Nomination &amp; i3 Engage Technical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PMaaS Blockchain Nomination &amp; i3 Engage Technical Implementation Guide</dc:title>
  <dc:creator>i3 Technologies Ltd</dc:creator>
  <cp:lastModifiedBy>Un-named</cp:lastModifiedBy>
  <cp:revision>1</cp:revision>
  <dcterms:created xsi:type="dcterms:W3CDTF">2026-09-16T01:05:35.942Z</dcterms:created>
  <dcterms:modified xsi:type="dcterms:W3CDTF">2026-09-16T01:05:35.942Z</dcterms:modified>
</cp:coreProperties>
</file>

<file path=docProps/custom.xml><?xml version="1.0" encoding="utf-8"?>
<Properties xmlns="http://schemas.openxmlformats.org/officeDocument/2006/custom-properties" xmlns:vt="http://schemas.openxmlformats.org/officeDocument/2006/docPropsVTypes"/>
</file>