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C4B6"/>
          <w:sz w:val="26"/>
          <w:szCs w:val="26"/>
        </w:rPr>
        <w:t xml:space="preserve">i3 TECHNOLOGIES</w:t>
      </w:r>
    </w:p>
    <w:p>
      <w:pPr>
        <w:spacing w:after="120" w:before="300"/>
        <w:jc w:val="center"/>
      </w:pPr>
      <w:r>
        <w:rPr>
          <w:b/>
          <w:bCs/>
          <w:color w:val="14213D"/>
          <w:sz w:val="44"/>
          <w:szCs w:val="44"/>
        </w:rPr>
        <w:t xml:space="preserve">SEVERNSIDE INSTITUTE OF TECHNOLOGY (SIT)</w:t>
      </w:r>
    </w:p>
    <w:p>
      <w:pPr>
        <w:spacing w:after="400"/>
        <w:jc w:val="center"/>
      </w:pPr>
      <w:r>
        <w:rPr>
          <w:b/>
          <w:bCs/>
          <w:color w:val="14213D"/>
          <w:sz w:val="32"/>
          <w:szCs w:val="32"/>
        </w:rPr>
        <w:t xml:space="preserve">AI-Powered Digital Work-Centers — Technical Implementation Guide</w:t>
      </w:r>
    </w:p>
    <w:p>
      <w:pPr>
        <w:spacing w:after="100"/>
        <w:jc w:val="center"/>
      </w:pPr>
      <w:r>
        <w:rPr>
          <w:i/>
          <w:iCs/>
          <w:color w:val="1F2328"/>
          <w:sz w:val="24"/>
          <w:szCs w:val="24"/>
        </w:rPr>
        <w:t xml:space="preserve">For i3 Technologies Engineering, Platform &amp; Delivery Teams</w:t>
      </w:r>
    </w:p>
    <w:p>
      <w:pPr>
        <w:spacing w:after="60" w:before="600"/>
        <w:jc w:val="center"/>
      </w:pPr>
      <w:r>
        <w:rPr>
          <w:color w:val="1F2328"/>
          <w:sz w:val="18"/>
          <w:szCs w:val="18"/>
        </w:rPr>
        <w:t xml:space="preserve">Basis: SIT × i3 Technologies Investment Proposal · i3 AI Platform System Administrator Guide (v2.0) · i3 Talent Cloud Strategy &amp; Technical Specification · i3 Talent Cloud Platform Integration Strategy · Global Education AI &amp; EdTech Use Case Report</w:t>
      </w:r>
    </w:p>
    <w:p>
      <w:pPr>
        <w:spacing w:before="300"/>
        <w:jc w:val="center"/>
      </w:pPr>
      <w:r>
        <w:rPr>
          <w:color w:val="1F2328"/>
          <w:sz w:val="18"/>
          <w:szCs w:val="18"/>
        </w:rPr>
        <w:t xml:space="preserve">September 2026  ·  Classification: Internal — Restricted</w:t>
      </w:r>
    </w:p>
    <w:p>
      <w:pPr>
        <w:spacing w:before="40"/>
        <w:jc w:val="center"/>
      </w:pPr>
      <w:r>
        <w:rPr>
          <w:color w:val="1F2328"/>
          <w:sz w:val="18"/>
          <w:szCs w:val="18"/>
        </w:rPr>
        <w:t xml:space="preserve">Prepared for: Philip Mukiti, CEO &amp; Solutions Architect, i3 Technologies</w:t>
      </w:r>
    </w:p>
    <w:p>
      <w:r>
        <w:br w:type="page"/>
      </w:r>
    </w:p>
    <w:p>
      <w:pPr>
        <w:pStyle w:val="Heading1"/>
        <w:pBdr>
          <w:bottom w:val="single" w:color="14213D" w:sz="6" w:space="4"/>
        </w:pBdr>
        <w:spacing w:after="200" w:before="400"/>
      </w:pPr>
      <w:r>
        <w:rPr>
          <w:b/>
          <w:bCs/>
          <w:color w:val="14213D"/>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4213D" w:sz="6" w:space="4"/>
        </w:pBdr>
        <w:spacing w:after="200" w:before="400"/>
      </w:pPr>
      <w:r>
        <w:rPr>
          <w:b/>
          <w:bCs/>
          <w:color w:val="14213D"/>
          <w:sz w:val="30"/>
          <w:szCs w:val="30"/>
        </w:rPr>
        <w:t xml:space="preserve">1. Document Control &amp; Purpose</w:t>
      </w:r>
    </w:p>
    <w:p>
      <w:pPr>
        <w:spacing w:after="160"/>
      </w:pPr>
      <w:r>
        <w:rPr>
          <w:color w:val="1F2328"/>
          <w:sz w:val="21"/>
          <w:szCs w:val="21"/>
        </w:rPr>
        <w:t xml:space="preserve">This guide translates the SIT × i3 Technologies AI-Powered Digital Work-Centers Investment Proposal into a detailed, implementable technical solution for i3 Technologies' engineering, platform and delivery teams. SIT is a customer of i3 Technologies; i3 Technologies is the sole technology provider, and every capability SIT requires — Agentic AI tutors, AR/VR labs, blockchain credentials, eCitizen automation, professional tele-presence, and remote-work membership services — is delivered through the i3 AI Platform, i3's single sovereign, IBM ROKS-hosted infrastructure already running in production.</w:t>
      </w:r>
    </w:p>
    <w:p>
      <w:pPr>
        <w:pBdr>
          <w:left w:val="single" w:color="14213D" w:sz="24" w:space="8"/>
        </w:pBdr>
        <w:shd w:fill="F2F2F2" w:val="clear"/>
        <w:spacing w:after="200" w:before="120"/>
      </w:pPr>
      <w:r>
        <w:rPr>
          <w:i/>
          <w:iCs/>
          <w:color w:val="1F2328"/>
          <w:sz w:val="20"/>
          <w:szCs w:val="20"/>
        </w:rPr>
        <w:t xml:space="preserve">Core finding: SIT Digital Work-Centers is not a greenfield technology build. Every infrastructure primitive it requires — identity, AI model gateway, assessment engine, database, vector search, file storage, workflow automation, CMS, observability, event streaming, messaging, secrets and monitoring — already runs in production on the i3 AI Platform. This is a productisation and extension exercise on existing infrastructure, following the same pattern already validated for i3 Talent Cloud, EvalOS and i3 PMaaS.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4213D" w:val="clear"/>
            <w:tcMar>
              <w:top w:type="dxa" w:w="80"/>
              <w:left w:type="dxa" w:w="100"/>
              <w:bottom w:type="dxa" w:w="80"/>
              <w:right w:type="dxa" w:w="100"/>
            </w:tcMar>
            <w:vAlign w:val="center"/>
          </w:tcPr>
          <w:p>
            <w:r>
              <w:rPr>
                <w:b/>
                <w:bCs/>
                <w:color w:val="FFFFFF"/>
                <w:sz w:val="18"/>
                <w:szCs w:val="18"/>
              </w:rPr>
              <w:t xml:space="preserve">Field</w:t>
            </w:r>
          </w:p>
        </w:tc>
        <w:tc>
          <w:tcPr>
            <w:tcW w:type="dxa" w:w="7000"/>
            <w:shd w:fill="14213D" w:val="clear"/>
            <w:tcMar>
              <w:top w:type="dxa" w:w="80"/>
              <w:left w:type="dxa" w:w="100"/>
              <w:bottom w:type="dxa" w:w="80"/>
              <w:right w:type="dxa" w:w="100"/>
            </w:tcMar>
            <w:vAlign w:val="center"/>
          </w:tcPr>
          <w:p>
            <w:r>
              <w:rPr>
                <w:b/>
                <w:bCs/>
                <w:color w:val="FFFFFF"/>
                <w:sz w:val="18"/>
                <w:szCs w:val="18"/>
              </w:rPr>
              <w:t xml:space="preserve">Detail</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Client</w:t>
            </w:r>
          </w:p>
        </w:tc>
        <w:tc>
          <w:tcPr>
            <w:tcW w:type="dxa" w:w="7000"/>
            <w:tcMar>
              <w:top w:type="dxa" w:w="70"/>
              <w:left w:type="dxa" w:w="100"/>
              <w:bottom w:type="dxa" w:w="70"/>
              <w:right w:type="dxa" w:w="100"/>
            </w:tcMar>
            <w:vAlign w:val="center"/>
          </w:tcPr>
          <w:p>
            <w:r>
              <w:rPr>
                <w:b w:val="false"/>
                <w:bCs w:val="false"/>
                <w:color w:val="1F2328"/>
                <w:sz w:val="18"/>
                <w:szCs w:val="18"/>
              </w:rPr>
              <w:t xml:space="preserve">Severnside Institute of Technology (SIT), a Tertiary TVET College</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Technology Partner</w:t>
            </w:r>
          </w:p>
        </w:tc>
        <w:tc>
          <w:tcPr>
            <w:tcW w:type="dxa" w:w="7000"/>
            <w:shd w:fill="F2F2F2" w:val="clear"/>
            <w:tcMar>
              <w:top w:type="dxa" w:w="70"/>
              <w:left w:type="dxa" w:w="100"/>
              <w:bottom w:type="dxa" w:w="70"/>
              <w:right w:type="dxa" w:w="100"/>
            </w:tcMar>
            <w:vAlign w:val="center"/>
          </w:tcPr>
          <w:p>
            <w:r>
              <w:rPr>
                <w:b w:val="false"/>
                <w:bCs w:val="false"/>
                <w:color w:val="1F2328"/>
                <w:sz w:val="18"/>
                <w:szCs w:val="18"/>
              </w:rPr>
              <w:t xml:space="preserve">i3 Technologies (Instrumented Interconnected &amp; Intelligent Technologies Limited)</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Delivery Model</w:t>
            </w:r>
          </w:p>
        </w:tc>
        <w:tc>
          <w:tcPr>
            <w:tcW w:type="dxa" w:w="7000"/>
            <w:tcMar>
              <w:top w:type="dxa" w:w="70"/>
              <w:left w:type="dxa" w:w="100"/>
              <w:bottom w:type="dxa" w:w="70"/>
              <w:right w:type="dxa" w:w="100"/>
            </w:tcMar>
            <w:vAlign w:val="center"/>
          </w:tcPr>
          <w:p>
            <w:r>
              <w:rPr>
                <w:b w:val="false"/>
                <w:bCs w:val="false"/>
                <w:color w:val="1F2328"/>
                <w:sz w:val="18"/>
                <w:szCs w:val="18"/>
              </w:rPr>
              <w:t xml:space="preserve">All technology delivered through the i3 AI Platform (IBM ROKS OpenShift 4.17, Frankfurt eu-de)</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Audience</w:t>
            </w:r>
          </w:p>
        </w:tc>
        <w:tc>
          <w:tcPr>
            <w:tcW w:type="dxa" w:w="7000"/>
            <w:shd w:fill="F2F2F2" w:val="clear"/>
            <w:tcMar>
              <w:top w:type="dxa" w:w="70"/>
              <w:left w:type="dxa" w:w="100"/>
              <w:bottom w:type="dxa" w:w="70"/>
              <w:right w:type="dxa" w:w="100"/>
            </w:tcMar>
            <w:vAlign w:val="center"/>
          </w:tcPr>
          <w:p>
            <w:r>
              <w:rPr>
                <w:b w:val="false"/>
                <w:bCs w:val="false"/>
                <w:color w:val="1F2328"/>
                <w:sz w:val="18"/>
                <w:szCs w:val="18"/>
              </w:rPr>
              <w:t xml:space="preserve">i3 Technologies solutions architects, platform engineers, AI/ML engineers, DevOps, and delivery leads</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Pilot Milestone</w:t>
            </w:r>
          </w:p>
        </w:tc>
        <w:tc>
          <w:tcPr>
            <w:tcW w:type="dxa" w:w="7000"/>
            <w:tcMar>
              <w:top w:type="dxa" w:w="70"/>
              <w:left w:type="dxa" w:w="100"/>
              <w:bottom w:type="dxa" w:w="70"/>
              <w:right w:type="dxa" w:w="100"/>
            </w:tcMar>
            <w:vAlign w:val="center"/>
          </w:tcPr>
          <w:p>
            <w:r>
              <w:rPr>
                <w:b w:val="false"/>
                <w:bCs w:val="false"/>
                <w:color w:val="1F2328"/>
                <w:sz w:val="18"/>
                <w:szCs w:val="18"/>
              </w:rPr>
              <w:t xml:space="preserve">Flagship Nairobi center — May 2027</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Source Documents</w:t>
            </w:r>
          </w:p>
        </w:tc>
        <w:tc>
          <w:tcPr>
            <w:tcW w:type="dxa" w:w="7000"/>
            <w:shd w:fill="F2F2F2" w:val="clear"/>
            <w:tcMar>
              <w:top w:type="dxa" w:w="70"/>
              <w:left w:type="dxa" w:w="100"/>
              <w:bottom w:type="dxa" w:w="70"/>
              <w:right w:type="dxa" w:w="100"/>
            </w:tcMar>
            <w:vAlign w:val="center"/>
          </w:tcPr>
          <w:p>
            <w:r>
              <w:rPr>
                <w:b w:val="false"/>
                <w:bCs w:val="false"/>
                <w:color w:val="1F2328"/>
                <w:sz w:val="18"/>
                <w:szCs w:val="18"/>
              </w:rPr>
              <w:t xml:space="preserve">SIT Investment Proposal · i3 AI Platform Sys-Admin Guide v2.0 · i3 Talent Cloud Strategy &amp; Technical Specification · i3 Talent Cloud Platform Integration Strategy · Global Education AI &amp; EdTech Use Case Report</w:t>
            </w:r>
          </w:p>
        </w:tc>
      </w:tr>
    </w:tbl>
    <w:p>
      <w:pPr>
        <w:spacing w:after="200"/>
      </w:pPr>
    </w:p>
    <w:p>
      <w:pPr>
        <w:pStyle w:val="Heading1"/>
        <w:pBdr>
          <w:bottom w:val="single" w:color="14213D" w:sz="6" w:space="4"/>
        </w:pBdr>
        <w:spacing w:after="200" w:before="400"/>
      </w:pPr>
      <w:r>
        <w:rPr>
          <w:b/>
          <w:bCs/>
          <w:color w:val="14213D"/>
          <w:sz w:val="30"/>
          <w:szCs w:val="30"/>
        </w:rPr>
        <w:t xml:space="preserve">2. Executive Summary</w:t>
      </w:r>
    </w:p>
    <w:p>
      <w:pPr>
        <w:spacing w:after="160"/>
      </w:pPr>
      <w:r>
        <w:rPr>
          <w:color w:val="1F2328"/>
          <w:sz w:val="21"/>
          <w:szCs w:val="21"/>
        </w:rPr>
        <w:t xml:space="preserve">SIT's proposal describes four commercial engines under one roof — Education, private eCitizen/Huduma services, a Professional Services Commons, and paid Co-working/Remote Work — bound together by an Agentic AI layer, an AR/VR laboratory layer, and a blockchain credential layer. Each of these is directly implementable on infrastructure i3 already operates for its other product lines (i3 Academy, EvalOS, i3 Talent Cloud, i3 PMaaS, i3-engage).</w:t>
      </w:r>
    </w:p>
    <w:p>
      <w:pPr>
        <w:spacing w:after="160"/>
      </w:pPr>
      <w:r>
        <w:rPr>
          <w:color w:val="1F2328"/>
          <w:sz w:val="21"/>
          <w:szCs w:val="21"/>
        </w:rPr>
        <w:t xml:space="preserve">The technical strategy is therefore: stand up one new namespace family, i3-sit, that reuses every existing platform service (Keycloak identity, LiteLLM model gateway, EvalOS assessment engine, Crunchy PostgreSQL, ChromaDB vector search, SeaweedFS object storage, n8n workflow automation, Directus CMS, Langfuse observability, Kafka event streaming, Engage messaging, OpenBao secrets, Grafana/Prometheus monitoring, and Argo CD GitOps) and adds a small set of new applications and one new capability domain — a lightweight credential-anchoring service for the blockchain layer, and a WebXR delivery layer for AR/VR labs.</w:t>
      </w:r>
    </w:p>
    <w:p>
      <w:pPr>
        <w:spacing w:after="160"/>
      </w:pPr>
      <w:r>
        <w:rPr>
          <w:color w:val="1F2328"/>
          <w:sz w:val="21"/>
          <w:szCs w:val="21"/>
        </w:rPr>
        <w:t xml:space="preserve">A second, high-value structural finding: SIT's graduates should not be a dead-end data set. By wiring the SIT Placement Agent directly into the existing i3 Talent Cloud Talent Graph and EvalOS Passport model, every certified SIT graduate automatically becomes a queryable, evidence-backed candidate for i3's own Talent-as-a-Service, FDE and Recruitment offerings — turning SIT into a durable talent-supply annuity for i3's broader business, not just an education client.</w:t>
      </w:r>
    </w:p>
    <w:p>
      <w:pPr>
        <w:spacing w:after="100" w:before="200"/>
      </w:pPr>
      <w:r>
        <w:rPr>
          <w:b/>
          <w:bCs/>
          <w:color w:val="14213D"/>
          <w:sz w:val="21"/>
          <w:szCs w:val="21"/>
        </w:rPr>
        <w:t xml:space="preserve">What this guide covers</w:t>
      </w:r>
    </w:p>
    <w:p>
      <w:pPr>
        <w:pStyle w:val="ListParagraph"/>
        <w:numPr>
          <w:ilvl w:val="0"/>
          <w:numId w:val="2"/>
        </w:numPr>
        <w:spacing w:after="80"/>
      </w:pPr>
      <w:r>
        <w:rPr>
          <w:color w:val="1F2328"/>
          <w:sz w:val="20"/>
          <w:szCs w:val="20"/>
        </w:rPr>
        <w:t xml:space="preserve">Platform reuse mapping — which existing i3 AI Platform service satisfies each SIT requirement</w:t>
      </w:r>
    </w:p>
    <w:p>
      <w:pPr>
        <w:pStyle w:val="ListParagraph"/>
        <w:numPr>
          <w:ilvl w:val="0"/>
          <w:numId w:val="2"/>
        </w:numPr>
        <w:spacing w:after="80"/>
      </w:pPr>
      <w:r>
        <w:rPr>
          <w:color w:val="1F2328"/>
          <w:sz w:val="20"/>
          <w:szCs w:val="20"/>
        </w:rPr>
        <w:t xml:space="preserve">Proposed i3-sit namespace architecture, workloads, routes and data model</w:t>
      </w:r>
    </w:p>
    <w:p>
      <w:pPr>
        <w:pStyle w:val="ListParagraph"/>
        <w:numPr>
          <w:ilvl w:val="0"/>
          <w:numId w:val="2"/>
        </w:numPr>
        <w:spacing w:after="80"/>
      </w:pPr>
      <w:r>
        <w:rPr>
          <w:color w:val="1F2328"/>
          <w:sz w:val="20"/>
          <w:szCs w:val="20"/>
        </w:rPr>
        <w:t xml:space="preserve">Engine-by-engine technical design for Education, eCitizen, Professional Services and Co-working</w:t>
      </w:r>
    </w:p>
    <w:p>
      <w:pPr>
        <w:pStyle w:val="ListParagraph"/>
        <w:numPr>
          <w:ilvl w:val="0"/>
          <w:numId w:val="2"/>
        </w:numPr>
        <w:spacing w:after="80"/>
      </w:pPr>
      <w:r>
        <w:rPr>
          <w:color w:val="1F2328"/>
          <w:sz w:val="20"/>
          <w:szCs w:val="20"/>
        </w:rPr>
        <w:t xml:space="preserve">Detailed specification of the five Agentic AI agents SIT's proposal calls for</w:t>
      </w:r>
    </w:p>
    <w:p>
      <w:pPr>
        <w:pStyle w:val="ListParagraph"/>
        <w:numPr>
          <w:ilvl w:val="0"/>
          <w:numId w:val="2"/>
        </w:numPr>
        <w:spacing w:after="80"/>
      </w:pPr>
      <w:r>
        <w:rPr>
          <w:color w:val="1F2328"/>
          <w:sz w:val="20"/>
          <w:szCs w:val="20"/>
        </w:rPr>
        <w:t xml:space="preserve">Technical approach for the AR/VR laboratory layer and blockchain credential layer</w:t>
      </w:r>
    </w:p>
    <w:p>
      <w:pPr>
        <w:pStyle w:val="ListParagraph"/>
        <w:numPr>
          <w:ilvl w:val="0"/>
          <w:numId w:val="2"/>
        </w:numPr>
        <w:spacing w:after="80"/>
      </w:pPr>
      <w:r>
        <w:rPr>
          <w:color w:val="1F2328"/>
          <w:sz w:val="20"/>
          <w:szCs w:val="20"/>
        </w:rPr>
        <w:t xml:space="preserve">The SIT → i3 Talent Cloud placement bridge</w:t>
      </w:r>
    </w:p>
    <w:p>
      <w:pPr>
        <w:pStyle w:val="ListParagraph"/>
        <w:numPr>
          <w:ilvl w:val="0"/>
          <w:numId w:val="2"/>
        </w:numPr>
        <w:spacing w:after="80"/>
      </w:pPr>
      <w:r>
        <w:rPr>
          <w:color w:val="1F2328"/>
          <w:sz w:val="20"/>
          <w:szCs w:val="20"/>
        </w:rPr>
        <w:t xml:space="preserve">A prioritized catalog of best-fit innovations and EdTech use cases, mapped to the i3 stack</w:t>
      </w:r>
    </w:p>
    <w:p>
      <w:pPr>
        <w:pStyle w:val="ListParagraph"/>
        <w:numPr>
          <w:ilvl w:val="0"/>
          <w:numId w:val="2"/>
        </w:numPr>
        <w:spacing w:after="80"/>
      </w:pPr>
      <w:r>
        <w:rPr>
          <w:color w:val="1F2328"/>
          <w:sz w:val="20"/>
          <w:szCs w:val="20"/>
        </w:rPr>
        <w:t xml:space="preserve">Governance, security, a concrete build list, phased roadmap, and KPIs</w:t>
      </w:r>
    </w:p>
    <w:p>
      <w:pPr>
        <w:spacing w:after="200"/>
      </w:pPr>
    </w:p>
    <w:p>
      <w:pPr>
        <w:pStyle w:val="Heading1"/>
        <w:pBdr>
          <w:bottom w:val="single" w:color="14213D" w:sz="6" w:space="4"/>
        </w:pBdr>
        <w:spacing w:after="200" w:before="400"/>
      </w:pPr>
      <w:r>
        <w:rPr>
          <w:b/>
          <w:bCs/>
          <w:color w:val="14213D"/>
          <w:sz w:val="30"/>
          <w:szCs w:val="30"/>
        </w:rPr>
        <w:t xml:space="preserve">3. Solution Context — The SIT Four-Engine Model</w:t>
      </w:r>
    </w:p>
    <w:p>
      <w:pPr>
        <w:spacing w:after="160"/>
      </w:pPr>
      <w:r>
        <w:rPr>
          <w:color w:val="1F2328"/>
          <w:sz w:val="21"/>
          <w:szCs w:val="21"/>
        </w:rPr>
        <w:t xml:space="preserve">Every SIT center operates four revenue-and-impact engines simultaneously. Each engine below is annotated with the i3 AI Platform capability that powers it — the pattern already used to describe i3 Talent Cloud's relationship to the platform.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shd w:fill="14213D" w:val="clear"/>
            <w:tcMar>
              <w:top w:type="dxa" w:w="80"/>
              <w:left w:type="dxa" w:w="100"/>
              <w:bottom w:type="dxa" w:w="80"/>
              <w:right w:type="dxa" w:w="100"/>
            </w:tcMar>
            <w:vAlign w:val="center"/>
          </w:tcPr>
          <w:p>
            <w:r>
              <w:rPr>
                <w:b/>
                <w:bCs/>
                <w:color w:val="FFFFFF"/>
                <w:sz w:val="18"/>
                <w:szCs w:val="18"/>
              </w:rPr>
              <w:t xml:space="preserve">Engine</w:t>
            </w:r>
          </w:p>
        </w:tc>
        <w:tc>
          <w:tcPr>
            <w:tcW w:type="dxa" w:w="4200"/>
            <w:shd w:fill="14213D" w:val="clear"/>
            <w:tcMar>
              <w:top w:type="dxa" w:w="80"/>
              <w:left w:type="dxa" w:w="100"/>
              <w:bottom w:type="dxa" w:w="80"/>
              <w:right w:type="dxa" w:w="100"/>
            </w:tcMar>
            <w:vAlign w:val="center"/>
          </w:tcPr>
          <w:p>
            <w:r>
              <w:rPr>
                <w:b/>
                <w:bCs/>
                <w:color w:val="FFFFFF"/>
                <w:sz w:val="18"/>
                <w:szCs w:val="18"/>
              </w:rPr>
              <w:t xml:space="preserve">What Happens Inside</w:t>
            </w:r>
          </w:p>
        </w:tc>
        <w:tc>
          <w:tcPr>
            <w:tcW w:type="dxa" w:w="3000"/>
            <w:shd w:fill="14213D" w:val="clear"/>
            <w:tcMar>
              <w:top w:type="dxa" w:w="80"/>
              <w:left w:type="dxa" w:w="100"/>
              <w:bottom w:type="dxa" w:w="80"/>
              <w:right w:type="dxa" w:w="100"/>
            </w:tcMar>
            <w:vAlign w:val="center"/>
          </w:tcPr>
          <w:p>
            <w:r>
              <w:rPr>
                <w:b/>
                <w:bCs/>
                <w:color w:val="FFFFFF"/>
                <w:sz w:val="18"/>
                <w:szCs w:val="18"/>
              </w:rPr>
              <w:t xml:space="preserve">Primary i3 Platform Capability</w:t>
            </w:r>
          </w:p>
        </w:tc>
      </w:tr>
      <w:tr>
        <w:tc>
          <w:tcPr>
            <w:tcW w:type="dxa" w:w="2200"/>
            <w:tcMar>
              <w:top w:type="dxa" w:w="70"/>
              <w:left w:type="dxa" w:w="100"/>
              <w:bottom w:type="dxa" w:w="70"/>
              <w:right w:type="dxa" w:w="100"/>
            </w:tcMar>
            <w:vAlign w:val="center"/>
          </w:tcPr>
          <w:p>
            <w:r>
              <w:rPr>
                <w:b w:val="false"/>
                <w:bCs w:val="false"/>
                <w:color w:val="1F2328"/>
                <w:sz w:val="18"/>
                <w:szCs w:val="18"/>
              </w:rPr>
              <w:t xml:space="preserve">1. Education Campus</w:t>
            </w:r>
          </w:p>
        </w:tc>
        <w:tc>
          <w:tcPr>
            <w:tcW w:type="dxa" w:w="4200"/>
            <w:tcMar>
              <w:top w:type="dxa" w:w="70"/>
              <w:left w:type="dxa" w:w="100"/>
              <w:bottom w:type="dxa" w:w="70"/>
              <w:right w:type="dxa" w:w="100"/>
            </w:tcMar>
            <w:vAlign w:val="center"/>
          </w:tcPr>
          <w:p>
            <w:r>
              <w:rPr>
                <w:b w:val="false"/>
                <w:bCs w:val="false"/>
                <w:color w:val="1F2328"/>
                <w:sz w:val="18"/>
                <w:szCs w:val="18"/>
              </w:rPr>
              <w:t xml:space="preserve">Streaming TVET classrooms, AI-tutor self-paced learning, AR/VR labs, biometric e-proctoring for KNEC/CDACC/NITA exams</w:t>
            </w:r>
          </w:p>
        </w:tc>
        <w:tc>
          <w:tcPr>
            <w:tcW w:type="dxa" w:w="3000"/>
            <w:tcMar>
              <w:top w:type="dxa" w:w="70"/>
              <w:left w:type="dxa" w:w="100"/>
              <w:bottom w:type="dxa" w:w="70"/>
              <w:right w:type="dxa" w:w="100"/>
            </w:tcMar>
            <w:vAlign w:val="center"/>
          </w:tcPr>
          <w:p>
            <w:r>
              <w:rPr>
                <w:b w:val="false"/>
                <w:bCs w:val="false"/>
                <w:color w:val="1F2328"/>
                <w:sz w:val="18"/>
                <w:szCs w:val="18"/>
              </w:rPr>
              <w:t xml:space="preserve">EvalOS + Zuri AI, LiteLLM model gateway, WebXR lab layer</w:t>
            </w:r>
          </w:p>
        </w:tc>
      </w:tr>
      <w:tr>
        <w:tc>
          <w:tcPr>
            <w:tcW w:type="dxa" w:w="2200"/>
            <w:shd w:fill="F2F2F2" w:val="clear"/>
            <w:tcMar>
              <w:top w:type="dxa" w:w="70"/>
              <w:left w:type="dxa" w:w="100"/>
              <w:bottom w:type="dxa" w:w="70"/>
              <w:right w:type="dxa" w:w="100"/>
            </w:tcMar>
            <w:vAlign w:val="center"/>
          </w:tcPr>
          <w:p>
            <w:r>
              <w:rPr>
                <w:b w:val="false"/>
                <w:bCs w:val="false"/>
                <w:color w:val="1F2328"/>
                <w:sz w:val="18"/>
                <w:szCs w:val="18"/>
              </w:rPr>
              <w:t xml:space="preserve">2. Private eCitizen / Huduma</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AI-assisted filing: passports, KRA PIN, ArdhiSasa, NSSF/SHA</w:t>
            </w:r>
          </w:p>
        </w:tc>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n8n workflow automation, LiteLLM agents, Directus</w:t>
            </w:r>
          </w:p>
        </w:tc>
      </w:tr>
      <w:tr>
        <w:tc>
          <w:tcPr>
            <w:tcW w:type="dxa" w:w="2200"/>
            <w:tcMar>
              <w:top w:type="dxa" w:w="70"/>
              <w:left w:type="dxa" w:w="100"/>
              <w:bottom w:type="dxa" w:w="70"/>
              <w:right w:type="dxa" w:w="100"/>
            </w:tcMar>
            <w:vAlign w:val="center"/>
          </w:tcPr>
          <w:p>
            <w:r>
              <w:rPr>
                <w:b w:val="false"/>
                <w:bCs w:val="false"/>
                <w:color w:val="1F2328"/>
                <w:sz w:val="18"/>
                <w:szCs w:val="18"/>
              </w:rPr>
              <w:t xml:space="preserve">3. Professional Services Commons</w:t>
            </w:r>
          </w:p>
        </w:tc>
        <w:tc>
          <w:tcPr>
            <w:tcW w:type="dxa" w:w="4200"/>
            <w:tcMar>
              <w:top w:type="dxa" w:w="70"/>
              <w:left w:type="dxa" w:w="100"/>
              <w:bottom w:type="dxa" w:w="70"/>
              <w:right w:type="dxa" w:w="100"/>
            </w:tcMar>
            <w:vAlign w:val="center"/>
          </w:tcPr>
          <w:p>
            <w:r>
              <w:rPr>
                <w:b w:val="false"/>
                <w:bCs w:val="false"/>
                <w:color w:val="1F2328"/>
                <w:sz w:val="18"/>
                <w:szCs w:val="18"/>
              </w:rPr>
              <w:t xml:space="preserve">Tele-presence booths: advocates, surveyors, tele-health doctors</w:t>
            </w:r>
          </w:p>
        </w:tc>
        <w:tc>
          <w:tcPr>
            <w:tcW w:type="dxa" w:w="3000"/>
            <w:tcMar>
              <w:top w:type="dxa" w:w="70"/>
              <w:left w:type="dxa" w:w="100"/>
              <w:bottom w:type="dxa" w:w="70"/>
              <w:right w:type="dxa" w:w="100"/>
            </w:tcMar>
            <w:vAlign w:val="center"/>
          </w:tcPr>
          <w:p>
            <w:r>
              <w:rPr>
                <w:b w:val="false"/>
                <w:bCs w:val="false"/>
                <w:color w:val="1F2328"/>
                <w:sz w:val="18"/>
                <w:szCs w:val="18"/>
              </w:rPr>
              <w:t xml:space="preserve">Keycloak federated access, Engage comms, SeaweedFS document storage</w:t>
            </w:r>
          </w:p>
        </w:tc>
      </w:tr>
      <w:tr>
        <w:tc>
          <w:tcPr>
            <w:tcW w:type="dxa" w:w="2200"/>
            <w:shd w:fill="F2F2F2" w:val="clear"/>
            <w:tcMar>
              <w:top w:type="dxa" w:w="70"/>
              <w:left w:type="dxa" w:w="100"/>
              <w:bottom w:type="dxa" w:w="70"/>
              <w:right w:type="dxa" w:w="100"/>
            </w:tcMar>
            <w:vAlign w:val="center"/>
          </w:tcPr>
          <w:p>
            <w:r>
              <w:rPr>
                <w:b w:val="false"/>
                <w:bCs w:val="false"/>
                <w:color w:val="1F2328"/>
                <w:sz w:val="18"/>
                <w:szCs w:val="18"/>
              </w:rPr>
              <w:t xml:space="preserve">4. Co-working / Cyber / Remote Work</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Desk membership, internet, printing, acoustic pods</w:t>
            </w:r>
          </w:p>
        </w:tc>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Keycloak membership identity, Directus billing content, Grafana usage dashboards</w:t>
            </w:r>
          </w:p>
        </w:tc>
      </w:tr>
    </w:tbl>
    <w:p>
      <w:pPr>
        <w:spacing w:after="200"/>
      </w:pPr>
    </w:p>
    <w:p>
      <w:pPr>
        <w:pStyle w:val="Heading1"/>
        <w:pBdr>
          <w:bottom w:val="single" w:color="14213D" w:sz="6" w:space="4"/>
        </w:pBdr>
        <w:spacing w:after="200" w:before="400"/>
      </w:pPr>
      <w:r>
        <w:rPr>
          <w:b/>
          <w:bCs/>
          <w:color w:val="14213D"/>
          <w:sz w:val="30"/>
          <w:szCs w:val="30"/>
        </w:rPr>
        <w:t xml:space="preserve">4. Platform Reuse Map — i3 AI Platform Services</w:t>
      </w:r>
    </w:p>
    <w:p>
      <w:pPr>
        <w:spacing w:after="160"/>
      </w:pPr>
      <w:r>
        <w:rPr>
          <w:color w:val="1F2328"/>
          <w:sz w:val="21"/>
          <w:szCs w:val="21"/>
        </w:rPr>
        <w:t xml:space="preserve">The table below is the single most important artifact for the engineering team: it proves that SIT's entire technical ambition maps onto services already live in production on the i3 AI Platform, following exactly the reuse pattern documented for i3 Talent Cloud.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1800"/>
        <w:gridCol w:w="1000"/>
      </w:tblGrid>
      <w:tr>
        <w:trPr>
          <w:tblHeader/>
        </w:trPr>
        <w:tc>
          <w:tcPr>
            <w:tcW w:type="dxa" w:w="3400"/>
            <w:shd w:fill="14213D" w:val="clear"/>
            <w:tcMar>
              <w:top w:type="dxa" w:w="80"/>
              <w:left w:type="dxa" w:w="100"/>
              <w:bottom w:type="dxa" w:w="80"/>
              <w:right w:type="dxa" w:w="100"/>
            </w:tcMar>
            <w:vAlign w:val="center"/>
          </w:tcPr>
          <w:p>
            <w:r>
              <w:rPr>
                <w:b/>
                <w:bCs/>
                <w:color w:val="FFFFFF"/>
                <w:sz w:val="18"/>
                <w:szCs w:val="18"/>
              </w:rPr>
              <w:t xml:space="preserve">SIT Requirement</w:t>
            </w:r>
          </w:p>
        </w:tc>
        <w:tc>
          <w:tcPr>
            <w:tcW w:type="dxa" w:w="3200"/>
            <w:shd w:fill="14213D" w:val="clear"/>
            <w:tcMar>
              <w:top w:type="dxa" w:w="80"/>
              <w:left w:type="dxa" w:w="100"/>
              <w:bottom w:type="dxa" w:w="80"/>
              <w:right w:type="dxa" w:w="100"/>
            </w:tcMar>
            <w:vAlign w:val="center"/>
          </w:tcPr>
          <w:p>
            <w:r>
              <w:rPr>
                <w:b/>
                <w:bCs/>
                <w:color w:val="FFFFFF"/>
                <w:sz w:val="18"/>
                <w:szCs w:val="18"/>
              </w:rPr>
              <w:t xml:space="preserve">i3 Platform Service</w:t>
            </w:r>
          </w:p>
        </w:tc>
        <w:tc>
          <w:tcPr>
            <w:tcW w:type="dxa" w:w="1800"/>
            <w:shd w:fill="14213D" w:val="clear"/>
            <w:tcMar>
              <w:top w:type="dxa" w:w="80"/>
              <w:left w:type="dxa" w:w="100"/>
              <w:bottom w:type="dxa" w:w="80"/>
              <w:right w:type="dxa" w:w="100"/>
            </w:tcMar>
            <w:vAlign w:val="center"/>
          </w:tcPr>
          <w:p>
            <w:r>
              <w:rPr>
                <w:b/>
                <w:bCs/>
                <w:color w:val="FFFFFF"/>
                <w:sz w:val="18"/>
                <w:szCs w:val="18"/>
              </w:rPr>
              <w:t xml:space="preserve">Namespace</w:t>
            </w:r>
          </w:p>
        </w:tc>
        <w:tc>
          <w:tcPr>
            <w:tcW w:type="dxa" w:w="1000"/>
            <w:shd w:fill="14213D" w:val="clear"/>
            <w:tcMar>
              <w:top w:type="dxa" w:w="80"/>
              <w:left w:type="dxa" w:w="100"/>
              <w:bottom w:type="dxa" w:w="80"/>
              <w:right w:type="dxa" w:w="100"/>
            </w:tcMar>
            <w:vAlign w:val="center"/>
          </w:tcPr>
          <w:p>
            <w:r>
              <w:rPr>
                <w:b/>
                <w:bCs/>
                <w:color w:val="FFFFFF"/>
                <w:sz w:val="18"/>
                <w:szCs w:val="18"/>
              </w:rPr>
              <w:t xml:space="preserve">Status</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Identity / SSO for learners, staff, members, professionals, clients</w:t>
            </w:r>
          </w:p>
        </w:tc>
        <w:tc>
          <w:tcPr>
            <w:tcW w:type="dxa" w:w="3200"/>
            <w:tcMar>
              <w:top w:type="dxa" w:w="70"/>
              <w:left w:type="dxa" w:w="100"/>
              <w:bottom w:type="dxa" w:w="70"/>
              <w:right w:type="dxa" w:w="100"/>
            </w:tcMar>
            <w:vAlign w:val="center"/>
          </w:tcPr>
          <w:p>
            <w:r>
              <w:rPr>
                <w:b w:val="false"/>
                <w:bCs w:val="false"/>
                <w:color w:val="1F2328"/>
                <w:sz w:val="18"/>
                <w:szCs w:val="18"/>
              </w:rPr>
              <w:t xml:space="preserve">Keycloak RHSSO</w:t>
            </w:r>
          </w:p>
        </w:tc>
        <w:tc>
          <w:tcPr>
            <w:tcW w:type="dxa" w:w="1800"/>
            <w:tcMar>
              <w:top w:type="dxa" w:w="70"/>
              <w:left w:type="dxa" w:w="100"/>
              <w:bottom w:type="dxa" w:w="70"/>
              <w:right w:type="dxa" w:w="100"/>
            </w:tcMar>
            <w:vAlign w:val="center"/>
          </w:tcPr>
          <w:p>
            <w:r>
              <w:rPr>
                <w:b w:val="false"/>
                <w:bCs w:val="false"/>
                <w:color w:val="1F2328"/>
                <w:sz w:val="18"/>
                <w:szCs w:val="18"/>
              </w:rPr>
              <w:t xml:space="preserve">i3-auth</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AI Tutor, Registrar, eCitizen, Compliance &amp; Placement agent inference</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LiteLLM Proxy + Ollama</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i3-model-gateway</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Biometric e-proctoring, exam integrity, AI-tutor scoring, VR-lab practical scoring</w:t>
            </w:r>
          </w:p>
        </w:tc>
        <w:tc>
          <w:tcPr>
            <w:tcW w:type="dxa" w:w="3200"/>
            <w:tcMar>
              <w:top w:type="dxa" w:w="70"/>
              <w:left w:type="dxa" w:w="100"/>
              <w:bottom w:type="dxa" w:w="70"/>
              <w:right w:type="dxa" w:w="100"/>
            </w:tcMar>
            <w:vAlign w:val="center"/>
          </w:tcPr>
          <w:p>
            <w:r>
              <w:rPr>
                <w:b w:val="false"/>
                <w:bCs w:val="false"/>
                <w:color w:val="1F2328"/>
                <w:sz w:val="18"/>
                <w:szCs w:val="18"/>
              </w:rPr>
              <w:t xml:space="preserve">EvalOS + evalos-sandbox + Zuri AI evaluator</w:t>
            </w:r>
          </w:p>
        </w:tc>
        <w:tc>
          <w:tcPr>
            <w:tcW w:type="dxa" w:w="1800"/>
            <w:tcMar>
              <w:top w:type="dxa" w:w="70"/>
              <w:left w:type="dxa" w:w="100"/>
              <w:bottom w:type="dxa" w:w="70"/>
              <w:right w:type="dxa" w:w="100"/>
            </w:tcMar>
            <w:vAlign w:val="center"/>
          </w:tcPr>
          <w:p>
            <w:r>
              <w:rPr>
                <w:b w:val="false"/>
                <w:bCs w:val="false"/>
                <w:color w:val="1F2328"/>
                <w:sz w:val="18"/>
                <w:szCs w:val="18"/>
              </w:rPr>
              <w:t xml:space="preserve">i3-evalos</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Student, exam, membership, eCitizen transaction &amp; credential records</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PostgreSQL 16.8 HA (PGO)</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i3-data</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Curriculum semantic search, career/job matching, plagiarism similarity</w:t>
            </w:r>
          </w:p>
        </w:tc>
        <w:tc>
          <w:tcPr>
            <w:tcW w:type="dxa" w:w="3200"/>
            <w:tcMar>
              <w:top w:type="dxa" w:w="70"/>
              <w:left w:type="dxa" w:w="100"/>
              <w:bottom w:type="dxa" w:w="70"/>
              <w:right w:type="dxa" w:w="100"/>
            </w:tcMar>
            <w:vAlign w:val="center"/>
          </w:tcPr>
          <w:p>
            <w:r>
              <w:rPr>
                <w:b w:val="false"/>
                <w:bCs w:val="false"/>
                <w:color w:val="1F2328"/>
                <w:sz w:val="18"/>
                <w:szCs w:val="18"/>
              </w:rPr>
              <w:t xml:space="preserve">ChromaDB</w:t>
            </w:r>
          </w:p>
        </w:tc>
        <w:tc>
          <w:tcPr>
            <w:tcW w:type="dxa" w:w="1800"/>
            <w:tcMar>
              <w:top w:type="dxa" w:w="70"/>
              <w:left w:type="dxa" w:w="100"/>
              <w:bottom w:type="dxa" w:w="70"/>
              <w:right w:type="dxa" w:w="100"/>
            </w:tcMar>
            <w:vAlign w:val="center"/>
          </w:tcPr>
          <w:p>
            <w:r>
              <w:rPr>
                <w:b w:val="false"/>
                <w:bCs w:val="false"/>
                <w:color w:val="1F2328"/>
                <w:sz w:val="18"/>
                <w:szCs w:val="18"/>
              </w:rPr>
              <w:t xml:space="preserve">i3-ai-lab / i3-admissions</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Course materials, exam scripts, certificates, KYC/ID documents</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SeaweedFS (S3-compatible)</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i3-ott</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Admissions, exam booking, eCitizen filing pipelines, score decay, credential issuance</w:t>
            </w:r>
          </w:p>
        </w:tc>
        <w:tc>
          <w:tcPr>
            <w:tcW w:type="dxa" w:w="3200"/>
            <w:tcMar>
              <w:top w:type="dxa" w:w="70"/>
              <w:left w:type="dxa" w:w="100"/>
              <w:bottom w:type="dxa" w:w="70"/>
              <w:right w:type="dxa" w:w="100"/>
            </w:tcMar>
            <w:vAlign w:val="center"/>
          </w:tcPr>
          <w:p>
            <w:r>
              <w:rPr>
                <w:b w:val="false"/>
                <w:bCs w:val="false"/>
                <w:color w:val="1F2328"/>
                <w:sz w:val="18"/>
                <w:szCs w:val="18"/>
              </w:rPr>
              <w:t xml:space="preserve">n8n</w:t>
            </w:r>
          </w:p>
        </w:tc>
        <w:tc>
          <w:tcPr>
            <w:tcW w:type="dxa" w:w="1800"/>
            <w:tcMar>
              <w:top w:type="dxa" w:w="70"/>
              <w:left w:type="dxa" w:w="100"/>
              <w:bottom w:type="dxa" w:w="70"/>
              <w:right w:type="dxa" w:w="100"/>
            </w:tcMar>
            <w:vAlign w:val="center"/>
          </w:tcPr>
          <w:p>
            <w:r>
              <w:rPr>
                <w:b w:val="false"/>
                <w:bCs w:val="false"/>
                <w:color w:val="1F2328"/>
                <w:sz w:val="18"/>
                <w:szCs w:val="18"/>
              </w:rPr>
              <w:t xml:space="preserve">i3-ott</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Course catalog, curriculum content, membership pricing pages, public portal content</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Directus CMS</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i3-ott</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Auditability of every AI-generated score, filing decision or placement match</w:t>
            </w:r>
          </w:p>
        </w:tc>
        <w:tc>
          <w:tcPr>
            <w:tcW w:type="dxa" w:w="3200"/>
            <w:tcMar>
              <w:top w:type="dxa" w:w="70"/>
              <w:left w:type="dxa" w:w="100"/>
              <w:bottom w:type="dxa" w:w="70"/>
              <w:right w:type="dxa" w:w="100"/>
            </w:tcMar>
            <w:vAlign w:val="center"/>
          </w:tcPr>
          <w:p>
            <w:r>
              <w:rPr>
                <w:b w:val="false"/>
                <w:bCs w:val="false"/>
                <w:color w:val="1F2328"/>
                <w:sz w:val="18"/>
                <w:szCs w:val="18"/>
              </w:rPr>
              <w:t xml:space="preserve">Langfuse</w:t>
            </w:r>
          </w:p>
        </w:tc>
        <w:tc>
          <w:tcPr>
            <w:tcW w:type="dxa" w:w="1800"/>
            <w:tcMar>
              <w:top w:type="dxa" w:w="70"/>
              <w:left w:type="dxa" w:w="100"/>
              <w:bottom w:type="dxa" w:w="70"/>
              <w:right w:type="dxa" w:w="100"/>
            </w:tcMar>
            <w:vAlign w:val="center"/>
          </w:tcPr>
          <w:p>
            <w:r>
              <w:rPr>
                <w:b w:val="false"/>
                <w:bCs w:val="false"/>
                <w:color w:val="1F2328"/>
                <w:sz w:val="18"/>
                <w:szCs w:val="18"/>
              </w:rPr>
              <w:t xml:space="preserve">i3-ott</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Enrollment events, exam events, membership check-ins, placement events</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Kafka (Strimzi)</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i3-messaging</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Enrollment reminders, exam confirmations, placement notices (SMS/email)</w:t>
            </w:r>
          </w:p>
        </w:tc>
        <w:tc>
          <w:tcPr>
            <w:tcW w:type="dxa" w:w="3200"/>
            <w:tcMar>
              <w:top w:type="dxa" w:w="70"/>
              <w:left w:type="dxa" w:w="100"/>
              <w:bottom w:type="dxa" w:w="70"/>
              <w:right w:type="dxa" w:w="100"/>
            </w:tcMar>
            <w:vAlign w:val="center"/>
          </w:tcPr>
          <w:p>
            <w:r>
              <w:rPr>
                <w:b w:val="false"/>
                <w:bCs w:val="false"/>
                <w:color w:val="1F2328"/>
                <w:sz w:val="18"/>
                <w:szCs w:val="18"/>
              </w:rPr>
              <w:t xml:space="preserve">Engage (Brevo + Africa's Talking)</w:t>
            </w:r>
          </w:p>
        </w:tc>
        <w:tc>
          <w:tcPr>
            <w:tcW w:type="dxa" w:w="1800"/>
            <w:tcMar>
              <w:top w:type="dxa" w:w="70"/>
              <w:left w:type="dxa" w:w="100"/>
              <w:bottom w:type="dxa" w:w="70"/>
              <w:right w:type="dxa" w:w="100"/>
            </w:tcMar>
            <w:vAlign w:val="center"/>
          </w:tcPr>
          <w:p>
            <w:r>
              <w:rPr>
                <w:b w:val="false"/>
                <w:bCs w:val="false"/>
                <w:color w:val="1F2328"/>
                <w:sz w:val="18"/>
                <w:szCs w:val="18"/>
              </w:rPr>
              <w:t xml:space="preserve">i3-engage</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Secrets for eCitizen/KRA/ArdhiSasa API credentials</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OpenBao (Vault)</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i3-security</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Center operations dashboards: enrollment, exam pass rate, footfall, revenue</w:t>
            </w:r>
          </w:p>
        </w:tc>
        <w:tc>
          <w:tcPr>
            <w:tcW w:type="dxa" w:w="3200"/>
            <w:tcMar>
              <w:top w:type="dxa" w:w="70"/>
              <w:left w:type="dxa" w:w="100"/>
              <w:bottom w:type="dxa" w:w="70"/>
              <w:right w:type="dxa" w:w="100"/>
            </w:tcMar>
            <w:vAlign w:val="center"/>
          </w:tcPr>
          <w:p>
            <w:r>
              <w:rPr>
                <w:b w:val="false"/>
                <w:bCs w:val="false"/>
                <w:color w:val="1F2328"/>
                <w:sz w:val="18"/>
                <w:szCs w:val="18"/>
              </w:rPr>
              <w:t xml:space="preserve">Grafana + Prometheus</w:t>
            </w:r>
          </w:p>
        </w:tc>
        <w:tc>
          <w:tcPr>
            <w:tcW w:type="dxa" w:w="1800"/>
            <w:tcMar>
              <w:top w:type="dxa" w:w="70"/>
              <w:left w:type="dxa" w:w="100"/>
              <w:bottom w:type="dxa" w:w="70"/>
              <w:right w:type="dxa" w:w="100"/>
            </w:tcMar>
            <w:vAlign w:val="center"/>
          </w:tcPr>
          <w:p>
            <w:r>
              <w:rPr>
                <w:b w:val="false"/>
                <w:bCs w:val="false"/>
                <w:color w:val="1F2328"/>
                <w:sz w:val="18"/>
                <w:szCs w:val="18"/>
              </w:rPr>
              <w:t xml:space="preserve">i3-monitoring</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Declarative, auditable release management</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Argo CD GitOps</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i3-gitops</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i3 Academy bootcamp → SIT curriculum cross-recognition</w:t>
            </w:r>
          </w:p>
        </w:tc>
        <w:tc>
          <w:tcPr>
            <w:tcW w:type="dxa" w:w="3200"/>
            <w:tcMar>
              <w:top w:type="dxa" w:w="70"/>
              <w:left w:type="dxa" w:w="100"/>
              <w:bottom w:type="dxa" w:w="70"/>
              <w:right w:type="dxa" w:w="100"/>
            </w:tcMar>
            <w:vAlign w:val="center"/>
          </w:tcPr>
          <w:p>
            <w:r>
              <w:rPr>
                <w:b w:val="false"/>
                <w:bCs w:val="false"/>
                <w:color w:val="1F2328"/>
                <w:sz w:val="18"/>
                <w:szCs w:val="18"/>
              </w:rPr>
              <w:t xml:space="preserve">Moodle (EduBridge)</w:t>
            </w:r>
          </w:p>
        </w:tc>
        <w:tc>
          <w:tcPr>
            <w:tcW w:type="dxa" w:w="1800"/>
            <w:tcMar>
              <w:top w:type="dxa" w:w="70"/>
              <w:left w:type="dxa" w:w="100"/>
              <w:bottom w:type="dxa" w:w="70"/>
              <w:right w:type="dxa" w:w="100"/>
            </w:tcMar>
            <w:vAlign w:val="center"/>
          </w:tcPr>
          <w:p>
            <w:r>
              <w:rPr>
                <w:b w:val="false"/>
                <w:bCs w:val="false"/>
                <w:color w:val="1F2328"/>
                <w:sz w:val="18"/>
                <w:szCs w:val="18"/>
              </w:rPr>
              <w:t xml:space="preserve">i3-academy</w:t>
            </w:r>
          </w:p>
        </w:tc>
        <w:tc>
          <w:tcPr>
            <w:tcW w:type="dxa" w:w="1000"/>
            <w:tcMar>
              <w:top w:type="dxa" w:w="70"/>
              <w:left w:type="dxa" w:w="100"/>
              <w:bottom w:type="dxa" w:w="70"/>
              <w:right w:type="dxa" w:w="100"/>
            </w:tcMar>
            <w:vAlign w:val="center"/>
          </w:tcPr>
          <w:p>
            <w:r>
              <w:rPr>
                <w:b w:val="false"/>
                <w:bCs w:val="false"/>
                <w:color w:val="1F2328"/>
                <w:sz w:val="18"/>
                <w:szCs w:val="18"/>
              </w:rPr>
              <w:t xml:space="preserve">Live</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SIT web/learner/registrar/professional portal (new)</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Next.js 14 app — to build</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i3-sit</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New</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SIT API / SIT data model API (new)</w:t>
            </w:r>
          </w:p>
        </w:tc>
        <w:tc>
          <w:tcPr>
            <w:tcW w:type="dxa" w:w="3200"/>
            <w:tcMar>
              <w:top w:type="dxa" w:w="70"/>
              <w:left w:type="dxa" w:w="100"/>
              <w:bottom w:type="dxa" w:w="70"/>
              <w:right w:type="dxa" w:w="100"/>
            </w:tcMar>
            <w:vAlign w:val="center"/>
          </w:tcPr>
          <w:p>
            <w:r>
              <w:rPr>
                <w:b w:val="false"/>
                <w:bCs w:val="false"/>
                <w:color w:val="1F2328"/>
                <w:sz w:val="18"/>
                <w:szCs w:val="18"/>
              </w:rPr>
              <w:t xml:space="preserve">FastAPI — to build</w:t>
            </w:r>
          </w:p>
        </w:tc>
        <w:tc>
          <w:tcPr>
            <w:tcW w:type="dxa" w:w="1800"/>
            <w:tcMar>
              <w:top w:type="dxa" w:w="70"/>
              <w:left w:type="dxa" w:w="100"/>
              <w:bottom w:type="dxa" w:w="70"/>
              <w:right w:type="dxa" w:w="100"/>
            </w:tcMar>
            <w:vAlign w:val="center"/>
          </w:tcPr>
          <w:p>
            <w:r>
              <w:rPr>
                <w:b w:val="false"/>
                <w:bCs w:val="false"/>
                <w:color w:val="1F2328"/>
                <w:sz w:val="18"/>
                <w:szCs w:val="18"/>
              </w:rPr>
              <w:t xml:space="preserve">i3-sit</w:t>
            </w:r>
          </w:p>
        </w:tc>
        <w:tc>
          <w:tcPr>
            <w:tcW w:type="dxa" w:w="1000"/>
            <w:tcMar>
              <w:top w:type="dxa" w:w="70"/>
              <w:left w:type="dxa" w:w="100"/>
              <w:bottom w:type="dxa" w:w="70"/>
              <w:right w:type="dxa" w:w="100"/>
            </w:tcMar>
            <w:vAlign w:val="center"/>
          </w:tcPr>
          <w:p>
            <w:r>
              <w:rPr>
                <w:b w:val="false"/>
                <w:bCs w:val="false"/>
                <w:color w:val="1F2328"/>
                <w:sz w:val="18"/>
                <w:szCs w:val="18"/>
              </w:rPr>
              <w:t xml:space="preserve">New</w:t>
            </w:r>
          </w:p>
        </w:tc>
      </w:tr>
      <w:tr>
        <w:tc>
          <w:tcPr>
            <w:tcW w:type="dxa" w:w="3400"/>
            <w:shd w:fill="F2F2F2" w:val="clear"/>
            <w:tcMar>
              <w:top w:type="dxa" w:w="70"/>
              <w:left w:type="dxa" w:w="100"/>
              <w:bottom w:type="dxa" w:w="70"/>
              <w:right w:type="dxa" w:w="100"/>
            </w:tcMar>
            <w:vAlign w:val="center"/>
          </w:tcPr>
          <w:p>
            <w:r>
              <w:rPr>
                <w:b w:val="false"/>
                <w:bCs w:val="false"/>
                <w:color w:val="1F2328"/>
                <w:sz w:val="18"/>
                <w:szCs w:val="18"/>
              </w:rPr>
              <w:t xml:space="preserve">Blockchain credential anchoring &amp; QR verification (new)</w:t>
            </w:r>
          </w:p>
        </w:tc>
        <w:tc>
          <w:tcPr>
            <w:tcW w:type="dxa" w:w="3200"/>
            <w:shd w:fill="F2F2F2" w:val="clear"/>
            <w:tcMar>
              <w:top w:type="dxa" w:w="70"/>
              <w:left w:type="dxa" w:w="100"/>
              <w:bottom w:type="dxa" w:w="70"/>
              <w:right w:type="dxa" w:w="100"/>
            </w:tcMar>
            <w:vAlign w:val="center"/>
          </w:tcPr>
          <w:p>
            <w:r>
              <w:rPr>
                <w:b w:val="false"/>
                <w:bCs w:val="false"/>
                <w:color w:val="1F2328"/>
                <w:sz w:val="18"/>
                <w:szCs w:val="18"/>
              </w:rPr>
              <w:t xml:space="preserve">Lightweight hash-anchoring service — to build</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i3-sit</w:t>
            </w:r>
          </w:p>
        </w:tc>
        <w:tc>
          <w:tcPr>
            <w:tcW w:type="dxa" w:w="1000"/>
            <w:shd w:fill="F2F2F2" w:val="clear"/>
            <w:tcMar>
              <w:top w:type="dxa" w:w="70"/>
              <w:left w:type="dxa" w:w="100"/>
              <w:bottom w:type="dxa" w:w="70"/>
              <w:right w:type="dxa" w:w="100"/>
            </w:tcMar>
            <w:vAlign w:val="center"/>
          </w:tcPr>
          <w:p>
            <w:r>
              <w:rPr>
                <w:b w:val="false"/>
                <w:bCs w:val="false"/>
                <w:color w:val="1F2328"/>
                <w:sz w:val="18"/>
                <w:szCs w:val="18"/>
              </w:rPr>
              <w:t xml:space="preserve">New</w:t>
            </w:r>
          </w:p>
        </w:tc>
      </w:tr>
      <w:tr>
        <w:tc>
          <w:tcPr>
            <w:tcW w:type="dxa" w:w="3400"/>
            <w:tcMar>
              <w:top w:type="dxa" w:w="70"/>
              <w:left w:type="dxa" w:w="100"/>
              <w:bottom w:type="dxa" w:w="70"/>
              <w:right w:type="dxa" w:w="100"/>
            </w:tcMar>
            <w:vAlign w:val="center"/>
          </w:tcPr>
          <w:p>
            <w:r>
              <w:rPr>
                <w:b w:val="false"/>
                <w:bCs w:val="false"/>
                <w:color w:val="1F2328"/>
                <w:sz w:val="18"/>
                <w:szCs w:val="18"/>
              </w:rPr>
              <w:t xml:space="preserve">AR/VR practical lab delivery (new)</w:t>
            </w:r>
          </w:p>
        </w:tc>
        <w:tc>
          <w:tcPr>
            <w:tcW w:type="dxa" w:w="3200"/>
            <w:tcMar>
              <w:top w:type="dxa" w:w="70"/>
              <w:left w:type="dxa" w:w="100"/>
              <w:bottom w:type="dxa" w:w="70"/>
              <w:right w:type="dxa" w:w="100"/>
            </w:tcMar>
            <w:vAlign w:val="center"/>
          </w:tcPr>
          <w:p>
            <w:r>
              <w:rPr>
                <w:b w:val="false"/>
                <w:bCs w:val="false"/>
                <w:color w:val="1F2328"/>
                <w:sz w:val="18"/>
                <w:szCs w:val="18"/>
              </w:rPr>
              <w:t xml:space="preserve">WebXR front end + EvalOS sandbox scoring — to build/extend</w:t>
            </w:r>
          </w:p>
        </w:tc>
        <w:tc>
          <w:tcPr>
            <w:tcW w:type="dxa" w:w="1800"/>
            <w:tcMar>
              <w:top w:type="dxa" w:w="70"/>
              <w:left w:type="dxa" w:w="100"/>
              <w:bottom w:type="dxa" w:w="70"/>
              <w:right w:type="dxa" w:w="100"/>
            </w:tcMar>
            <w:vAlign w:val="center"/>
          </w:tcPr>
          <w:p>
            <w:r>
              <w:rPr>
                <w:b w:val="false"/>
                <w:bCs w:val="false"/>
                <w:color w:val="1F2328"/>
                <w:sz w:val="18"/>
                <w:szCs w:val="18"/>
              </w:rPr>
              <w:t xml:space="preserve">i3-sit / i3-evalos</w:t>
            </w:r>
          </w:p>
        </w:tc>
        <w:tc>
          <w:tcPr>
            <w:tcW w:type="dxa" w:w="1000"/>
            <w:tcMar>
              <w:top w:type="dxa" w:w="70"/>
              <w:left w:type="dxa" w:w="100"/>
              <w:bottom w:type="dxa" w:w="70"/>
              <w:right w:type="dxa" w:w="100"/>
            </w:tcMar>
            <w:vAlign w:val="center"/>
          </w:tcPr>
          <w:p>
            <w:r>
              <w:rPr>
                <w:b w:val="false"/>
                <w:bCs w:val="false"/>
                <w:color w:val="1F2328"/>
                <w:sz w:val="18"/>
                <w:szCs w:val="18"/>
              </w:rPr>
              <w:t xml:space="preserve">New / Extend</w:t>
            </w:r>
          </w:p>
        </w:tc>
      </w:tr>
    </w:tbl>
    <w:p>
      <w:pPr>
        <w:spacing w:after="200"/>
      </w:pPr>
    </w:p>
    <w:p>
      <w:pPr>
        <w:pStyle w:val="Heading1"/>
        <w:pBdr>
          <w:bottom w:val="single" w:color="14213D" w:sz="6" w:space="4"/>
        </w:pBdr>
        <w:spacing w:after="200" w:before="400"/>
      </w:pPr>
      <w:r>
        <w:rPr>
          <w:b/>
          <w:bCs/>
          <w:color w:val="14213D"/>
          <w:sz w:val="30"/>
          <w:szCs w:val="30"/>
        </w:rPr>
        <w:t xml:space="preserve">5. Proposed Architecture — New Namespace i3-sit</w:t>
      </w:r>
    </w:p>
    <w:p>
      <w:pPr>
        <w:spacing w:after="160"/>
      </w:pPr>
      <w:r>
        <w:rPr>
          <w:color w:val="1F2328"/>
          <w:sz w:val="21"/>
          <w:szCs w:val="21"/>
        </w:rPr>
        <w:t xml:space="preserve">SIT is deployed as a new namespace family on the existing i3 Master AI Platform, following the exact pattern already used for i3-evalos, i3-pmaas, i3-engage and i3-talent-cloud. It reuses platform-wide services rather than duplicating them.</w:t>
      </w:r>
    </w:p>
    <w:p>
      <w:pPr>
        <w:pStyle w:val="Heading2"/>
        <w:spacing w:after="140" w:before="300"/>
      </w:pPr>
      <w:r>
        <w:rPr>
          <w:b/>
          <w:bCs/>
          <w:color w:val="2EC4B6"/>
          <w:sz w:val="24"/>
          <w:szCs w:val="24"/>
        </w:rPr>
        <w:t xml:space="preserve">5.1 Workloads in i3-sit</w:t>
      </w:r>
    </w:p>
    <w:p>
      <w:pPr>
        <w:pStyle w:val="ListParagraph"/>
        <w:numPr>
          <w:ilvl w:val="0"/>
          <w:numId w:val="2"/>
        </w:numPr>
        <w:spacing w:after="80"/>
      </w:pPr>
      <w:r>
        <w:rPr>
          <w:color w:val="1F2328"/>
          <w:sz w:val="20"/>
          <w:szCs w:val="20"/>
        </w:rPr>
        <w:t xml:space="preserve">sit-web — Next.js 14 portal: learner dashboard, registrar console, professional-booth booking, member desk booking, admin console</w:t>
      </w:r>
    </w:p>
    <w:p>
      <w:pPr>
        <w:pStyle w:val="ListParagraph"/>
        <w:numPr>
          <w:ilvl w:val="0"/>
          <w:numId w:val="2"/>
        </w:numPr>
        <w:spacing w:after="80"/>
      </w:pPr>
      <w:r>
        <w:rPr>
          <w:color w:val="1F2328"/>
          <w:sz w:val="20"/>
          <w:szCs w:val="20"/>
        </w:rPr>
        <w:t xml:space="preserve">sit-api — FastAPI service: enrollment, exam booking, membership, eCitizen case CRUD, credential issuance, placement-bridge endpoint</w:t>
      </w:r>
    </w:p>
    <w:p>
      <w:pPr>
        <w:pStyle w:val="ListParagraph"/>
        <w:numPr>
          <w:ilvl w:val="0"/>
          <w:numId w:val="2"/>
        </w:numPr>
        <w:spacing w:after="80"/>
      </w:pPr>
      <w:r>
        <w:rPr>
          <w:color w:val="1F2328"/>
          <w:sz w:val="20"/>
          <w:szCs w:val="20"/>
        </w:rPr>
        <w:t xml:space="preserve">sit-tutor-agent — Agentic AI Tutor Agent (LiteLLM-routed, multilingual English/Swahili/Sheng)</w:t>
      </w:r>
    </w:p>
    <w:p>
      <w:pPr>
        <w:pStyle w:val="ListParagraph"/>
        <w:numPr>
          <w:ilvl w:val="0"/>
          <w:numId w:val="2"/>
        </w:numPr>
        <w:spacing w:after="80"/>
      </w:pPr>
      <w:r>
        <w:rPr>
          <w:color w:val="1F2328"/>
          <w:sz w:val="20"/>
          <w:szCs w:val="20"/>
        </w:rPr>
        <w:t xml:space="preserve">sit-registrar-agent — Admissions &amp; Registrar Agent</w:t>
      </w:r>
    </w:p>
    <w:p>
      <w:pPr>
        <w:pStyle w:val="ListParagraph"/>
        <w:numPr>
          <w:ilvl w:val="0"/>
          <w:numId w:val="2"/>
        </w:numPr>
        <w:spacing w:after="80"/>
      </w:pPr>
      <w:r>
        <w:rPr>
          <w:color w:val="1F2328"/>
          <w:sz w:val="20"/>
          <w:szCs w:val="20"/>
        </w:rPr>
        <w:t xml:space="preserve">sit-ecitizen-agent — eCitizen/Huduma Process Agent</w:t>
      </w:r>
    </w:p>
    <w:p>
      <w:pPr>
        <w:pStyle w:val="ListParagraph"/>
        <w:numPr>
          <w:ilvl w:val="0"/>
          <w:numId w:val="2"/>
        </w:numPr>
        <w:spacing w:after="80"/>
      </w:pPr>
      <w:r>
        <w:rPr>
          <w:color w:val="1F2328"/>
          <w:sz w:val="20"/>
          <w:szCs w:val="20"/>
        </w:rPr>
        <w:t xml:space="preserve">sit-compliance-agent — Compliance &amp; Integrity Agent (biometric liveness, plagiarism, exam-misconduct)</w:t>
      </w:r>
    </w:p>
    <w:p>
      <w:pPr>
        <w:pStyle w:val="ListParagraph"/>
        <w:numPr>
          <w:ilvl w:val="0"/>
          <w:numId w:val="2"/>
        </w:numPr>
        <w:spacing w:after="80"/>
      </w:pPr>
      <w:r>
        <w:rPr>
          <w:color w:val="1F2328"/>
          <w:sz w:val="20"/>
          <w:szCs w:val="20"/>
        </w:rPr>
        <w:t xml:space="preserve">sit-placement-agent — Placement Agent, bridging into the i3 Talent Cloud Talent Graph</w:t>
      </w:r>
    </w:p>
    <w:p>
      <w:pPr>
        <w:pStyle w:val="ListParagraph"/>
        <w:numPr>
          <w:ilvl w:val="0"/>
          <w:numId w:val="2"/>
        </w:numPr>
        <w:spacing w:after="80"/>
      </w:pPr>
      <w:r>
        <w:rPr>
          <w:color w:val="1F2328"/>
          <w:sz w:val="20"/>
          <w:szCs w:val="20"/>
        </w:rPr>
        <w:t xml:space="preserve">sit-credential-service — blockchain-style credential hashing, QR verification and micro-credential wallet API</w:t>
      </w:r>
    </w:p>
    <w:p>
      <w:pPr>
        <w:pStyle w:val="Heading2"/>
        <w:spacing w:after="140" w:before="300"/>
      </w:pPr>
      <w:r>
        <w:rPr>
          <w:b/>
          <w:bCs/>
          <w:color w:val="2EC4B6"/>
          <w:sz w:val="24"/>
          <w:szCs w:val="24"/>
        </w:rPr>
        <w:t xml:space="preserve">5.2 New DNS / Routes</w:t>
      </w:r>
    </w:p>
    <w:p>
      <w:pPr>
        <w:pStyle w:val="ListParagraph"/>
        <w:numPr>
          <w:ilvl w:val="0"/>
          <w:numId w:val="2"/>
        </w:numPr>
        <w:spacing w:after="80"/>
      </w:pPr>
      <w:r>
        <w:rPr>
          <w:color w:val="1F2328"/>
          <w:sz w:val="20"/>
          <w:szCs w:val="20"/>
        </w:rPr>
        <w:t xml:space="preserve">sit.i3technologies.co.ke — learner, registrar and member portal</w:t>
      </w:r>
    </w:p>
    <w:p>
      <w:pPr>
        <w:pStyle w:val="ListParagraph"/>
        <w:numPr>
          <w:ilvl w:val="0"/>
          <w:numId w:val="2"/>
        </w:numPr>
        <w:spacing w:after="80"/>
      </w:pPr>
      <w:r>
        <w:rPr>
          <w:color w:val="1F2328"/>
          <w:sz w:val="20"/>
          <w:szCs w:val="20"/>
        </w:rPr>
        <w:t xml:space="preserve">professionals.sit.i3technologies.co.ke — professional-services tele-presence booking</w:t>
      </w:r>
    </w:p>
    <w:p>
      <w:pPr>
        <w:pStyle w:val="ListParagraph"/>
        <w:numPr>
          <w:ilvl w:val="0"/>
          <w:numId w:val="2"/>
        </w:numPr>
        <w:spacing w:after="80"/>
      </w:pPr>
      <w:r>
        <w:rPr>
          <w:color w:val="1F2328"/>
          <w:sz w:val="20"/>
          <w:szCs w:val="20"/>
        </w:rPr>
        <w:t xml:space="preserve">api.sit.i3technologies.co.ke — SIT API</w:t>
      </w:r>
    </w:p>
    <w:p>
      <w:pPr>
        <w:pStyle w:val="ListParagraph"/>
        <w:numPr>
          <w:ilvl w:val="0"/>
          <w:numId w:val="2"/>
        </w:numPr>
        <w:spacing w:after="80"/>
      </w:pPr>
      <w:r>
        <w:rPr>
          <w:color w:val="1F2328"/>
          <w:sz w:val="20"/>
          <w:szCs w:val="20"/>
        </w:rPr>
        <w:t xml:space="preserve">verify.sit.i3technologies.co.ke — public blockchain credential verification (QR landing page)</w:t>
      </w:r>
    </w:p>
    <w:p>
      <w:pPr>
        <w:pStyle w:val="Heading2"/>
        <w:spacing w:after="140" w:before="300"/>
      </w:pPr>
      <w:r>
        <w:rPr>
          <w:b/>
          <w:bCs/>
          <w:color w:val="2EC4B6"/>
          <w:sz w:val="24"/>
          <w:szCs w:val="24"/>
        </w:rPr>
        <w:t xml:space="preserve">5.3 Data Flow Summary</w:t>
      </w:r>
    </w:p>
    <w:p>
      <w:pPr>
        <w:spacing w:after="160"/>
      </w:pPr>
      <w:r>
        <w:rPr>
          <w:color w:val="1F2328"/>
          <w:sz w:val="21"/>
          <w:szCs w:val="21"/>
        </w:rPr>
        <w:t xml:space="preserve">A learner enrolls via sit-web → sit-registrar-agent creates the student record in PostgreSQL and issues a Keycloak identity → course delivery and AI tutoring runs through sit-tutor-agent against the LiteLLM gateway, with ChromaDB-backed curriculum retrieval → exam booking triggers an n8n workflow that books the candidate into EvalOS for biometric e-proctoring → on pass, sit-credential-service hashes the certificate and anchors it, and sit-placement-agent writes the graduate as a new node into the i3 Talent Cloud Talent Graph, immediately eligible for EvalOS-based bench assessment.</w:t>
      </w:r>
    </w:p>
    <w:p>
      <w:pPr>
        <w:spacing w:after="200"/>
      </w:pPr>
    </w:p>
    <w:p>
      <w:pPr>
        <w:pStyle w:val="Heading1"/>
        <w:pBdr>
          <w:bottom w:val="single" w:color="14213D" w:sz="6" w:space="4"/>
        </w:pBdr>
        <w:spacing w:after="200" w:before="400"/>
      </w:pPr>
      <w:r>
        <w:rPr>
          <w:b/>
          <w:bCs/>
          <w:color w:val="14213D"/>
          <w:sz w:val="30"/>
          <w:szCs w:val="30"/>
        </w:rPr>
        <w:t xml:space="preserve">6. SIT Data Model (PostgreSQL Schema)</w:t>
      </w:r>
    </w:p>
    <w:p>
      <w:pPr>
        <w:spacing w:after="160"/>
      </w:pPr>
      <w:r>
        <w:rPr>
          <w:color w:val="1F2328"/>
          <w:sz w:val="21"/>
          <w:szCs w:val="21"/>
        </w:rPr>
        <w:t xml:space="preserve">The SIT Graph lives in a new sit_db database on the existing Crunchy PostgreSQL cluster (PGBouncer endpoint: i3-postgres-pgbouncer.i3-data.svc:5432). No new database server is required — consistent with the PostgreSQL-first approach already adopted for the Talent Graph (JSONB + recursive CTEs over a typed adjacency table, revisited only if node counts exceed tens of thousands).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shd w:fill="14213D" w:val="clear"/>
            <w:tcMar>
              <w:top w:type="dxa" w:w="80"/>
              <w:left w:type="dxa" w:w="100"/>
              <w:bottom w:type="dxa" w:w="80"/>
              <w:right w:type="dxa" w:w="100"/>
            </w:tcMar>
            <w:vAlign w:val="center"/>
          </w:tcPr>
          <w:p>
            <w:r>
              <w:rPr>
                <w:b/>
                <w:bCs/>
                <w:color w:val="FFFFFF"/>
                <w:sz w:val="18"/>
                <w:szCs w:val="18"/>
              </w:rPr>
              <w:t xml:space="preserve">Table</w:t>
            </w:r>
          </w:p>
        </w:tc>
        <w:tc>
          <w:tcPr>
            <w:tcW w:type="dxa" w:w="4400"/>
            <w:shd w:fill="14213D" w:val="clear"/>
            <w:tcMar>
              <w:top w:type="dxa" w:w="80"/>
              <w:left w:type="dxa" w:w="100"/>
              <w:bottom w:type="dxa" w:w="80"/>
              <w:right w:type="dxa" w:w="100"/>
            </w:tcMar>
            <w:vAlign w:val="center"/>
          </w:tcPr>
          <w:p>
            <w:r>
              <w:rPr>
                <w:b/>
                <w:bCs/>
                <w:color w:val="FFFFFF"/>
                <w:sz w:val="18"/>
                <w:szCs w:val="18"/>
              </w:rPr>
              <w:t xml:space="preserve">Purpose</w:t>
            </w:r>
          </w:p>
        </w:tc>
        <w:tc>
          <w:tcPr>
            <w:tcW w:type="dxa" w:w="2600"/>
            <w:shd w:fill="14213D" w:val="clear"/>
            <w:tcMar>
              <w:top w:type="dxa" w:w="80"/>
              <w:left w:type="dxa" w:w="100"/>
              <w:bottom w:type="dxa" w:w="80"/>
              <w:right w:type="dxa" w:w="100"/>
            </w:tcMar>
            <w:vAlign w:val="center"/>
          </w:tcPr>
          <w:p>
            <w:r>
              <w:rPr>
                <w:b/>
                <w:bCs/>
                <w:color w:val="FFFFFF"/>
                <w:sz w:val="18"/>
                <w:szCs w:val="18"/>
              </w:rPr>
              <w:t xml:space="preserve">Key Relationships</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learners</w:t>
            </w:r>
          </w:p>
        </w:tc>
        <w:tc>
          <w:tcPr>
            <w:tcW w:type="dxa" w:w="4400"/>
            <w:tcMar>
              <w:top w:type="dxa" w:w="70"/>
              <w:left w:type="dxa" w:w="100"/>
              <w:bottom w:type="dxa" w:w="70"/>
              <w:right w:type="dxa" w:w="100"/>
            </w:tcMar>
            <w:vAlign w:val="center"/>
          </w:tcPr>
          <w:p>
            <w:r>
              <w:rPr>
                <w:b w:val="false"/>
                <w:bCs w:val="false"/>
                <w:color w:val="1F2328"/>
                <w:sz w:val="18"/>
                <w:szCs w:val="18"/>
              </w:rPr>
              <w:t xml:space="preserve">Core learner record: biometric ID hash, contact, KYC status</w:t>
            </w:r>
          </w:p>
        </w:tc>
        <w:tc>
          <w:tcPr>
            <w:tcW w:type="dxa" w:w="2600"/>
            <w:tcMar>
              <w:top w:type="dxa" w:w="70"/>
              <w:left w:type="dxa" w:w="100"/>
              <w:bottom w:type="dxa" w:w="70"/>
              <w:right w:type="dxa" w:w="100"/>
            </w:tcMar>
            <w:vAlign w:val="center"/>
          </w:tcPr>
          <w:p>
            <w:r>
              <w:rPr>
                <w:b w:val="false"/>
                <w:bCs w:val="false"/>
                <w:color w:val="1F2328"/>
                <w:sz w:val="18"/>
                <w:szCs w:val="18"/>
              </w:rPr>
              <w:t xml:space="preserve">Links to Keycloak sub (UUID)</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courses</w:t>
            </w:r>
          </w:p>
        </w:tc>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TVET, IGCSE/KCSE and partner-university course catalog</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FK → curriculum_body</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enrollments</w:t>
            </w:r>
          </w:p>
        </w:tc>
        <w:tc>
          <w:tcPr>
            <w:tcW w:type="dxa" w:w="4400"/>
            <w:tcMar>
              <w:top w:type="dxa" w:w="70"/>
              <w:left w:type="dxa" w:w="100"/>
              <w:bottom w:type="dxa" w:w="70"/>
              <w:right w:type="dxa" w:w="100"/>
            </w:tcMar>
            <w:vAlign w:val="center"/>
          </w:tcPr>
          <w:p>
            <w:r>
              <w:rPr>
                <w:b w:val="false"/>
                <w:bCs w:val="false"/>
                <w:color w:val="1F2328"/>
                <w:sz w:val="18"/>
                <w:szCs w:val="18"/>
              </w:rPr>
              <w:t xml:space="preserve">Learner × Course enrollment, delivery format, cohort</w:t>
            </w:r>
          </w:p>
        </w:tc>
        <w:tc>
          <w:tcPr>
            <w:tcW w:type="dxa" w:w="2600"/>
            <w:tcMar>
              <w:top w:type="dxa" w:w="70"/>
              <w:left w:type="dxa" w:w="100"/>
              <w:bottom w:type="dxa" w:w="70"/>
              <w:right w:type="dxa" w:w="100"/>
            </w:tcMar>
            <w:vAlign w:val="center"/>
          </w:tcPr>
          <w:p>
            <w:r>
              <w:rPr>
                <w:b w:val="false"/>
                <w:bCs w:val="false"/>
                <w:color w:val="1F2328"/>
                <w:sz w:val="18"/>
                <w:szCs w:val="18"/>
              </w:rPr>
              <w:t xml:space="preserve">FK → learners, courses</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exam_bookings</w:t>
            </w:r>
          </w:p>
        </w:tc>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KNEC/CDACC/NITA/international exam registrations</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FK → learners, courses; references EvalOS session ID</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credentials</w:t>
            </w:r>
          </w:p>
        </w:tc>
        <w:tc>
          <w:tcPr>
            <w:tcW w:type="dxa" w:w="4400"/>
            <w:tcMar>
              <w:top w:type="dxa" w:w="70"/>
              <w:left w:type="dxa" w:w="100"/>
              <w:bottom w:type="dxa" w:w="70"/>
              <w:right w:type="dxa" w:w="100"/>
            </w:tcMar>
            <w:vAlign w:val="center"/>
          </w:tcPr>
          <w:p>
            <w:r>
              <w:rPr>
                <w:b w:val="false"/>
                <w:bCs w:val="false"/>
                <w:color w:val="1F2328"/>
                <w:sz w:val="18"/>
                <w:szCs w:val="18"/>
              </w:rPr>
              <w:t xml:space="preserve">Issued certificates/micro-credentials with blockchain hash &amp; QR token</w:t>
            </w:r>
          </w:p>
        </w:tc>
        <w:tc>
          <w:tcPr>
            <w:tcW w:type="dxa" w:w="2600"/>
            <w:tcMar>
              <w:top w:type="dxa" w:w="70"/>
              <w:left w:type="dxa" w:w="100"/>
              <w:bottom w:type="dxa" w:w="70"/>
              <w:right w:type="dxa" w:w="100"/>
            </w:tcMar>
            <w:vAlign w:val="center"/>
          </w:tcPr>
          <w:p>
            <w:r>
              <w:rPr>
                <w:b w:val="false"/>
                <w:bCs w:val="false"/>
                <w:color w:val="1F2328"/>
                <w:sz w:val="18"/>
                <w:szCs w:val="18"/>
              </w:rPr>
              <w:t xml:space="preserve">FK → learners, exam_bookings</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membership_subscriptions</w:t>
            </w:r>
          </w:p>
        </w:tc>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Daily/Monthly/Corporate co-working membership records</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FK → learners or corporate_accounts</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ecitizen_cases</w:t>
            </w:r>
          </w:p>
        </w:tc>
        <w:tc>
          <w:tcPr>
            <w:tcW w:type="dxa" w:w="4400"/>
            <w:tcMar>
              <w:top w:type="dxa" w:w="70"/>
              <w:left w:type="dxa" w:w="100"/>
              <w:bottom w:type="dxa" w:w="70"/>
              <w:right w:type="dxa" w:w="100"/>
            </w:tcMar>
            <w:vAlign w:val="center"/>
          </w:tcPr>
          <w:p>
            <w:r>
              <w:rPr>
                <w:b w:val="false"/>
                <w:bCs w:val="false"/>
                <w:color w:val="1F2328"/>
                <w:sz w:val="18"/>
                <w:szCs w:val="18"/>
              </w:rPr>
              <w:t xml:space="preserve">Passport, KRA PIN, ArdhiSasa, NSSF/SHA filing cases and status</w:t>
            </w:r>
          </w:p>
        </w:tc>
        <w:tc>
          <w:tcPr>
            <w:tcW w:type="dxa" w:w="2600"/>
            <w:tcMar>
              <w:top w:type="dxa" w:w="70"/>
              <w:left w:type="dxa" w:w="100"/>
              <w:bottom w:type="dxa" w:w="70"/>
              <w:right w:type="dxa" w:w="100"/>
            </w:tcMar>
            <w:vAlign w:val="center"/>
          </w:tcPr>
          <w:p>
            <w:r>
              <w:rPr>
                <w:b w:val="false"/>
                <w:bCs w:val="false"/>
                <w:color w:val="1F2328"/>
                <w:sz w:val="18"/>
                <w:szCs w:val="18"/>
              </w:rPr>
              <w:t xml:space="preserve">FK → learners or walk-in citizens</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professional_bookings</w:t>
            </w:r>
          </w:p>
        </w:tc>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Tele-presence bookings with advocates, surveyors, doctors</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FK → learners/members, professional_partners</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professional_partners</w:t>
            </w:r>
          </w:p>
        </w:tc>
        <w:tc>
          <w:tcPr>
            <w:tcW w:type="dxa" w:w="4400"/>
            <w:tcMar>
              <w:top w:type="dxa" w:w="70"/>
              <w:left w:type="dxa" w:w="100"/>
              <w:bottom w:type="dxa" w:w="70"/>
              <w:right w:type="dxa" w:w="100"/>
            </w:tcMar>
            <w:vAlign w:val="center"/>
          </w:tcPr>
          <w:p>
            <w:r>
              <w:rPr>
                <w:b w:val="false"/>
                <w:bCs w:val="false"/>
                <w:color w:val="1F2328"/>
                <w:sz w:val="18"/>
                <w:szCs w:val="18"/>
              </w:rPr>
              <w:t xml:space="preserve">LSK/ISK/telemedicine partner registry, commission rate</w:t>
            </w:r>
          </w:p>
        </w:tc>
        <w:tc>
          <w:tcPr>
            <w:tcW w:type="dxa" w:w="2600"/>
            <w:tcMar>
              <w:top w:type="dxa" w:w="70"/>
              <w:left w:type="dxa" w:w="100"/>
              <w:bottom w:type="dxa" w:w="70"/>
              <w:right w:type="dxa" w:w="100"/>
            </w:tcMar>
            <w:vAlign w:val="center"/>
          </w:tcPr>
          <w:p>
            <w:r>
              <w:rPr>
                <w:b w:val="false"/>
                <w:bCs w:val="false"/>
                <w:color w:val="1F2328"/>
                <w:sz w:val="18"/>
                <w:szCs w:val="18"/>
              </w:rPr>
              <w:t xml:space="preserve">Standalone lookup</w:t>
            </w:r>
          </w:p>
        </w:tc>
      </w:tr>
      <w:tr>
        <w:tc>
          <w:tcPr>
            <w:tcW w:type="dxa" w:w="2400"/>
            <w:shd w:fill="F2F2F2" w:val="clear"/>
            <w:tcMar>
              <w:top w:type="dxa" w:w="70"/>
              <w:left w:type="dxa" w:w="100"/>
              <w:bottom w:type="dxa" w:w="70"/>
              <w:right w:type="dxa" w:w="100"/>
            </w:tcMar>
            <w:vAlign w:val="center"/>
          </w:tcPr>
          <w:p>
            <w:r>
              <w:rPr>
                <w:b w:val="false"/>
                <w:bCs w:val="false"/>
                <w:color w:val="1F2328"/>
                <w:sz w:val="18"/>
                <w:szCs w:val="18"/>
              </w:rPr>
              <w:t xml:space="preserve">placement_referrals</w:t>
            </w:r>
          </w:p>
        </w:tc>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Graduate → i3 Talent Cloud Talent Graph handoff record</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FK → learners; references Talent Graph candidate_id</w:t>
            </w:r>
          </w:p>
        </w:tc>
      </w:tr>
      <w:tr>
        <w:tc>
          <w:tcPr>
            <w:tcW w:type="dxa" w:w="2400"/>
            <w:tcMar>
              <w:top w:type="dxa" w:w="70"/>
              <w:left w:type="dxa" w:w="100"/>
              <w:bottom w:type="dxa" w:w="70"/>
              <w:right w:type="dxa" w:w="100"/>
            </w:tcMar>
            <w:vAlign w:val="center"/>
          </w:tcPr>
          <w:p>
            <w:r>
              <w:rPr>
                <w:b w:val="false"/>
                <w:bCs w:val="false"/>
                <w:color w:val="1F2328"/>
                <w:sz w:val="18"/>
                <w:szCs w:val="18"/>
              </w:rPr>
              <w:t xml:space="preserve">ai_agent_events</w:t>
            </w:r>
          </w:p>
        </w:tc>
        <w:tc>
          <w:tcPr>
            <w:tcW w:type="dxa" w:w="4400"/>
            <w:tcMar>
              <w:top w:type="dxa" w:w="70"/>
              <w:left w:type="dxa" w:w="100"/>
              <w:bottom w:type="dxa" w:w="70"/>
              <w:right w:type="dxa" w:w="100"/>
            </w:tcMar>
            <w:vAlign w:val="center"/>
          </w:tcPr>
          <w:p>
            <w:r>
              <w:rPr>
                <w:b w:val="false"/>
                <w:bCs w:val="false"/>
                <w:color w:val="1F2328"/>
                <w:sz w:val="18"/>
                <w:szCs w:val="18"/>
              </w:rPr>
              <w:t xml:space="preserve">Every agent decision (tutoring, filing, scoring) with Langfuse trace ID</w:t>
            </w:r>
          </w:p>
        </w:tc>
        <w:tc>
          <w:tcPr>
            <w:tcW w:type="dxa" w:w="2600"/>
            <w:tcMar>
              <w:top w:type="dxa" w:w="70"/>
              <w:left w:type="dxa" w:w="100"/>
              <w:bottom w:type="dxa" w:w="70"/>
              <w:right w:type="dxa" w:w="100"/>
            </w:tcMar>
            <w:vAlign w:val="center"/>
          </w:tcPr>
          <w:p>
            <w:r>
              <w:rPr>
                <w:b w:val="false"/>
                <w:bCs w:val="false"/>
                <w:color w:val="1F2328"/>
                <w:sz w:val="18"/>
                <w:szCs w:val="18"/>
              </w:rPr>
              <w:t xml:space="preserve">FK → learners; polymorphic source table</w:t>
            </w:r>
          </w:p>
        </w:tc>
      </w:tr>
    </w:tbl>
    <w:p>
      <w:pPr>
        <w:spacing w:after="200"/>
      </w:pPr>
    </w:p>
    <w:p>
      <w:pPr>
        <w:pStyle w:val="Heading1"/>
        <w:pBdr>
          <w:bottom w:val="single" w:color="14213D" w:sz="6" w:space="4"/>
        </w:pBdr>
        <w:spacing w:after="200" w:before="400"/>
      </w:pPr>
      <w:r>
        <w:rPr>
          <w:b/>
          <w:bCs/>
          <w:color w:val="14213D"/>
          <w:sz w:val="30"/>
          <w:szCs w:val="30"/>
        </w:rPr>
        <w:t xml:space="preserve">7. Engine 1 — Education Campus: Technical Design</w:t>
      </w:r>
    </w:p>
    <w:p>
      <w:pPr>
        <w:pStyle w:val="Heading2"/>
        <w:spacing w:after="140" w:before="300"/>
      </w:pPr>
      <w:r>
        <w:rPr>
          <w:b/>
          <w:bCs/>
          <w:color w:val="2EC4B6"/>
          <w:sz w:val="24"/>
          <w:szCs w:val="24"/>
        </w:rPr>
        <w:t xml:space="preserve">7.1 Delivery Formats on the Platform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4213D" w:val="clear"/>
            <w:tcMar>
              <w:top w:type="dxa" w:w="80"/>
              <w:left w:type="dxa" w:w="100"/>
              <w:bottom w:type="dxa" w:w="80"/>
              <w:right w:type="dxa" w:w="100"/>
            </w:tcMar>
            <w:vAlign w:val="center"/>
          </w:tcPr>
          <w:p>
            <w:r>
              <w:rPr>
                <w:b/>
                <w:bCs/>
                <w:color w:val="FFFFFF"/>
                <w:sz w:val="18"/>
                <w:szCs w:val="18"/>
              </w:rPr>
              <w:t xml:space="preserve">Format</w:t>
            </w:r>
          </w:p>
        </w:tc>
        <w:tc>
          <w:tcPr>
            <w:tcW w:type="dxa" w:w="6800"/>
            <w:shd w:fill="14213D" w:val="clear"/>
            <w:tcMar>
              <w:top w:type="dxa" w:w="80"/>
              <w:left w:type="dxa" w:w="100"/>
              <w:bottom w:type="dxa" w:w="80"/>
              <w:right w:type="dxa" w:w="100"/>
            </w:tcMar>
            <w:vAlign w:val="center"/>
          </w:tcPr>
          <w:p>
            <w:r>
              <w:rPr>
                <w:b/>
                <w:bCs/>
                <w:color w:val="FFFFFF"/>
                <w:sz w:val="18"/>
                <w:szCs w:val="18"/>
              </w:rPr>
              <w:t xml:space="preserve">Technical Implementation</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Live-streamed cohorts</w:t>
            </w:r>
          </w:p>
        </w:tc>
        <w:tc>
          <w:tcPr>
            <w:tcW w:type="dxa" w:w="6800"/>
            <w:tcMar>
              <w:top w:type="dxa" w:w="70"/>
              <w:left w:type="dxa" w:w="100"/>
              <w:bottom w:type="dxa" w:w="70"/>
              <w:right w:type="dxa" w:w="100"/>
            </w:tcMar>
            <w:vAlign w:val="center"/>
          </w:tcPr>
          <w:p>
            <w:r>
              <w:rPr>
                <w:b w:val="false"/>
                <w:bCs w:val="false"/>
                <w:color w:val="1F2328"/>
                <w:sz w:val="18"/>
                <w:szCs w:val="18"/>
              </w:rPr>
              <w:t xml:space="preserve">sit-web streaming studio integration; recorded to SeaweedFS; attendance events to Kafka topic sit.attendance</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Self-paced + AI tutor</w:t>
            </w:r>
          </w:p>
        </w:tc>
        <w:tc>
          <w:tcPr>
            <w:tcW w:type="dxa" w:w="6800"/>
            <w:shd w:fill="F2F2F2" w:val="clear"/>
            <w:tcMar>
              <w:top w:type="dxa" w:w="70"/>
              <w:left w:type="dxa" w:w="100"/>
              <w:bottom w:type="dxa" w:w="70"/>
              <w:right w:type="dxa" w:w="100"/>
            </w:tcMar>
            <w:vAlign w:val="center"/>
          </w:tcPr>
          <w:p>
            <w:r>
              <w:rPr>
                <w:b w:val="false"/>
                <w:bCs w:val="false"/>
                <w:color w:val="1F2328"/>
                <w:sz w:val="18"/>
                <w:szCs w:val="18"/>
              </w:rPr>
              <w:t xml:space="preserve">sit-tutor-agent via LiteLLM (qwen-fast/claude), ChromaDB-backed curriculum RAG, auto-marking with Langfuse-traced scoring</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Live-streamed external curricula (IGCSE/KCSE, partner degrees)</w:t>
            </w:r>
          </w:p>
        </w:tc>
        <w:tc>
          <w:tcPr>
            <w:tcW w:type="dxa" w:w="6800"/>
            <w:tcMar>
              <w:top w:type="dxa" w:w="70"/>
              <w:left w:type="dxa" w:w="100"/>
              <w:bottom w:type="dxa" w:w="70"/>
              <w:right w:type="dxa" w:w="100"/>
            </w:tcMar>
            <w:vAlign w:val="center"/>
          </w:tcPr>
          <w:p>
            <w:r>
              <w:rPr>
                <w:b w:val="false"/>
                <w:bCs w:val="false"/>
                <w:color w:val="1F2328"/>
                <w:sz w:val="18"/>
                <w:szCs w:val="18"/>
              </w:rPr>
              <w:t xml:space="preserve">Same streaming pipeline; content and access rules managed in Directus</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Hybrid work-learn</w:t>
            </w:r>
          </w:p>
        </w:tc>
        <w:tc>
          <w:tcPr>
            <w:tcW w:type="dxa" w:w="6800"/>
            <w:shd w:fill="F2F2F2" w:val="clear"/>
            <w:tcMar>
              <w:top w:type="dxa" w:w="70"/>
              <w:left w:type="dxa" w:w="100"/>
              <w:bottom w:type="dxa" w:w="70"/>
              <w:right w:type="dxa" w:w="100"/>
            </w:tcMar>
            <w:vAlign w:val="center"/>
          </w:tcPr>
          <w:p>
            <w:r>
              <w:rPr>
                <w:b w:val="false"/>
                <w:bCs w:val="false"/>
                <w:color w:val="1F2328"/>
                <w:sz w:val="18"/>
                <w:szCs w:val="18"/>
              </w:rPr>
              <w:t xml:space="preserve">Keycloak session federation between sit-web (study) and co-working desk booking (work) under one identity</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Practical intensives / VR labs</w:t>
            </w:r>
          </w:p>
        </w:tc>
        <w:tc>
          <w:tcPr>
            <w:tcW w:type="dxa" w:w="6800"/>
            <w:tcMar>
              <w:top w:type="dxa" w:w="70"/>
              <w:left w:type="dxa" w:w="100"/>
              <w:bottom w:type="dxa" w:w="70"/>
              <w:right w:type="dxa" w:w="100"/>
            </w:tcMar>
            <w:vAlign w:val="center"/>
          </w:tcPr>
          <w:p>
            <w:r>
              <w:rPr>
                <w:b w:val="false"/>
                <w:bCs w:val="false"/>
                <w:color w:val="1F2328"/>
                <w:sz w:val="18"/>
                <w:szCs w:val="18"/>
              </w:rPr>
              <w:t xml:space="preserve">WebXR front end + EvalOS sandbox scoring for simulated practicals (see Section 12)</w:t>
            </w:r>
          </w:p>
        </w:tc>
      </w:tr>
    </w:tbl>
    <w:p>
      <w:pPr>
        <w:pStyle w:val="Heading2"/>
        <w:spacing w:after="140" w:before="300"/>
      </w:pPr>
      <w:r>
        <w:rPr>
          <w:b/>
          <w:bCs/>
          <w:color w:val="2EC4B6"/>
          <w:sz w:val="24"/>
          <w:szCs w:val="24"/>
        </w:rPr>
        <w:t xml:space="preserve">7.2 Examination Access as a Service</w:t>
      </w:r>
    </w:p>
    <w:p>
      <w:pPr>
        <w:spacing w:after="160"/>
      </w:pPr>
      <w:r>
        <w:rPr>
          <w:color w:val="1F2328"/>
          <w:sz w:val="21"/>
          <w:szCs w:val="21"/>
        </w:rPr>
        <w:t xml:space="preserve">SIT acts as a registered examination centre for KNEC, TVET CDACC, NITA and international bodies. Biometric e-registration and e-proctoring reuse EvalOS's existing sandbox and identity-verification pattern: candidates are IPRS/biometric-checked at booking, and Zuri AI (or an SIT-tuned evaluator persona of the same engine) monitors live sessions for integrity signals, exactly as Zuri AI already monitors EvalOS candidate sessions for i3 Talent Cloud.</w:t>
      </w:r>
    </w:p>
    <w:p>
      <w:pPr>
        <w:spacing w:after="200"/>
      </w:pPr>
    </w:p>
    <w:p>
      <w:pPr>
        <w:pStyle w:val="Heading1"/>
        <w:pBdr>
          <w:bottom w:val="single" w:color="14213D" w:sz="6" w:space="4"/>
        </w:pBdr>
        <w:spacing w:after="200" w:before="400"/>
      </w:pPr>
      <w:r>
        <w:rPr>
          <w:b/>
          <w:bCs/>
          <w:color w:val="14213D"/>
          <w:sz w:val="30"/>
          <w:szCs w:val="30"/>
        </w:rPr>
        <w:t xml:space="preserve">8. Engine 2 — eCitizen / Huduma Services: Technical Design</w:t>
      </w:r>
    </w:p>
    <w:p>
      <w:pPr>
        <w:spacing w:after="160"/>
      </w:pPr>
      <w:r>
        <w:rPr>
          <w:color w:val="1F2328"/>
          <w:sz w:val="21"/>
          <w:szCs w:val="21"/>
        </w:rPr>
        <w:t xml:space="preserve">The eCitizen Process Agent (sit-ecitizen-agent) automates navigation of eCitizen, KRA iTax, ArdhiSasa, NSSF and SHA portals. This is implemented as a set of n8n workflows orchestrating browser-automation / API steps, guarded by OpenBao-managed credentials, with every case tracked as a row in ecitizen_cases and every state change emitted to Kafka topic sit.ecitizen.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800"/>
      </w:tblGrid>
      <w:tr>
        <w:trPr>
          <w:tblHeader/>
        </w:trPr>
        <w:tc>
          <w:tcPr>
            <w:tcW w:type="dxa" w:w="3000"/>
            <w:shd w:fill="14213D" w:val="clear"/>
            <w:tcMar>
              <w:top w:type="dxa" w:w="80"/>
              <w:left w:type="dxa" w:w="100"/>
              <w:bottom w:type="dxa" w:w="80"/>
              <w:right w:type="dxa" w:w="100"/>
            </w:tcMar>
            <w:vAlign w:val="center"/>
          </w:tcPr>
          <w:p>
            <w:r>
              <w:rPr>
                <w:b/>
                <w:bCs/>
                <w:color w:val="FFFFFF"/>
                <w:sz w:val="18"/>
                <w:szCs w:val="18"/>
              </w:rPr>
              <w:t xml:space="preserve">Workflow</w:t>
            </w:r>
          </w:p>
        </w:tc>
        <w:tc>
          <w:tcPr>
            <w:tcW w:type="dxa" w:w="2600"/>
            <w:shd w:fill="14213D" w:val="clear"/>
            <w:tcMar>
              <w:top w:type="dxa" w:w="80"/>
              <w:left w:type="dxa" w:w="100"/>
              <w:bottom w:type="dxa" w:w="80"/>
              <w:right w:type="dxa" w:w="100"/>
            </w:tcMar>
            <w:vAlign w:val="center"/>
          </w:tcPr>
          <w:p>
            <w:r>
              <w:rPr>
                <w:b/>
                <w:bCs/>
                <w:color w:val="FFFFFF"/>
                <w:sz w:val="18"/>
                <w:szCs w:val="18"/>
              </w:rPr>
              <w:t xml:space="preserve">Trigger</w:t>
            </w:r>
          </w:p>
        </w:tc>
        <w:tc>
          <w:tcPr>
            <w:tcW w:type="dxa" w:w="3800"/>
            <w:shd w:fill="14213D" w:val="clear"/>
            <w:tcMar>
              <w:top w:type="dxa" w:w="80"/>
              <w:left w:type="dxa" w:w="100"/>
              <w:bottom w:type="dxa" w:w="80"/>
              <w:right w:type="dxa" w:w="100"/>
            </w:tcMar>
            <w:vAlign w:val="center"/>
          </w:tcPr>
          <w:p>
            <w:r>
              <w:rPr>
                <w:b/>
                <w:bCs/>
                <w:color w:val="FFFFFF"/>
                <w:sz w:val="18"/>
                <w:szCs w:val="18"/>
              </w:rPr>
              <w:t xml:space="preserve">Platform Components</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Case intake &amp; form-filling</w:t>
            </w:r>
          </w:p>
        </w:tc>
        <w:tc>
          <w:tcPr>
            <w:tcW w:type="dxa" w:w="2600"/>
            <w:tcMar>
              <w:top w:type="dxa" w:w="70"/>
              <w:left w:type="dxa" w:w="100"/>
              <w:bottom w:type="dxa" w:w="70"/>
              <w:right w:type="dxa" w:w="100"/>
            </w:tcMar>
            <w:vAlign w:val="center"/>
          </w:tcPr>
          <w:p>
            <w:r>
              <w:rPr>
                <w:b w:val="false"/>
                <w:bCs w:val="false"/>
                <w:color w:val="1F2328"/>
                <w:sz w:val="18"/>
                <w:szCs w:val="18"/>
              </w:rPr>
              <w:t xml:space="preserve">Member submits request via sit-web</w:t>
            </w:r>
          </w:p>
        </w:tc>
        <w:tc>
          <w:tcPr>
            <w:tcW w:type="dxa" w:w="3800"/>
            <w:tcMar>
              <w:top w:type="dxa" w:w="70"/>
              <w:left w:type="dxa" w:w="100"/>
              <w:bottom w:type="dxa" w:w="70"/>
              <w:right w:type="dxa" w:w="100"/>
            </w:tcMar>
            <w:vAlign w:val="center"/>
          </w:tcPr>
          <w:p>
            <w:r>
              <w:rPr>
                <w:b w:val="false"/>
                <w:bCs w:val="false"/>
                <w:color w:val="1F2328"/>
                <w:sz w:val="18"/>
                <w:szCs w:val="18"/>
              </w:rPr>
              <w:t xml:space="preserve">sit-api → n8n → OpenBao credential vault → eCitizen/KRA/ArdhiSasa APIs</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Payment-voucher generation</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Case reaches payment step</w:t>
            </w:r>
          </w:p>
        </w:tc>
        <w:tc>
          <w:tcPr>
            <w:tcW w:type="dxa" w:w="3800"/>
            <w:shd w:fill="F2F2F2" w:val="clear"/>
            <w:tcMar>
              <w:top w:type="dxa" w:w="70"/>
              <w:left w:type="dxa" w:w="100"/>
              <w:bottom w:type="dxa" w:w="70"/>
              <w:right w:type="dxa" w:w="100"/>
            </w:tcMar>
            <w:vAlign w:val="center"/>
          </w:tcPr>
          <w:p>
            <w:r>
              <w:rPr>
                <w:b w:val="false"/>
                <w:bCs w:val="false"/>
                <w:color w:val="1F2328"/>
                <w:sz w:val="18"/>
                <w:szCs w:val="18"/>
              </w:rPr>
              <w:t xml:space="preserve">n8n → Engage (SMS/email voucher) → SeaweedFS receipt storage</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Appointment scheduling</w:t>
            </w:r>
          </w:p>
        </w:tc>
        <w:tc>
          <w:tcPr>
            <w:tcW w:type="dxa" w:w="2600"/>
            <w:tcMar>
              <w:top w:type="dxa" w:w="70"/>
              <w:left w:type="dxa" w:w="100"/>
              <w:bottom w:type="dxa" w:w="70"/>
              <w:right w:type="dxa" w:w="100"/>
            </w:tcMar>
            <w:vAlign w:val="center"/>
          </w:tcPr>
          <w:p>
            <w:r>
              <w:rPr>
                <w:b w:val="false"/>
                <w:bCs w:val="false"/>
                <w:color w:val="1F2328"/>
                <w:sz w:val="18"/>
                <w:szCs w:val="18"/>
              </w:rPr>
              <w:t xml:space="preserve">Service requires in-person step</w:t>
            </w:r>
          </w:p>
        </w:tc>
        <w:tc>
          <w:tcPr>
            <w:tcW w:type="dxa" w:w="3800"/>
            <w:tcMar>
              <w:top w:type="dxa" w:w="70"/>
              <w:left w:type="dxa" w:w="100"/>
              <w:bottom w:type="dxa" w:w="70"/>
              <w:right w:type="dxa" w:w="100"/>
            </w:tcMar>
            <w:vAlign w:val="center"/>
          </w:tcPr>
          <w:p>
            <w:r>
              <w:rPr>
                <w:b w:val="false"/>
                <w:bCs w:val="false"/>
                <w:color w:val="1F2328"/>
                <w:sz w:val="18"/>
                <w:szCs w:val="18"/>
              </w:rPr>
              <w:t xml:space="preserve">n8n → Engage confirmation SMS</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Status update to citizen</w:t>
            </w:r>
          </w:p>
        </w:tc>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Any status change</w:t>
            </w:r>
          </w:p>
        </w:tc>
        <w:tc>
          <w:tcPr>
            <w:tcW w:type="dxa" w:w="3800"/>
            <w:shd w:fill="F2F2F2" w:val="clear"/>
            <w:tcMar>
              <w:top w:type="dxa" w:w="70"/>
              <w:left w:type="dxa" w:w="100"/>
              <w:bottom w:type="dxa" w:w="70"/>
              <w:right w:type="dxa" w:w="100"/>
            </w:tcMar>
            <w:vAlign w:val="center"/>
          </w:tcPr>
          <w:p>
            <w:r>
              <w:rPr>
                <w:b w:val="false"/>
                <w:bCs w:val="false"/>
                <w:color w:val="1F2328"/>
                <w:sz w:val="18"/>
                <w:szCs w:val="18"/>
              </w:rPr>
              <w:t xml:space="preserve">Kafka sit.ecitizen → Engage consumer → SMS/email</w:t>
            </w:r>
          </w:p>
        </w:tc>
      </w:tr>
    </w:tbl>
    <w:p>
      <w:pPr>
        <w:pBdr>
          <w:left w:val="single" w:color="FCA311" w:sz="24" w:space="8"/>
        </w:pBdr>
        <w:shd w:fill="F2F2F2" w:val="clear"/>
        <w:spacing w:after="200" w:before="120"/>
      </w:pPr>
      <w:r>
        <w:rPr>
          <w:i/>
          <w:iCs/>
          <w:color w:val="1F2328"/>
          <w:sz w:val="20"/>
          <w:szCs w:val="20"/>
        </w:rPr>
        <w:t xml:space="preserve">Compliance note: ODPC data-controller registration and consent capture are mandatory before any eCitizen case data is processed; consent state is stored on the learner/citizen record, mirroring the candidate-consent model already defined for i3 Talent Cloud.</w:t>
      </w:r>
    </w:p>
    <w:p>
      <w:pPr>
        <w:spacing w:after="200"/>
      </w:pPr>
    </w:p>
    <w:p>
      <w:pPr>
        <w:pStyle w:val="Heading1"/>
        <w:pBdr>
          <w:bottom w:val="single" w:color="14213D" w:sz="6" w:space="4"/>
        </w:pBdr>
        <w:spacing w:after="200" w:before="400"/>
      </w:pPr>
      <w:r>
        <w:rPr>
          <w:b/>
          <w:bCs/>
          <w:color w:val="14213D"/>
          <w:sz w:val="30"/>
          <w:szCs w:val="30"/>
        </w:rPr>
        <w:t xml:space="preserve">9. Engine 3 — Professional Services Commons: Technical Design</w:t>
      </w:r>
    </w:p>
    <w:p>
      <w:pPr>
        <w:spacing w:after="160"/>
      </w:pPr>
      <w:r>
        <w:rPr>
          <w:color w:val="1F2328"/>
          <w:sz w:val="21"/>
          <w:szCs w:val="21"/>
        </w:rPr>
        <w:t xml:space="preserve">Professional bookings (advocates, surveyors, tele-health doctors) are modeled as a booking + commission workflow. Each professional partner authenticates via a federated Keycloak client (role: sit-professional), and every consultation is logged for commission settlement.</w:t>
      </w:r>
    </w:p>
    <w:p>
      <w:pPr>
        <w:pStyle w:val="ListParagraph"/>
        <w:numPr>
          <w:ilvl w:val="0"/>
          <w:numId w:val="2"/>
        </w:numPr>
        <w:spacing w:after="80"/>
      </w:pPr>
      <w:r>
        <w:rPr>
          <w:color w:val="1F2328"/>
          <w:sz w:val="20"/>
          <w:szCs w:val="20"/>
        </w:rPr>
        <w:t xml:space="preserve">Booking &amp; video-link: WebRTC session initiated from sit-web, session metadata written to professional_bookings</w:t>
      </w:r>
    </w:p>
    <w:p>
      <w:pPr>
        <w:pStyle w:val="ListParagraph"/>
        <w:numPr>
          <w:ilvl w:val="0"/>
          <w:numId w:val="2"/>
        </w:numPr>
        <w:spacing w:after="80"/>
      </w:pPr>
      <w:r>
        <w:rPr>
          <w:color w:val="1F2328"/>
          <w:sz w:val="20"/>
          <w:szCs w:val="20"/>
        </w:rPr>
        <w:t xml:space="preserve">Commission settlement: n8n workflow computes the 15–25% commission share on session completion and posts to the billing ledger</w:t>
      </w:r>
    </w:p>
    <w:p>
      <w:pPr>
        <w:pStyle w:val="ListParagraph"/>
        <w:numPr>
          <w:ilvl w:val="0"/>
          <w:numId w:val="2"/>
        </w:numPr>
        <w:spacing w:after="80"/>
      </w:pPr>
      <w:r>
        <w:rPr>
          <w:color w:val="1F2328"/>
          <w:sz w:val="20"/>
          <w:szCs w:val="20"/>
        </w:rPr>
        <w:t xml:space="preserve">Document exchange (affidavits, land search results, prescriptions): stored in SeaweedFS bucket sit-professional-docs with per-session access scoping via Keycloak</w:t>
      </w:r>
    </w:p>
    <w:p>
      <w:pPr>
        <w:pStyle w:val="ListParagraph"/>
        <w:numPr>
          <w:ilvl w:val="0"/>
          <w:numId w:val="2"/>
        </w:numPr>
        <w:spacing w:after="80"/>
      </w:pPr>
      <w:r>
        <w:rPr>
          <w:color w:val="1F2328"/>
          <w:sz w:val="20"/>
          <w:szCs w:val="20"/>
        </w:rPr>
        <w:t xml:space="preserve">Client notifications: Engage handles appointment confirmations and reminders</w:t>
      </w:r>
    </w:p>
    <w:p>
      <w:pPr>
        <w:spacing w:after="200"/>
      </w:pPr>
    </w:p>
    <w:p>
      <w:pPr>
        <w:pStyle w:val="Heading1"/>
        <w:pBdr>
          <w:bottom w:val="single" w:color="14213D" w:sz="6" w:space="4"/>
        </w:pBdr>
        <w:spacing w:after="200" w:before="400"/>
      </w:pPr>
      <w:r>
        <w:rPr>
          <w:b/>
          <w:bCs/>
          <w:color w:val="14213D"/>
          <w:sz w:val="30"/>
          <w:szCs w:val="30"/>
        </w:rPr>
        <w:t xml:space="preserve">10. Engine 4 — Co-working / Remote Work: Technical Design</w:t>
      </w:r>
    </w:p>
    <w:p>
      <w:pPr>
        <w:pStyle w:val="ListParagraph"/>
        <w:numPr>
          <w:ilvl w:val="0"/>
          <w:numId w:val="2"/>
        </w:numPr>
        <w:spacing w:after="80"/>
      </w:pPr>
      <w:r>
        <w:rPr>
          <w:color w:val="1F2328"/>
          <w:sz w:val="20"/>
          <w:szCs w:val="20"/>
        </w:rPr>
        <w:t xml:space="preserve">Membership tiers (Daily/Monthly/Student/Corporate) stored in membership_subscriptions, priced content managed in Directus so non-technical staff can update pricing without code changes</w:t>
      </w:r>
    </w:p>
    <w:p>
      <w:pPr>
        <w:pStyle w:val="ListParagraph"/>
        <w:numPr>
          <w:ilvl w:val="0"/>
          <w:numId w:val="2"/>
        </w:numPr>
        <w:spacing w:after="80"/>
      </w:pPr>
      <w:r>
        <w:rPr>
          <w:color w:val="1F2328"/>
          <w:sz w:val="20"/>
          <w:szCs w:val="20"/>
        </w:rPr>
        <w:t xml:space="preserve">Desk/access control: Keycloak-issued QR or NFC token per active membership, validated at center entry</w:t>
      </w:r>
    </w:p>
    <w:p>
      <w:pPr>
        <w:pStyle w:val="ListParagraph"/>
        <w:numPr>
          <w:ilvl w:val="0"/>
          <w:numId w:val="2"/>
        </w:numPr>
        <w:spacing w:after="80"/>
      </w:pPr>
      <w:r>
        <w:rPr>
          <w:color w:val="1F2328"/>
          <w:sz w:val="20"/>
          <w:szCs w:val="20"/>
        </w:rPr>
        <w:t xml:space="preserve">Usage analytics: Grafana dashboard on footfall, desk utilisation and internet usage, sourced from Kafka topic sit.membership-checkins</w:t>
      </w:r>
    </w:p>
    <w:p>
      <w:pPr>
        <w:pStyle w:val="ListParagraph"/>
        <w:numPr>
          <w:ilvl w:val="0"/>
          <w:numId w:val="2"/>
        </w:numPr>
        <w:spacing w:after="80"/>
      </w:pPr>
      <w:r>
        <w:rPr>
          <w:color w:val="1F2328"/>
          <w:sz w:val="20"/>
          <w:szCs w:val="20"/>
        </w:rPr>
        <w:t xml:space="preserve">Hybrid work-learn desks: same Keycloak identity used for both study sessions and remote-work sessions, enabling the cross-subsidization model described in the proposal</w:t>
      </w:r>
    </w:p>
    <w:p>
      <w:pPr>
        <w:spacing w:after="200"/>
      </w:pPr>
    </w:p>
    <w:p>
      <w:pPr>
        <w:pStyle w:val="Heading1"/>
        <w:pBdr>
          <w:bottom w:val="single" w:color="14213D" w:sz="6" w:space="4"/>
        </w:pBdr>
        <w:spacing w:after="200" w:before="400"/>
      </w:pPr>
      <w:r>
        <w:rPr>
          <w:b/>
          <w:bCs/>
          <w:color w:val="14213D"/>
          <w:sz w:val="30"/>
          <w:szCs w:val="30"/>
        </w:rPr>
        <w:t xml:space="preserve">11. Agentic AI Layer — Detailed Specification</w:t>
      </w:r>
    </w:p>
    <w:p>
      <w:pPr>
        <w:spacing w:after="160"/>
      </w:pPr>
      <w:r>
        <w:rPr>
          <w:color w:val="1F2328"/>
          <w:sz w:val="21"/>
          <w:szCs w:val="21"/>
        </w:rPr>
        <w:t xml:space="preserve">SIT's proposal specifies five agent roles. Each is implemented as a LiteLLM-routed agent with Langfuse tracing, following the same AgentOps disciplines (agent identity, capability registry, policy engine, sandboxing, kill-switch, evidence bundles) already defined in i3's ECCP review and applied to Zuri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800"/>
      </w:tblGrid>
      <w:tr>
        <w:trPr>
          <w:tblHeader/>
        </w:trPr>
        <w:tc>
          <w:tcPr>
            <w:tcW w:type="dxa" w:w="2200"/>
            <w:shd w:fill="14213D" w:val="clear"/>
            <w:tcMar>
              <w:top w:type="dxa" w:w="80"/>
              <w:left w:type="dxa" w:w="100"/>
              <w:bottom w:type="dxa" w:w="80"/>
              <w:right w:type="dxa" w:w="100"/>
            </w:tcMar>
            <w:vAlign w:val="center"/>
          </w:tcPr>
          <w:p>
            <w:r>
              <w:rPr>
                <w:b/>
                <w:bCs/>
                <w:color w:val="FFFFFF"/>
                <w:sz w:val="18"/>
                <w:szCs w:val="18"/>
              </w:rPr>
              <w:t xml:space="preserve">Agent</w:t>
            </w:r>
          </w:p>
        </w:tc>
        <w:tc>
          <w:tcPr>
            <w:tcW w:type="dxa" w:w="4200"/>
            <w:shd w:fill="14213D" w:val="clear"/>
            <w:tcMar>
              <w:top w:type="dxa" w:w="80"/>
              <w:left w:type="dxa" w:w="100"/>
              <w:bottom w:type="dxa" w:w="80"/>
              <w:right w:type="dxa" w:w="100"/>
            </w:tcMar>
            <w:vAlign w:val="center"/>
          </w:tcPr>
          <w:p>
            <w:r>
              <w:rPr>
                <w:b/>
                <w:bCs/>
                <w:color w:val="FFFFFF"/>
                <w:sz w:val="18"/>
                <w:szCs w:val="18"/>
              </w:rPr>
              <w:t xml:space="preserve">Function</w:t>
            </w:r>
          </w:p>
        </w:tc>
        <w:tc>
          <w:tcPr>
            <w:tcW w:type="dxa" w:w="2800"/>
            <w:shd w:fill="14213D" w:val="clear"/>
            <w:tcMar>
              <w:top w:type="dxa" w:w="80"/>
              <w:left w:type="dxa" w:w="100"/>
              <w:bottom w:type="dxa" w:w="80"/>
              <w:right w:type="dxa" w:w="100"/>
            </w:tcMar>
            <w:vAlign w:val="center"/>
          </w:tcPr>
          <w:p>
            <w:r>
              <w:rPr>
                <w:b/>
                <w:bCs/>
                <w:color w:val="FFFFFF"/>
                <w:sz w:val="18"/>
                <w:szCs w:val="18"/>
              </w:rPr>
              <w:t xml:space="preserve">Platform Implementation</w:t>
            </w:r>
          </w:p>
        </w:tc>
      </w:tr>
      <w:tr>
        <w:tc>
          <w:tcPr>
            <w:tcW w:type="dxa" w:w="2200"/>
            <w:tcMar>
              <w:top w:type="dxa" w:w="70"/>
              <w:left w:type="dxa" w:w="100"/>
              <w:bottom w:type="dxa" w:w="70"/>
              <w:right w:type="dxa" w:w="100"/>
            </w:tcMar>
            <w:vAlign w:val="center"/>
          </w:tcPr>
          <w:p>
            <w:r>
              <w:rPr>
                <w:b w:val="false"/>
                <w:bCs w:val="false"/>
                <w:color w:val="1F2328"/>
                <w:sz w:val="18"/>
                <w:szCs w:val="18"/>
              </w:rPr>
              <w:t xml:space="preserve">AI Tutor Agent</w:t>
            </w:r>
          </w:p>
        </w:tc>
        <w:tc>
          <w:tcPr>
            <w:tcW w:type="dxa" w:w="4200"/>
            <w:tcMar>
              <w:top w:type="dxa" w:w="70"/>
              <w:left w:type="dxa" w:w="100"/>
              <w:bottom w:type="dxa" w:w="70"/>
              <w:right w:type="dxa" w:w="100"/>
            </w:tcMar>
            <w:vAlign w:val="center"/>
          </w:tcPr>
          <w:p>
            <w:r>
              <w:rPr>
                <w:b w:val="false"/>
                <w:bCs w:val="false"/>
                <w:color w:val="1F2328"/>
                <w:sz w:val="18"/>
                <w:szCs w:val="18"/>
              </w:rPr>
              <w:t xml:space="preserve">Curriculum tutoring in English/Swahili/Sheng, voice-first for low-literacy learners; marks assignments, generates revision plans, runs simulated practicals</w:t>
            </w:r>
          </w:p>
        </w:tc>
        <w:tc>
          <w:tcPr>
            <w:tcW w:type="dxa" w:w="2800"/>
            <w:tcMar>
              <w:top w:type="dxa" w:w="70"/>
              <w:left w:type="dxa" w:w="100"/>
              <w:bottom w:type="dxa" w:w="70"/>
              <w:right w:type="dxa" w:w="100"/>
            </w:tcMar>
            <w:vAlign w:val="center"/>
          </w:tcPr>
          <w:p>
            <w:r>
              <w:rPr>
                <w:b w:val="false"/>
                <w:bCs w:val="false"/>
                <w:color w:val="1F2328"/>
                <w:sz w:val="18"/>
                <w:szCs w:val="18"/>
              </w:rPr>
              <w:t xml:space="preserve">LiteLLM + ChromaDB RAG + Langfuse tracing</w:t>
            </w:r>
          </w:p>
        </w:tc>
      </w:tr>
      <w:tr>
        <w:tc>
          <w:tcPr>
            <w:tcW w:type="dxa" w:w="2200"/>
            <w:shd w:fill="F2F2F2" w:val="clear"/>
            <w:tcMar>
              <w:top w:type="dxa" w:w="70"/>
              <w:left w:type="dxa" w:w="100"/>
              <w:bottom w:type="dxa" w:w="70"/>
              <w:right w:type="dxa" w:w="100"/>
            </w:tcMar>
            <w:vAlign w:val="center"/>
          </w:tcPr>
          <w:p>
            <w:r>
              <w:rPr>
                <w:b w:val="false"/>
                <w:bCs w:val="false"/>
                <w:color w:val="1F2328"/>
                <w:sz w:val="18"/>
                <w:szCs w:val="18"/>
              </w:rPr>
              <w:t xml:space="preserve">Admissions &amp; Registrar Agent</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Enrollment, fee plans (exam-fee-only), exam booking, certificate tracking; ~80% reduction in registrar workload</w:t>
            </w:r>
          </w:p>
        </w:tc>
        <w:tc>
          <w:tcPr>
            <w:tcW w:type="dxa" w:w="2800"/>
            <w:shd w:fill="F2F2F2" w:val="clear"/>
            <w:tcMar>
              <w:top w:type="dxa" w:w="70"/>
              <w:left w:type="dxa" w:w="100"/>
              <w:bottom w:type="dxa" w:w="70"/>
              <w:right w:type="dxa" w:w="100"/>
            </w:tcMar>
            <w:vAlign w:val="center"/>
          </w:tcPr>
          <w:p>
            <w:r>
              <w:rPr>
                <w:b w:val="false"/>
                <w:bCs w:val="false"/>
                <w:color w:val="1F2328"/>
                <w:sz w:val="18"/>
                <w:szCs w:val="18"/>
              </w:rPr>
              <w:t xml:space="preserve">sit-api workflows + n8n</w:t>
            </w:r>
          </w:p>
        </w:tc>
      </w:tr>
      <w:tr>
        <w:tc>
          <w:tcPr>
            <w:tcW w:type="dxa" w:w="2200"/>
            <w:tcMar>
              <w:top w:type="dxa" w:w="70"/>
              <w:left w:type="dxa" w:w="100"/>
              <w:bottom w:type="dxa" w:w="70"/>
              <w:right w:type="dxa" w:w="100"/>
            </w:tcMar>
            <w:vAlign w:val="center"/>
          </w:tcPr>
          <w:p>
            <w:r>
              <w:rPr>
                <w:b w:val="false"/>
                <w:bCs w:val="false"/>
                <w:color w:val="1F2328"/>
                <w:sz w:val="18"/>
                <w:szCs w:val="18"/>
              </w:rPr>
              <w:t xml:space="preserve">eCitizen Process Agent</w:t>
            </w:r>
          </w:p>
        </w:tc>
        <w:tc>
          <w:tcPr>
            <w:tcW w:type="dxa" w:w="4200"/>
            <w:tcMar>
              <w:top w:type="dxa" w:w="70"/>
              <w:left w:type="dxa" w:w="100"/>
              <w:bottom w:type="dxa" w:w="70"/>
              <w:right w:type="dxa" w:w="100"/>
            </w:tcMar>
            <w:vAlign w:val="center"/>
          </w:tcPr>
          <w:p>
            <w:r>
              <w:rPr>
                <w:b w:val="false"/>
                <w:bCs w:val="false"/>
                <w:color w:val="1F2328"/>
                <w:sz w:val="18"/>
                <w:szCs w:val="18"/>
              </w:rPr>
              <w:t xml:space="preserve">Autonomous navigation of eCitizen/iTax/ArdhiSasa/NSSF/SHA; form-filling, payment vouchers, scheduling</w:t>
            </w:r>
          </w:p>
        </w:tc>
        <w:tc>
          <w:tcPr>
            <w:tcW w:type="dxa" w:w="2800"/>
            <w:tcMar>
              <w:top w:type="dxa" w:w="70"/>
              <w:left w:type="dxa" w:w="100"/>
              <w:bottom w:type="dxa" w:w="70"/>
              <w:right w:type="dxa" w:w="100"/>
            </w:tcMar>
            <w:vAlign w:val="center"/>
          </w:tcPr>
          <w:p>
            <w:r>
              <w:rPr>
                <w:b w:val="false"/>
                <w:bCs w:val="false"/>
                <w:color w:val="1F2328"/>
                <w:sz w:val="18"/>
                <w:szCs w:val="18"/>
              </w:rPr>
              <w:t xml:space="preserve">n8n + OpenBao secrets</w:t>
            </w:r>
          </w:p>
        </w:tc>
      </w:tr>
      <w:tr>
        <w:tc>
          <w:tcPr>
            <w:tcW w:type="dxa" w:w="2200"/>
            <w:shd w:fill="F2F2F2" w:val="clear"/>
            <w:tcMar>
              <w:top w:type="dxa" w:w="70"/>
              <w:left w:type="dxa" w:w="100"/>
              <w:bottom w:type="dxa" w:w="70"/>
              <w:right w:type="dxa" w:w="100"/>
            </w:tcMar>
            <w:vAlign w:val="center"/>
          </w:tcPr>
          <w:p>
            <w:r>
              <w:rPr>
                <w:b w:val="false"/>
                <w:bCs w:val="false"/>
                <w:color w:val="1F2328"/>
                <w:sz w:val="18"/>
                <w:szCs w:val="18"/>
              </w:rPr>
              <w:t xml:space="preserve">Compliance &amp; Integrity Agent</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Biometric liveness + IPRS cross-check; plagiarism and exam-misconduct detection; anomaly flagging</w:t>
            </w:r>
          </w:p>
        </w:tc>
        <w:tc>
          <w:tcPr>
            <w:tcW w:type="dxa" w:w="2800"/>
            <w:shd w:fill="F2F2F2" w:val="clear"/>
            <w:tcMar>
              <w:top w:type="dxa" w:w="70"/>
              <w:left w:type="dxa" w:w="100"/>
              <w:bottom w:type="dxa" w:w="70"/>
              <w:right w:type="dxa" w:w="100"/>
            </w:tcMar>
            <w:vAlign w:val="center"/>
          </w:tcPr>
          <w:p>
            <w:r>
              <w:rPr>
                <w:b w:val="false"/>
                <w:bCs w:val="false"/>
                <w:color w:val="1F2328"/>
                <w:sz w:val="18"/>
                <w:szCs w:val="18"/>
              </w:rPr>
              <w:t xml:space="preserve">EvalOS + Zuri AI evaluator pattern</w:t>
            </w:r>
          </w:p>
        </w:tc>
      </w:tr>
      <w:tr>
        <w:tc>
          <w:tcPr>
            <w:tcW w:type="dxa" w:w="2200"/>
            <w:tcMar>
              <w:top w:type="dxa" w:w="70"/>
              <w:left w:type="dxa" w:w="100"/>
              <w:bottom w:type="dxa" w:w="70"/>
              <w:right w:type="dxa" w:w="100"/>
            </w:tcMar>
            <w:vAlign w:val="center"/>
          </w:tcPr>
          <w:p>
            <w:r>
              <w:rPr>
                <w:b w:val="false"/>
                <w:bCs w:val="false"/>
                <w:color w:val="1F2328"/>
                <w:sz w:val="18"/>
                <w:szCs w:val="18"/>
              </w:rPr>
              <w:t xml:space="preserve">Placement Agent</w:t>
            </w:r>
          </w:p>
        </w:tc>
        <w:tc>
          <w:tcPr>
            <w:tcW w:type="dxa" w:w="4200"/>
            <w:tcMar>
              <w:top w:type="dxa" w:w="70"/>
              <w:left w:type="dxa" w:w="100"/>
              <w:bottom w:type="dxa" w:w="70"/>
              <w:right w:type="dxa" w:w="100"/>
            </w:tcMar>
            <w:vAlign w:val="center"/>
          </w:tcPr>
          <w:p>
            <w:r>
              <w:rPr>
                <w:b w:val="false"/>
                <w:bCs w:val="false"/>
                <w:color w:val="1F2328"/>
                <w:sz w:val="18"/>
                <w:szCs w:val="18"/>
              </w:rPr>
              <w:t xml:space="preserve">Parses European shortage-occupation lists (UK Skilled Worker, German Engpassberufe, France Travail) and matches graduate profiles to vacancies/visa routes</w:t>
            </w:r>
          </w:p>
        </w:tc>
        <w:tc>
          <w:tcPr>
            <w:tcW w:type="dxa" w:w="2800"/>
            <w:tcMar>
              <w:top w:type="dxa" w:w="70"/>
              <w:left w:type="dxa" w:w="100"/>
              <w:bottom w:type="dxa" w:w="70"/>
              <w:right w:type="dxa" w:w="100"/>
            </w:tcMar>
            <w:vAlign w:val="center"/>
          </w:tcPr>
          <w:p>
            <w:r>
              <w:rPr>
                <w:b w:val="false"/>
                <w:bCs w:val="false"/>
                <w:color w:val="1F2328"/>
                <w:sz w:val="18"/>
                <w:szCs w:val="18"/>
              </w:rPr>
              <w:t xml:space="preserve">ChromaDB semantic matching + i3 Talent Cloud Talent Graph bridge</w:t>
            </w:r>
          </w:p>
        </w:tc>
      </w:tr>
    </w:tbl>
    <w:p>
      <w:pPr>
        <w:pBdr>
          <w:left w:val="single" w:color="14213D" w:sz="24" w:space="8"/>
        </w:pBdr>
        <w:shd w:fill="F2F2F2" w:val="clear"/>
        <w:spacing w:after="200" w:before="120"/>
      </w:pPr>
      <w:r>
        <w:rPr>
          <w:i/>
          <w:iCs/>
          <w:color w:val="1F2328"/>
          <w:sz w:val="20"/>
          <w:szCs w:val="20"/>
        </w:rPr>
        <w:t xml:space="preserve">Governance rule carried over from i3 Talent Cloud: no examination result override, credential issuance, or placement match is confirmed by AI recommendation alone — a human reviewer approves every consequential decision, and every AI-generated score or match carries a Langfuse trace ID for audit.</w:t>
      </w:r>
    </w:p>
    <w:p>
      <w:pPr>
        <w:spacing w:after="200"/>
      </w:pPr>
    </w:p>
    <w:p>
      <w:pPr>
        <w:pStyle w:val="Heading1"/>
        <w:pBdr>
          <w:bottom w:val="single" w:color="14213D" w:sz="6" w:space="4"/>
        </w:pBdr>
        <w:spacing w:after="200" w:before="400"/>
      </w:pPr>
      <w:r>
        <w:rPr>
          <w:b/>
          <w:bCs/>
          <w:color w:val="14213D"/>
          <w:sz w:val="30"/>
          <w:szCs w:val="30"/>
        </w:rPr>
        <w:t xml:space="preserve">12. AR/VR Layer — Technical Approach</w:t>
      </w:r>
    </w:p>
    <w:p>
      <w:pPr>
        <w:spacing w:after="160"/>
      </w:pPr>
      <w:r>
        <w:rPr>
          <w:color w:val="1F2328"/>
          <w:sz w:val="21"/>
          <w:szCs w:val="21"/>
        </w:rPr>
        <w:t xml:space="preserve">The proposal calls for VR practical labs (engineering, automotive, electrical, hospitality, health) and AR-assisted maintenance/assembly guides. This is the one layer with no direct existing i3 platform equivalent and is scoped as new work, deliberately built to reuse EvalOS's scoring pattern rather than inventing a parallel evaluation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4213D" w:val="clear"/>
            <w:tcMar>
              <w:top w:type="dxa" w:w="80"/>
              <w:left w:type="dxa" w:w="100"/>
              <w:bottom w:type="dxa" w:w="80"/>
              <w:right w:type="dxa" w:w="100"/>
            </w:tcMar>
            <w:vAlign w:val="center"/>
          </w:tcPr>
          <w:p>
            <w:r>
              <w:rPr>
                <w:b/>
                <w:bCs/>
                <w:color w:val="FFFFFF"/>
                <w:sz w:val="18"/>
                <w:szCs w:val="18"/>
              </w:rPr>
              <w:t xml:space="preserve">Component</w:t>
            </w:r>
          </w:p>
        </w:tc>
        <w:tc>
          <w:tcPr>
            <w:tcW w:type="dxa" w:w="6400"/>
            <w:shd w:fill="14213D" w:val="clear"/>
            <w:tcMar>
              <w:top w:type="dxa" w:w="80"/>
              <w:left w:type="dxa" w:w="100"/>
              <w:bottom w:type="dxa" w:w="80"/>
              <w:right w:type="dxa" w:w="100"/>
            </w:tcMar>
            <w:vAlign w:val="center"/>
          </w:tcPr>
          <w:p>
            <w:r>
              <w:rPr>
                <w:b/>
                <w:bCs/>
                <w:color w:val="FFFFFF"/>
                <w:sz w:val="18"/>
                <w:szCs w:val="18"/>
              </w:rPr>
              <w:t xml:space="preserve">Approach</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Delivery technology</w:t>
            </w:r>
          </w:p>
        </w:tc>
        <w:tc>
          <w:tcPr>
            <w:tcW w:type="dxa" w:w="6400"/>
            <w:tcMar>
              <w:top w:type="dxa" w:w="70"/>
              <w:left w:type="dxa" w:w="100"/>
              <w:bottom w:type="dxa" w:w="70"/>
              <w:right w:type="dxa" w:w="100"/>
            </w:tcMar>
            <w:vAlign w:val="center"/>
          </w:tcPr>
          <w:p>
            <w:r>
              <w:rPr>
                <w:b w:val="false"/>
                <w:bCs w:val="false"/>
                <w:color w:val="1F2328"/>
                <w:sz w:val="18"/>
                <w:szCs w:val="18"/>
              </w:rPr>
              <w:t xml:space="preserve">WebXR (browser-based, no proprietary headset lock-in) served from sit-web; degrades gracefully to 2D simulation on low-end devices for equity in peri-urban centers</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Practical scoring</w:t>
            </w:r>
          </w:p>
        </w:tc>
        <w:tc>
          <w:tcPr>
            <w:tcW w:type="dxa" w:w="6400"/>
            <w:shd w:fill="F2F2F2" w:val="clear"/>
            <w:tcMar>
              <w:top w:type="dxa" w:w="70"/>
              <w:left w:type="dxa" w:w="100"/>
              <w:bottom w:type="dxa" w:w="70"/>
              <w:right w:type="dxa" w:w="100"/>
            </w:tcMar>
            <w:vAlign w:val="center"/>
          </w:tcPr>
          <w:p>
            <w:r>
              <w:rPr>
                <w:b w:val="false"/>
                <w:bCs w:val="false"/>
                <w:color w:val="1F2328"/>
                <w:sz w:val="18"/>
                <w:szCs w:val="18"/>
              </w:rPr>
              <w:t xml:space="preserve">Reuse the EvalOS sandbox + Zuri AI evaluator pattern: a VR/AR practical session is treated as an EvalOS assessment event, scored by the same evaluator engine used for EvalOS coding/config tasks</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Content authoring</w:t>
            </w:r>
          </w:p>
        </w:tc>
        <w:tc>
          <w:tcPr>
            <w:tcW w:type="dxa" w:w="6400"/>
            <w:tcMar>
              <w:top w:type="dxa" w:w="70"/>
              <w:left w:type="dxa" w:w="100"/>
              <w:bottom w:type="dxa" w:w="70"/>
              <w:right w:type="dxa" w:w="100"/>
            </w:tcMar>
            <w:vAlign w:val="center"/>
          </w:tcPr>
          <w:p>
            <w:r>
              <w:rPr>
                <w:b w:val="false"/>
                <w:bCs w:val="false"/>
                <w:color w:val="1F2328"/>
                <w:sz w:val="18"/>
                <w:szCs w:val="18"/>
              </w:rPr>
              <w:t xml:space="preserve">AR/VR scenario assets versioned in Git, deployed via Argo CD alongside application code; scenario metadata (skill mapped, scoring rubric) stored in Directus</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Employer virtual showrooms</w:t>
            </w:r>
          </w:p>
        </w:tc>
        <w:tc>
          <w:tcPr>
            <w:tcW w:type="dxa" w:w="6400"/>
            <w:shd w:fill="F2F2F2" w:val="clear"/>
            <w:tcMar>
              <w:top w:type="dxa" w:w="70"/>
              <w:left w:type="dxa" w:w="100"/>
              <w:bottom w:type="dxa" w:w="70"/>
              <w:right w:type="dxa" w:w="100"/>
            </w:tcMar>
            <w:vAlign w:val="center"/>
          </w:tcPr>
          <w:p>
            <w:r>
              <w:rPr>
                <w:b w:val="false"/>
                <w:bCs w:val="false"/>
                <w:color w:val="1F2328"/>
                <w:sz w:val="18"/>
                <w:szCs w:val="18"/>
              </w:rPr>
              <w:t xml:space="preserve">Lightweight WebXR tours of partner workplaces, content-managed in Directus, linked to the Placement Agent's shortage-occupation mapping</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Infrastructure</w:t>
            </w:r>
          </w:p>
        </w:tc>
        <w:tc>
          <w:tcPr>
            <w:tcW w:type="dxa" w:w="6400"/>
            <w:tcMar>
              <w:top w:type="dxa" w:w="70"/>
              <w:left w:type="dxa" w:w="100"/>
              <w:bottom w:type="dxa" w:w="70"/>
              <w:right w:type="dxa" w:w="100"/>
            </w:tcMar>
            <w:vAlign w:val="center"/>
          </w:tcPr>
          <w:p>
            <w:r>
              <w:rPr>
                <w:b w:val="false"/>
                <w:bCs w:val="false"/>
                <w:color w:val="1F2328"/>
                <w:sz w:val="18"/>
                <w:szCs w:val="18"/>
              </w:rPr>
              <w:t xml:space="preserve">GPU-accelerated rendering not required for WebXR-first approach at pilot scale; revisit only if photorealistic simulation is demanded by a specific curriculum (e.g., surgical or heavy-machinery training)</w:t>
            </w:r>
          </w:p>
        </w:tc>
      </w:tr>
    </w:tbl>
    <w:p>
      <w:pPr>
        <w:spacing w:after="200"/>
      </w:pPr>
    </w:p>
    <w:p>
      <w:pPr>
        <w:pStyle w:val="Heading1"/>
        <w:pBdr>
          <w:bottom w:val="single" w:color="14213D" w:sz="6" w:space="4"/>
        </w:pBdr>
        <w:spacing w:after="200" w:before="400"/>
      </w:pPr>
      <w:r>
        <w:rPr>
          <w:b/>
          <w:bCs/>
          <w:color w:val="14213D"/>
          <w:sz w:val="30"/>
          <w:szCs w:val="30"/>
        </w:rPr>
        <w:t xml:space="preserve">13. Blockchain Credential Layer — Technical Approach</w:t>
      </w:r>
    </w:p>
    <w:p>
      <w:pPr>
        <w:spacing w:after="160"/>
      </w:pPr>
      <w:r>
        <w:rPr>
          <w:color w:val="1F2328"/>
          <w:sz w:val="21"/>
          <w:szCs w:val="21"/>
        </w:rPr>
        <w:t xml:space="preserve">The proposal calls for blockchain-verified credentials and a micro-credential wallet. Rather than standing up a new distributed-ledger cluster — operational overhead unjustified at SIT's initial scale — the recommended approach mirrors the pragmatic engineering judgment already applied to the Talent Graph (PostgreSQL over a dedicated graph database until scale demands otherwise).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4213D" w:val="clear"/>
            <w:tcMar>
              <w:top w:type="dxa" w:w="80"/>
              <w:left w:type="dxa" w:w="100"/>
              <w:bottom w:type="dxa" w:w="80"/>
              <w:right w:type="dxa" w:w="100"/>
            </w:tcMar>
            <w:vAlign w:val="center"/>
          </w:tcPr>
          <w:p>
            <w:r>
              <w:rPr>
                <w:b/>
                <w:bCs/>
                <w:color w:val="FFFFFF"/>
                <w:sz w:val="18"/>
                <w:szCs w:val="18"/>
              </w:rPr>
              <w:t xml:space="preserve">Requirement</w:t>
            </w:r>
          </w:p>
        </w:tc>
        <w:tc>
          <w:tcPr>
            <w:tcW w:type="dxa" w:w="6400"/>
            <w:shd w:fill="14213D" w:val="clear"/>
            <w:tcMar>
              <w:top w:type="dxa" w:w="80"/>
              <w:left w:type="dxa" w:w="100"/>
              <w:bottom w:type="dxa" w:w="80"/>
              <w:right w:type="dxa" w:w="100"/>
            </w:tcMar>
            <w:vAlign w:val="center"/>
          </w:tcPr>
          <w:p>
            <w:r>
              <w:rPr>
                <w:b/>
                <w:bCs/>
                <w:color w:val="FFFFFF"/>
                <w:sz w:val="18"/>
                <w:szCs w:val="18"/>
              </w:rPr>
              <w:t xml:space="preserve">Recommended Implementation</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Tamper-evident certificates</w:t>
            </w:r>
          </w:p>
        </w:tc>
        <w:tc>
          <w:tcPr>
            <w:tcW w:type="dxa" w:w="6400"/>
            <w:tcMar>
              <w:top w:type="dxa" w:w="70"/>
              <w:left w:type="dxa" w:w="100"/>
              <w:bottom w:type="dxa" w:w="70"/>
              <w:right w:type="dxa" w:w="100"/>
            </w:tcMar>
            <w:vAlign w:val="center"/>
          </w:tcPr>
          <w:p>
            <w:r>
              <w:rPr>
                <w:b w:val="false"/>
                <w:bCs w:val="false"/>
                <w:color w:val="1F2328"/>
                <w:sz w:val="18"/>
                <w:szCs w:val="18"/>
              </w:rPr>
              <w:t xml:space="preserve">sit-credential-service computes a SHA-256 hash of each issued certificate and anchors the hash on a low-cost public chain (or a permissioned Hyperledger instance if data-residency rules require it); the full certificate content itself never leaves i3 infrastructure</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QR verification for employers/embassies</w:t>
            </w:r>
          </w:p>
        </w:tc>
        <w:tc>
          <w:tcPr>
            <w:tcW w:type="dxa" w:w="6400"/>
            <w:shd w:fill="F2F2F2" w:val="clear"/>
            <w:tcMar>
              <w:top w:type="dxa" w:w="70"/>
              <w:left w:type="dxa" w:w="100"/>
              <w:bottom w:type="dxa" w:w="70"/>
              <w:right w:type="dxa" w:w="100"/>
            </w:tcMar>
            <w:vAlign w:val="center"/>
          </w:tcPr>
          <w:p>
            <w:r>
              <w:rPr>
                <w:b w:val="false"/>
                <w:bCs w:val="false"/>
                <w:color w:val="1F2328"/>
                <w:sz w:val="18"/>
                <w:szCs w:val="18"/>
              </w:rPr>
              <w:t xml:space="preserve">verify.sit.i3technologies.co.ke resolves a QR code to a public verification page showing hash-match status, issue date and issuing body — no personal data exposed without learner consent</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Micro-credential wallet</w:t>
            </w:r>
          </w:p>
        </w:tc>
        <w:tc>
          <w:tcPr>
            <w:tcW w:type="dxa" w:w="6400"/>
            <w:tcMar>
              <w:top w:type="dxa" w:w="70"/>
              <w:left w:type="dxa" w:w="100"/>
              <w:bottom w:type="dxa" w:w="70"/>
              <w:right w:type="dxa" w:w="100"/>
            </w:tcMar>
            <w:vAlign w:val="center"/>
          </w:tcPr>
          <w:p>
            <w:r>
              <w:rPr>
                <w:b w:val="false"/>
                <w:bCs w:val="false"/>
                <w:color w:val="1F2328"/>
                <w:sz w:val="18"/>
                <w:szCs w:val="18"/>
              </w:rPr>
              <w:t xml:space="preserve">Stackable skill tokens stored as rows in credentials linked to skills taxonomy (shared with i3 Talent Cloud's skills table), rendered in sit-web as a learner-facing wallet view</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Smart-contract commission splits</w:t>
            </w:r>
          </w:p>
        </w:tc>
        <w:tc>
          <w:tcPr>
            <w:tcW w:type="dxa" w:w="6400"/>
            <w:shd w:fill="F2F2F2" w:val="clear"/>
            <w:tcMar>
              <w:top w:type="dxa" w:w="70"/>
              <w:left w:type="dxa" w:w="100"/>
              <w:bottom w:type="dxa" w:w="70"/>
              <w:right w:type="dxa" w:w="100"/>
            </w:tcMar>
            <w:vAlign w:val="center"/>
          </w:tcPr>
          <w:p>
            <w:r>
              <w:rPr>
                <w:b w:val="false"/>
                <w:bCs w:val="false"/>
                <w:color w:val="1F2328"/>
                <w:sz w:val="18"/>
                <w:szCs w:val="18"/>
              </w:rPr>
              <w:t xml:space="preserve">Deferred to Phase 3; initial commission settlement (Section 9) runs as an n8n ledger workflow, revisited only if a professional-partner network at national scale requires automated multi-party splits</w:t>
            </w:r>
          </w:p>
        </w:tc>
      </w:tr>
    </w:tbl>
    <w:p>
      <w:pPr>
        <w:pBdr>
          <w:left w:val="single" w:color="FCA311" w:sz="24" w:space="8"/>
        </w:pBdr>
        <w:shd w:fill="F2F2F2" w:val="clear"/>
        <w:spacing w:after="200" w:before="120"/>
      </w:pPr>
      <w:r>
        <w:rPr>
          <w:i/>
          <w:iCs/>
          <w:color w:val="1F2328"/>
          <w:sz w:val="20"/>
          <w:szCs w:val="20"/>
        </w:rPr>
        <w:t xml:space="preserve">Recommendation: start with hash-anchoring plus QR verification (deliverable in weeks, near-zero infrastructure cost) rather than a full smart-contract platform. This gives European employers and embassies the tamper-proof verification the proposal asks for without introducing a new operational surface to secure and maintain.</w:t>
      </w:r>
    </w:p>
    <w:p>
      <w:pPr>
        <w:spacing w:after="200"/>
      </w:pPr>
    </w:p>
    <w:p>
      <w:pPr>
        <w:pStyle w:val="Heading1"/>
        <w:pBdr>
          <w:bottom w:val="single" w:color="14213D" w:sz="6" w:space="4"/>
        </w:pBdr>
        <w:spacing w:after="200" w:before="400"/>
      </w:pPr>
      <w:r>
        <w:rPr>
          <w:b/>
          <w:bCs/>
          <w:color w:val="14213D"/>
          <w:sz w:val="30"/>
          <w:szCs w:val="30"/>
        </w:rPr>
        <w:t xml:space="preserve">14. Cross-Platform Synergy — SIT → i3 Talent Cloud Placement Bridge</w:t>
      </w:r>
    </w:p>
    <w:p>
      <w:pPr>
        <w:spacing w:after="160"/>
      </w:pPr>
      <w:r>
        <w:rPr>
          <w:color w:val="1F2328"/>
          <w:sz w:val="21"/>
          <w:szCs w:val="21"/>
        </w:rPr>
        <w:t xml:space="preserve">This is the highest-leverage architectural decision in this guide. SIT's Placement Agent should not build a parallel candidate database — it should write directly into the Talent Graph that i3 Talent Cloud already operates, making every certified SIT graduate an evidence-backed, EvalOS-assessed candidate the moment they graduate.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4213D" w:val="clear"/>
            <w:tcMar>
              <w:top w:type="dxa" w:w="80"/>
              <w:left w:type="dxa" w:w="100"/>
              <w:bottom w:type="dxa" w:w="80"/>
              <w:right w:type="dxa" w:w="100"/>
            </w:tcMar>
            <w:vAlign w:val="center"/>
          </w:tcPr>
          <w:p>
            <w:r>
              <w:rPr>
                <w:b/>
                <w:bCs/>
                <w:color w:val="FFFFFF"/>
                <w:sz w:val="18"/>
                <w:szCs w:val="18"/>
              </w:rPr>
              <w:t xml:space="preserve">SIT Event</w:t>
            </w:r>
          </w:p>
        </w:tc>
        <w:tc>
          <w:tcPr>
            <w:tcW w:type="dxa" w:w="6400"/>
            <w:shd w:fill="14213D" w:val="clear"/>
            <w:tcMar>
              <w:top w:type="dxa" w:w="80"/>
              <w:left w:type="dxa" w:w="100"/>
              <w:bottom w:type="dxa" w:w="80"/>
              <w:right w:type="dxa" w:w="100"/>
            </w:tcMar>
            <w:vAlign w:val="center"/>
          </w:tcPr>
          <w:p>
            <w:r>
              <w:rPr>
                <w:b/>
                <w:bCs/>
                <w:color w:val="FFFFFF"/>
                <w:sz w:val="18"/>
                <w:szCs w:val="18"/>
              </w:rPr>
              <w:t xml:space="preserve">Talent Graph Effect</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Learner passes KNEC/CDACC/NITA exam and certificate is issued</w:t>
            </w:r>
          </w:p>
        </w:tc>
        <w:tc>
          <w:tcPr>
            <w:tcW w:type="dxa" w:w="6400"/>
            <w:tcMar>
              <w:top w:type="dxa" w:w="70"/>
              <w:left w:type="dxa" w:w="100"/>
              <w:bottom w:type="dxa" w:w="70"/>
              <w:right w:type="dxa" w:w="100"/>
            </w:tcMar>
            <w:vAlign w:val="center"/>
          </w:tcPr>
          <w:p>
            <w:r>
              <w:rPr>
                <w:b w:val="false"/>
                <w:bCs w:val="false"/>
                <w:color w:val="1F2328"/>
                <w:sz w:val="18"/>
                <w:szCs w:val="18"/>
              </w:rPr>
              <w:t xml:space="preserve">New candidates node created (or updated) in the Talent Graph via sit-placement-agent → talent-api; certification row added to the Talent Graph's certifications table</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Learner completes a VR-lab practical intensive</w:t>
            </w:r>
          </w:p>
        </w:tc>
        <w:tc>
          <w:tcPr>
            <w:tcW w:type="dxa" w:w="6400"/>
            <w:shd w:fill="F2F2F2" w:val="clear"/>
            <w:tcMar>
              <w:top w:type="dxa" w:w="70"/>
              <w:left w:type="dxa" w:w="100"/>
              <w:bottom w:type="dxa" w:w="70"/>
              <w:right w:type="dxa" w:w="100"/>
            </w:tcMar>
            <w:vAlign w:val="center"/>
          </w:tcPr>
          <w:p>
            <w:r>
              <w:rPr>
                <w:b w:val="false"/>
                <w:bCs w:val="false"/>
                <w:color w:val="1F2328"/>
                <w:sz w:val="18"/>
                <w:szCs w:val="18"/>
              </w:rPr>
              <w:t xml:space="preserve">Skill score written to skill_scores with a valid-from/valid-to decay window, identical to the Talent Cloud skill-decay model</w:t>
            </w:r>
          </w:p>
        </w:tc>
      </w:tr>
      <w:tr>
        <w:tc>
          <w:tcPr>
            <w:tcW w:type="dxa" w:w="3000"/>
            <w:tcMar>
              <w:top w:type="dxa" w:w="70"/>
              <w:left w:type="dxa" w:w="100"/>
              <w:bottom w:type="dxa" w:w="70"/>
              <w:right w:type="dxa" w:w="100"/>
            </w:tcMar>
            <w:vAlign w:val="center"/>
          </w:tcPr>
          <w:p>
            <w:r>
              <w:rPr>
                <w:b w:val="false"/>
                <w:bCs w:val="false"/>
                <w:color w:val="1F2328"/>
                <w:sz w:val="18"/>
                <w:szCs w:val="18"/>
              </w:rPr>
              <w:t xml:space="preserve">Learner opts into placement</w:t>
            </w:r>
          </w:p>
        </w:tc>
        <w:tc>
          <w:tcPr>
            <w:tcW w:type="dxa" w:w="6400"/>
            <w:tcMar>
              <w:top w:type="dxa" w:w="70"/>
              <w:left w:type="dxa" w:w="100"/>
              <w:bottom w:type="dxa" w:w="70"/>
              <w:right w:type="dxa" w:w="100"/>
            </w:tcMar>
            <w:vAlign w:val="center"/>
          </w:tcPr>
          <w:p>
            <w:r>
              <w:rPr>
                <w:b w:val="false"/>
                <w:bCs w:val="false"/>
                <w:color w:val="1F2328"/>
                <w:sz w:val="18"/>
                <w:szCs w:val="18"/>
              </w:rPr>
              <w:t xml:space="preserve">assessment_events triggered — the learner sits an EvalOS Practitioner-band assessment, exactly as an i3 Academy graduate would for FDE eligibility</w:t>
            </w:r>
          </w:p>
        </w:tc>
      </w:tr>
      <w:tr>
        <w:tc>
          <w:tcPr>
            <w:tcW w:type="dxa" w:w="3000"/>
            <w:shd w:fill="F2F2F2" w:val="clear"/>
            <w:tcMar>
              <w:top w:type="dxa" w:w="70"/>
              <w:left w:type="dxa" w:w="100"/>
              <w:bottom w:type="dxa" w:w="70"/>
              <w:right w:type="dxa" w:w="100"/>
            </w:tcMar>
            <w:vAlign w:val="center"/>
          </w:tcPr>
          <w:p>
            <w:r>
              <w:rPr>
                <w:b w:val="false"/>
                <w:bCs w:val="false"/>
                <w:color w:val="1F2328"/>
                <w:sz w:val="18"/>
                <w:szCs w:val="18"/>
              </w:rPr>
              <w:t xml:space="preserve">Employer (European or local) requests candidates</w:t>
            </w:r>
          </w:p>
        </w:tc>
        <w:tc>
          <w:tcPr>
            <w:tcW w:type="dxa" w:w="6400"/>
            <w:shd w:fill="F2F2F2" w:val="clear"/>
            <w:tcMar>
              <w:top w:type="dxa" w:w="70"/>
              <w:left w:type="dxa" w:w="100"/>
              <w:bottom w:type="dxa" w:w="70"/>
              <w:right w:type="dxa" w:w="100"/>
            </w:tcMar>
            <w:vAlign w:val="center"/>
          </w:tcPr>
          <w:p>
            <w:r>
              <w:rPr>
                <w:b w:val="false"/>
                <w:bCs w:val="false"/>
                <w:color w:val="1F2328"/>
                <w:sz w:val="18"/>
                <w:szCs w:val="18"/>
              </w:rPr>
              <w:t xml:space="preserve">SIT graduates surface in the same Skills Matching Engine and Engagement Marketplace i3 Talent Cloud clients already use</w:t>
            </w:r>
          </w:p>
        </w:tc>
      </w:tr>
    </w:tbl>
    <w:p>
      <w:pPr>
        <w:spacing w:after="160"/>
      </w:pPr>
      <w:r>
        <w:rPr>
          <w:color w:val="1F2328"/>
          <w:sz w:val="21"/>
          <w:szCs w:val="21"/>
        </w:rPr>
        <w:t xml:space="preserve">This closes the loop the SIT proposal describes conceptually (Placement Agent matching to shortage-occupation lists) with infrastructure that already exists and is already governed: Keycloak-scoped access, Langfuse-traced scoring, and a human-approval gate before any placement is confirmed.</w:t>
      </w:r>
    </w:p>
    <w:p>
      <w:pPr>
        <w:spacing w:after="200"/>
      </w:pPr>
    </w:p>
    <w:p>
      <w:pPr>
        <w:pStyle w:val="Heading1"/>
        <w:pBdr>
          <w:bottom w:val="single" w:color="14213D" w:sz="6" w:space="4"/>
        </w:pBdr>
        <w:spacing w:after="200" w:before="400"/>
      </w:pPr>
      <w:r>
        <w:rPr>
          <w:b/>
          <w:bCs/>
          <w:color w:val="14213D"/>
          <w:sz w:val="30"/>
          <w:szCs w:val="30"/>
        </w:rPr>
        <w:t xml:space="preserve">15. Innovations &amp; Use-Case Catalog — Prioritized for i3 Engineering</w:t>
      </w:r>
    </w:p>
    <w:p>
      <w:pPr>
        <w:spacing w:after="160"/>
      </w:pPr>
      <w:r>
        <w:rPr>
          <w:color w:val="1F2328"/>
          <w:sz w:val="21"/>
          <w:szCs w:val="21"/>
        </w:rPr>
        <w:t xml:space="preserve">Drawing on both SIT's own proposal and the broader Global Education AI &amp; EdTech Use Case Report (24 mapped use cases across personalized learning, generative content, agentic co-piloting, assessment, administration, dropout prevention, immersive tech, robotics, accessibility and career development), the following are the highest-value, platform-ready innovations for SIT, prioritized for i3 delivery teams.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600"/>
        <w:gridCol w:w="900"/>
      </w:tblGrid>
      <w:tr>
        <w:trPr>
          <w:tblHeader/>
        </w:trPr>
        <w:tc>
          <w:tcPr>
            <w:tcW w:type="dxa" w:w="2600"/>
            <w:shd w:fill="14213D" w:val="clear"/>
            <w:tcMar>
              <w:top w:type="dxa" w:w="80"/>
              <w:left w:type="dxa" w:w="100"/>
              <w:bottom w:type="dxa" w:w="80"/>
              <w:right w:type="dxa" w:w="100"/>
            </w:tcMar>
            <w:vAlign w:val="center"/>
          </w:tcPr>
          <w:p>
            <w:r>
              <w:rPr>
                <w:b/>
                <w:bCs/>
                <w:color w:val="FFFFFF"/>
                <w:sz w:val="18"/>
                <w:szCs w:val="18"/>
              </w:rPr>
              <w:t xml:space="preserve">Innovation</w:t>
            </w:r>
          </w:p>
        </w:tc>
        <w:tc>
          <w:tcPr>
            <w:tcW w:type="dxa" w:w="4200"/>
            <w:shd w:fill="14213D" w:val="clear"/>
            <w:tcMar>
              <w:top w:type="dxa" w:w="80"/>
              <w:left w:type="dxa" w:w="100"/>
              <w:bottom w:type="dxa" w:w="80"/>
              <w:right w:type="dxa" w:w="100"/>
            </w:tcMar>
            <w:vAlign w:val="center"/>
          </w:tcPr>
          <w:p>
            <w:r>
              <w:rPr>
                <w:b/>
                <w:bCs/>
                <w:color w:val="FFFFFF"/>
                <w:sz w:val="18"/>
                <w:szCs w:val="18"/>
              </w:rPr>
              <w:t xml:space="preserve">Concept</w:t>
            </w:r>
          </w:p>
        </w:tc>
        <w:tc>
          <w:tcPr>
            <w:tcW w:type="dxa" w:w="1600"/>
            <w:shd w:fill="14213D" w:val="clear"/>
            <w:tcMar>
              <w:top w:type="dxa" w:w="80"/>
              <w:left w:type="dxa" w:w="100"/>
              <w:bottom w:type="dxa" w:w="80"/>
              <w:right w:type="dxa" w:w="100"/>
            </w:tcMar>
            <w:vAlign w:val="center"/>
          </w:tcPr>
          <w:p>
            <w:r>
              <w:rPr>
                <w:b/>
                <w:bCs/>
                <w:color w:val="FFFFFF"/>
                <w:sz w:val="18"/>
                <w:szCs w:val="18"/>
              </w:rPr>
              <w:t xml:space="preserve">i3 Platform Fit</w:t>
            </w:r>
          </w:p>
        </w:tc>
        <w:tc>
          <w:tcPr>
            <w:tcW w:type="dxa" w:w="900"/>
            <w:shd w:fill="14213D" w:val="clear"/>
            <w:tcMar>
              <w:top w:type="dxa" w:w="80"/>
              <w:left w:type="dxa" w:w="100"/>
              <w:bottom w:type="dxa" w:w="80"/>
              <w:right w:type="dxa" w:w="100"/>
            </w:tcMar>
            <w:vAlign w:val="center"/>
          </w:tcPr>
          <w:p>
            <w:r>
              <w:rPr>
                <w:b/>
                <w:bCs/>
                <w:color w:val="FFFFFF"/>
                <w:sz w:val="18"/>
                <w:szCs w:val="18"/>
              </w:rPr>
              <w:t xml:space="preserve">Priority</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Blockchain-verified Talent Digital Passport for graduates</w:t>
            </w:r>
          </w:p>
        </w:tc>
        <w:tc>
          <w:tcPr>
            <w:tcW w:type="dxa" w:w="4200"/>
            <w:tcMar>
              <w:top w:type="dxa" w:w="70"/>
              <w:left w:type="dxa" w:w="100"/>
              <w:bottom w:type="dxa" w:w="70"/>
              <w:right w:type="dxa" w:w="100"/>
            </w:tcMar>
            <w:vAlign w:val="center"/>
          </w:tcPr>
          <w:p>
            <w:r>
              <w:rPr>
                <w:b w:val="false"/>
                <w:bCs w:val="false"/>
                <w:color w:val="1F2328"/>
                <w:sz w:val="18"/>
                <w:szCs w:val="18"/>
              </w:rPr>
              <w:t xml:space="preserve">Every SIT graduate gets a machine-readable passport identical in structure to the i3 Talent Cloud Passport</w:t>
            </w:r>
          </w:p>
        </w:tc>
        <w:tc>
          <w:tcPr>
            <w:tcW w:type="dxa" w:w="1600"/>
            <w:tcMar>
              <w:top w:type="dxa" w:w="70"/>
              <w:left w:type="dxa" w:w="100"/>
              <w:bottom w:type="dxa" w:w="70"/>
              <w:right w:type="dxa" w:w="100"/>
            </w:tcMar>
            <w:vAlign w:val="center"/>
          </w:tcPr>
          <w:p>
            <w:r>
              <w:rPr>
                <w:b w:val="false"/>
                <w:bCs w:val="false"/>
                <w:color w:val="1F2328"/>
                <w:sz w:val="18"/>
                <w:szCs w:val="18"/>
              </w:rPr>
              <w:t xml:space="preserve">sit-credential-service + Talent Graph</w:t>
            </w:r>
          </w:p>
        </w:tc>
        <w:tc>
          <w:tcPr>
            <w:tcW w:type="dxa" w:w="900"/>
            <w:tcMar>
              <w:top w:type="dxa" w:w="70"/>
              <w:left w:type="dxa" w:w="100"/>
              <w:bottom w:type="dxa" w:w="70"/>
              <w:right w:type="dxa" w:w="100"/>
            </w:tcMar>
            <w:vAlign w:val="center"/>
          </w:tcPr>
          <w:p>
            <w:r>
              <w:rPr>
                <w:b w:val="false"/>
                <w:bCs w:val="false"/>
                <w:color w:val="1F2328"/>
                <w:sz w:val="18"/>
                <w:szCs w:val="18"/>
              </w:rPr>
              <w:t xml:space="preserve">P0</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EvalOS-powered biometric e-proctoring</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Reuse EvalOS sandbox + Zuri AI for exam integrity instead of a third-party proctoring vendor</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EvalOS + Zuri AI</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P0</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AI Tutor Agent with Socratic dialogue mode</w:t>
            </w:r>
          </w:p>
        </w:tc>
        <w:tc>
          <w:tcPr>
            <w:tcW w:type="dxa" w:w="4200"/>
            <w:tcMar>
              <w:top w:type="dxa" w:w="70"/>
              <w:left w:type="dxa" w:w="100"/>
              <w:bottom w:type="dxa" w:w="70"/>
              <w:right w:type="dxa" w:w="100"/>
            </w:tcMar>
            <w:vAlign w:val="center"/>
          </w:tcPr>
          <w:p>
            <w:r>
              <w:rPr>
                <w:b w:val="false"/>
                <w:bCs w:val="false"/>
                <w:color w:val="1F2328"/>
                <w:sz w:val="18"/>
                <w:szCs w:val="18"/>
              </w:rPr>
              <w:t xml:space="preserve">Conversational tutor that poses guided questions rather than direct answers, per the Global EdTech Report's Socratic-dialogue use case (UC-003)</w:t>
            </w:r>
          </w:p>
        </w:tc>
        <w:tc>
          <w:tcPr>
            <w:tcW w:type="dxa" w:w="1600"/>
            <w:tcMar>
              <w:top w:type="dxa" w:w="70"/>
              <w:left w:type="dxa" w:w="100"/>
              <w:bottom w:type="dxa" w:w="70"/>
              <w:right w:type="dxa" w:w="100"/>
            </w:tcMar>
            <w:vAlign w:val="center"/>
          </w:tcPr>
          <w:p>
            <w:r>
              <w:rPr>
                <w:b w:val="false"/>
                <w:bCs w:val="false"/>
                <w:color w:val="1F2328"/>
                <w:sz w:val="18"/>
                <w:szCs w:val="18"/>
              </w:rPr>
              <w:t xml:space="preserve">LiteLLM + ChromaDB RAG</w:t>
            </w:r>
          </w:p>
        </w:tc>
        <w:tc>
          <w:tcPr>
            <w:tcW w:type="dxa" w:w="900"/>
            <w:tcMar>
              <w:top w:type="dxa" w:w="70"/>
              <w:left w:type="dxa" w:w="100"/>
              <w:bottom w:type="dxa" w:w="70"/>
              <w:right w:type="dxa" w:w="100"/>
            </w:tcMar>
            <w:vAlign w:val="center"/>
          </w:tcPr>
          <w:p>
            <w:r>
              <w:rPr>
                <w:b w:val="false"/>
                <w:bCs w:val="false"/>
                <w:color w:val="1F2328"/>
                <w:sz w:val="18"/>
                <w:szCs w:val="18"/>
              </w:rPr>
              <w:t xml:space="preserve">P0</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eCitizen Process Agent automation</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AI-assisted filing across eCitizen/KRA/ArdhiSasa/NSSF/SHA, per proposal Section 5.1</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n8n + OpenBao</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P0</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Skill Decay &amp; Refresh Engine for graduates</w:t>
            </w:r>
          </w:p>
        </w:tc>
        <w:tc>
          <w:tcPr>
            <w:tcW w:type="dxa" w:w="4200"/>
            <w:tcMar>
              <w:top w:type="dxa" w:w="70"/>
              <w:left w:type="dxa" w:w="100"/>
              <w:bottom w:type="dxa" w:w="70"/>
              <w:right w:type="dxa" w:w="100"/>
            </w:tcMar>
            <w:vAlign w:val="center"/>
          </w:tcPr>
          <w:p>
            <w:r>
              <w:rPr>
                <w:b w:val="false"/>
                <w:bCs w:val="false"/>
                <w:color w:val="1F2328"/>
                <w:sz w:val="18"/>
                <w:szCs w:val="18"/>
              </w:rPr>
              <w:t xml:space="preserve">Certified skills depreciate on a schedule unless refreshed — keeps SIT's talent supply current for placement</w:t>
            </w:r>
          </w:p>
        </w:tc>
        <w:tc>
          <w:tcPr>
            <w:tcW w:type="dxa" w:w="1600"/>
            <w:tcMar>
              <w:top w:type="dxa" w:w="70"/>
              <w:left w:type="dxa" w:w="100"/>
              <w:bottom w:type="dxa" w:w="70"/>
              <w:right w:type="dxa" w:w="100"/>
            </w:tcMar>
            <w:vAlign w:val="center"/>
          </w:tcPr>
          <w:p>
            <w:r>
              <w:rPr>
                <w:b w:val="false"/>
                <w:bCs w:val="false"/>
                <w:color w:val="1F2328"/>
                <w:sz w:val="18"/>
                <w:szCs w:val="18"/>
              </w:rPr>
              <w:t xml:space="preserve">Reuses Talent Cloud decay model</w:t>
            </w:r>
          </w:p>
        </w:tc>
        <w:tc>
          <w:tcPr>
            <w:tcW w:type="dxa" w:w="900"/>
            <w:tcMar>
              <w:top w:type="dxa" w:w="70"/>
              <w:left w:type="dxa" w:w="100"/>
              <w:bottom w:type="dxa" w:w="70"/>
              <w:right w:type="dxa" w:w="100"/>
            </w:tcMar>
            <w:vAlign w:val="center"/>
          </w:tcPr>
          <w:p>
            <w:r>
              <w:rPr>
                <w:b w:val="false"/>
                <w:bCs w:val="false"/>
                <w:color w:val="1F2328"/>
                <w:sz w:val="18"/>
                <w:szCs w:val="18"/>
              </w:rPr>
              <w:t xml:space="preserve">P0</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WebXR virtual labs for STEM/trades practicals</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Browser-based VR labs scored via the EvalOS sandbox pattern, per Global EdTech Report UC-017</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WebXR + EvalOS sandbox</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P1</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Predictive dropout / retention early-warning</w:t>
            </w:r>
          </w:p>
        </w:tc>
        <w:tc>
          <w:tcPr>
            <w:tcW w:type="dxa" w:w="4200"/>
            <w:tcMar>
              <w:top w:type="dxa" w:w="70"/>
              <w:left w:type="dxa" w:w="100"/>
              <w:bottom w:type="dxa" w:w="70"/>
              <w:right w:type="dxa" w:w="100"/>
            </w:tcMar>
            <w:vAlign w:val="center"/>
          </w:tcPr>
          <w:p>
            <w:r>
              <w:rPr>
                <w:b w:val="false"/>
                <w:bCs w:val="false"/>
                <w:color w:val="1F2328"/>
                <w:sz w:val="18"/>
                <w:szCs w:val="18"/>
              </w:rPr>
              <w:t xml:space="preserve">ML classification on attendance, performance and engagement signals, per Global EdTech Report UC-016</w:t>
            </w:r>
          </w:p>
        </w:tc>
        <w:tc>
          <w:tcPr>
            <w:tcW w:type="dxa" w:w="1600"/>
            <w:tcMar>
              <w:top w:type="dxa" w:w="70"/>
              <w:left w:type="dxa" w:w="100"/>
              <w:bottom w:type="dxa" w:w="70"/>
              <w:right w:type="dxa" w:w="100"/>
            </w:tcMar>
            <w:vAlign w:val="center"/>
          </w:tcPr>
          <w:p>
            <w:r>
              <w:rPr>
                <w:b w:val="false"/>
                <w:bCs w:val="false"/>
                <w:color w:val="1F2328"/>
                <w:sz w:val="18"/>
                <w:szCs w:val="18"/>
              </w:rPr>
              <w:t xml:space="preserve">PostgreSQL + LiteLLM scoring model</w:t>
            </w:r>
          </w:p>
        </w:tc>
        <w:tc>
          <w:tcPr>
            <w:tcW w:type="dxa" w:w="900"/>
            <w:tcMar>
              <w:top w:type="dxa" w:w="70"/>
              <w:left w:type="dxa" w:w="100"/>
              <w:bottom w:type="dxa" w:w="70"/>
              <w:right w:type="dxa" w:w="100"/>
            </w:tcMar>
            <w:vAlign w:val="center"/>
          </w:tcPr>
          <w:p>
            <w:r>
              <w:rPr>
                <w:b w:val="false"/>
                <w:bCs w:val="false"/>
                <w:color w:val="1F2328"/>
                <w:sz w:val="18"/>
                <w:szCs w:val="18"/>
              </w:rPr>
              <w:t xml:space="preserve">P1</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24/7 institutional chatbot for admissions &amp; member support</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Conversational RAG chatbot for enrollment, fee, and membership queries, per Global EdTech Report UC-014</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LiteLLM + ChromaDB + sit-web widget</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P1</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Automated essay/open-ended scoring</w:t>
            </w:r>
          </w:p>
        </w:tc>
        <w:tc>
          <w:tcPr>
            <w:tcW w:type="dxa" w:w="4200"/>
            <w:tcMar>
              <w:top w:type="dxa" w:w="70"/>
              <w:left w:type="dxa" w:w="100"/>
              <w:bottom w:type="dxa" w:w="70"/>
              <w:right w:type="dxa" w:w="100"/>
            </w:tcMar>
            <w:vAlign w:val="center"/>
          </w:tcPr>
          <w:p>
            <w:r>
              <w:rPr>
                <w:b w:val="false"/>
                <w:bCs w:val="false"/>
                <w:color w:val="1F2328"/>
                <w:sz w:val="18"/>
                <w:szCs w:val="18"/>
              </w:rPr>
              <w:t xml:space="preserve">NLP-based scoring for IGCSE/KCSE support-stream written work, per Global EdTech Report UC-010</w:t>
            </w:r>
          </w:p>
        </w:tc>
        <w:tc>
          <w:tcPr>
            <w:tcW w:type="dxa" w:w="1600"/>
            <w:tcMar>
              <w:top w:type="dxa" w:w="70"/>
              <w:left w:type="dxa" w:w="100"/>
              <w:bottom w:type="dxa" w:w="70"/>
              <w:right w:type="dxa" w:w="100"/>
            </w:tcMar>
            <w:vAlign w:val="center"/>
          </w:tcPr>
          <w:p>
            <w:r>
              <w:rPr>
                <w:b w:val="false"/>
                <w:bCs w:val="false"/>
                <w:color w:val="1F2328"/>
                <w:sz w:val="18"/>
                <w:szCs w:val="18"/>
              </w:rPr>
              <w:t xml:space="preserve">LiteLLM (Claude/qwen) + rubric prompts</w:t>
            </w:r>
          </w:p>
        </w:tc>
        <w:tc>
          <w:tcPr>
            <w:tcW w:type="dxa" w:w="900"/>
            <w:tcMar>
              <w:top w:type="dxa" w:w="70"/>
              <w:left w:type="dxa" w:w="100"/>
              <w:bottom w:type="dxa" w:w="70"/>
              <w:right w:type="dxa" w:w="100"/>
            </w:tcMar>
            <w:vAlign w:val="center"/>
          </w:tcPr>
          <w:p>
            <w:r>
              <w:rPr>
                <w:b w:val="false"/>
                <w:bCs w:val="false"/>
                <w:color w:val="1F2328"/>
                <w:sz w:val="18"/>
                <w:szCs w:val="18"/>
              </w:rPr>
              <w:t xml:space="preserve">P1</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AI-driven timetabling &amp; desk/lab resource optimization</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Optimizes streaming-studio, lab-bay and desk allocation across engines, per Global EdTech Report UC-015</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Constraint-solver microservice + Grafana</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P1</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Language-readiness microlearning (German B1/B2, English C1)</w:t>
            </w:r>
          </w:p>
        </w:tc>
        <w:tc>
          <w:tcPr>
            <w:tcW w:type="dxa" w:w="4200"/>
            <w:tcMar>
              <w:top w:type="dxa" w:w="70"/>
              <w:left w:type="dxa" w:w="100"/>
              <w:bottom w:type="dxa" w:w="70"/>
              <w:right w:type="dxa" w:w="100"/>
            </w:tcMar>
            <w:vAlign w:val="center"/>
          </w:tcPr>
          <w:p>
            <w:r>
              <w:rPr>
                <w:b w:val="false"/>
                <w:bCs w:val="false"/>
                <w:color w:val="1F2328"/>
                <w:sz w:val="18"/>
                <w:szCs w:val="18"/>
              </w:rPr>
              <w:t xml:space="preserve">Bite-sized spaced-repetition language tracks for Europe-bound graduates, per Global EdTech Report UC-021</w:t>
            </w:r>
          </w:p>
        </w:tc>
        <w:tc>
          <w:tcPr>
            <w:tcW w:type="dxa" w:w="1600"/>
            <w:tcMar>
              <w:top w:type="dxa" w:w="70"/>
              <w:left w:type="dxa" w:w="100"/>
              <w:bottom w:type="dxa" w:w="70"/>
              <w:right w:type="dxa" w:w="100"/>
            </w:tcMar>
            <w:vAlign w:val="center"/>
          </w:tcPr>
          <w:p>
            <w:r>
              <w:rPr>
                <w:b w:val="false"/>
                <w:bCs w:val="false"/>
                <w:color w:val="1F2328"/>
                <w:sz w:val="18"/>
                <w:szCs w:val="18"/>
              </w:rPr>
              <w:t xml:space="preserve">LiteLLM + spaced-repetition scheduler</w:t>
            </w:r>
          </w:p>
        </w:tc>
        <w:tc>
          <w:tcPr>
            <w:tcW w:type="dxa" w:w="900"/>
            <w:tcMar>
              <w:top w:type="dxa" w:w="70"/>
              <w:left w:type="dxa" w:w="100"/>
              <w:bottom w:type="dxa" w:w="70"/>
              <w:right w:type="dxa" w:w="100"/>
            </w:tcMar>
            <w:vAlign w:val="center"/>
          </w:tcPr>
          <w:p>
            <w:r>
              <w:rPr>
                <w:b w:val="false"/>
                <w:bCs w:val="false"/>
                <w:color w:val="1F2328"/>
                <w:sz w:val="18"/>
                <w:szCs w:val="18"/>
              </w:rPr>
              <w:t xml:space="preserve">P2</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Sector Talent Packs (engineering, care, ICT/AI)</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Pre-assembled, pre-evaluated graduate cohorts for European shortage sectors, mirroring i3 Talent Cloud's Sector Talent Packs</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Talent Graph query views</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P2</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Mission Control dashboard for SIT operations</w:t>
            </w:r>
          </w:p>
        </w:tc>
        <w:tc>
          <w:tcPr>
            <w:tcW w:type="dxa" w:w="4200"/>
            <w:tcMar>
              <w:top w:type="dxa" w:w="70"/>
              <w:left w:type="dxa" w:w="100"/>
              <w:bottom w:type="dxa" w:w="70"/>
              <w:right w:type="dxa" w:w="100"/>
            </w:tcMar>
            <w:vAlign w:val="center"/>
          </w:tcPr>
          <w:p>
            <w:r>
              <w:rPr>
                <w:b w:val="false"/>
                <w:bCs w:val="false"/>
                <w:color w:val="1F2328"/>
                <w:sz w:val="18"/>
                <w:szCs w:val="18"/>
              </w:rPr>
              <w:t xml:space="preserve">Live dashboard of enrollment, exam pass rate, placement pipeline, eCitizen volume and center revenue</w:t>
            </w:r>
          </w:p>
        </w:tc>
        <w:tc>
          <w:tcPr>
            <w:tcW w:type="dxa" w:w="1600"/>
            <w:tcMar>
              <w:top w:type="dxa" w:w="70"/>
              <w:left w:type="dxa" w:w="100"/>
              <w:bottom w:type="dxa" w:w="70"/>
              <w:right w:type="dxa" w:w="100"/>
            </w:tcMar>
            <w:vAlign w:val="center"/>
          </w:tcPr>
          <w:p>
            <w:r>
              <w:rPr>
                <w:b w:val="false"/>
                <w:bCs w:val="false"/>
                <w:color w:val="1F2328"/>
                <w:sz w:val="18"/>
                <w:szCs w:val="18"/>
              </w:rPr>
              <w:t xml:space="preserve">Grafana + Prometheus</w:t>
            </w:r>
          </w:p>
        </w:tc>
        <w:tc>
          <w:tcPr>
            <w:tcW w:type="dxa" w:w="900"/>
            <w:tcMar>
              <w:top w:type="dxa" w:w="70"/>
              <w:left w:type="dxa" w:w="100"/>
              <w:bottom w:type="dxa" w:w="70"/>
              <w:right w:type="dxa" w:w="100"/>
            </w:tcMar>
            <w:vAlign w:val="center"/>
          </w:tcPr>
          <w:p>
            <w:r>
              <w:rPr>
                <w:b w:val="false"/>
                <w:bCs w:val="false"/>
                <w:color w:val="1F2328"/>
                <w:sz w:val="18"/>
                <w:szCs w:val="18"/>
              </w:rPr>
              <w:t xml:space="preserve">P2</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Social-robot / AR storybook pilots for community outreach programs</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Optional inclusion/engagement pilot for SIT's broader community footprint, per Global EdTech Report UC-019</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Evaluate post-pilot; no current platform dependency</w:t>
            </w:r>
          </w:p>
        </w:tc>
        <w:tc>
          <w:tcPr>
            <w:tcW w:type="dxa" w:w="900"/>
            <w:shd w:fill="F2F2F2" w:val="clear"/>
            <w:tcMar>
              <w:top w:type="dxa" w:w="70"/>
              <w:left w:type="dxa" w:w="100"/>
              <w:bottom w:type="dxa" w:w="70"/>
              <w:right w:type="dxa" w:w="100"/>
            </w:tcMar>
            <w:vAlign w:val="center"/>
          </w:tcPr>
          <w:p>
            <w:r>
              <w:rPr>
                <w:b w:val="false"/>
                <w:bCs w:val="false"/>
                <w:color w:val="1F2328"/>
                <w:sz w:val="18"/>
                <w:szCs w:val="18"/>
              </w:rPr>
              <w:t xml:space="preserve">P3</w:t>
            </w:r>
          </w:p>
        </w:tc>
      </w:tr>
    </w:tbl>
    <w:p>
      <w:pPr>
        <w:spacing w:after="200"/>
      </w:pPr>
    </w:p>
    <w:p>
      <w:pPr>
        <w:pStyle w:val="Heading1"/>
        <w:pBdr>
          <w:bottom w:val="single" w:color="14213D" w:sz="6" w:space="4"/>
        </w:pBdr>
        <w:spacing w:after="200" w:before="400"/>
      </w:pPr>
      <w:r>
        <w:rPr>
          <w:b/>
          <w:bCs/>
          <w:color w:val="14213D"/>
          <w:sz w:val="30"/>
          <w:szCs w:val="30"/>
        </w:rPr>
        <w:t xml:space="preserve">16. Governance, Security &amp; Compliance</w:t>
      </w:r>
    </w:p>
    <w:p>
      <w:pPr>
        <w:spacing w:after="160"/>
      </w:pPr>
      <w:r>
        <w:rPr>
          <w:color w:val="1F2328"/>
          <w:sz w:val="21"/>
          <w:szCs w:val="21"/>
        </w:rPr>
        <w:t xml:space="preserve">Because SIT processes learner personal data, biometric exam data, government-service filings, and AI-generated scores that affect livelihoods and educational outcomes, it inherits the same governance discipline already defined for i3's agentic platforms.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4213D" w:val="clear"/>
            <w:tcMar>
              <w:top w:type="dxa" w:w="80"/>
              <w:left w:type="dxa" w:w="100"/>
              <w:bottom w:type="dxa" w:w="80"/>
              <w:right w:type="dxa" w:w="100"/>
            </w:tcMar>
            <w:vAlign w:val="center"/>
          </w:tcPr>
          <w:p>
            <w:r>
              <w:rPr>
                <w:b/>
                <w:bCs/>
                <w:color w:val="FFFFFF"/>
                <w:sz w:val="18"/>
                <w:szCs w:val="18"/>
              </w:rPr>
              <w:t xml:space="preserve">Control</w:t>
            </w:r>
          </w:p>
        </w:tc>
        <w:tc>
          <w:tcPr>
            <w:tcW w:type="dxa" w:w="6700"/>
            <w:shd w:fill="14213D" w:val="clear"/>
            <w:tcMar>
              <w:top w:type="dxa" w:w="80"/>
              <w:left w:type="dxa" w:w="100"/>
              <w:bottom w:type="dxa" w:w="80"/>
              <w:right w:type="dxa" w:w="100"/>
            </w:tcMar>
            <w:vAlign w:val="center"/>
          </w:tcPr>
          <w:p>
            <w:r>
              <w:rPr>
                <w:b/>
                <w:bCs/>
                <w:color w:val="FFFFFF"/>
                <w:sz w:val="18"/>
                <w:szCs w:val="18"/>
              </w:rPr>
              <w:t xml:space="preserve">Design Rule</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Learner &amp; citizen consent</w:t>
            </w:r>
          </w:p>
        </w:tc>
        <w:tc>
          <w:tcPr>
            <w:tcW w:type="dxa" w:w="6700"/>
            <w:tcMar>
              <w:top w:type="dxa" w:w="70"/>
              <w:left w:type="dxa" w:w="100"/>
              <w:bottom w:type="dxa" w:w="70"/>
              <w:right w:type="dxa" w:w="100"/>
            </w:tcMar>
            <w:vAlign w:val="center"/>
          </w:tcPr>
          <w:p>
            <w:r>
              <w:rPr>
                <w:b w:val="false"/>
                <w:bCs w:val="false"/>
                <w:color w:val="1F2328"/>
                <w:sz w:val="18"/>
                <w:szCs w:val="18"/>
              </w:rPr>
              <w:t xml:space="preserve">Explicit opt-in for data processing, biometric capture, eCitizen filing on their behalf, and Talent Graph inclusion post-graduation</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ODPC data-controller registration</w:t>
            </w:r>
          </w:p>
        </w:tc>
        <w:tc>
          <w:tcPr>
            <w:tcW w:type="dxa" w:w="6700"/>
            <w:shd w:fill="F2F2F2" w:val="clear"/>
            <w:tcMar>
              <w:top w:type="dxa" w:w="70"/>
              <w:left w:type="dxa" w:w="100"/>
              <w:bottom w:type="dxa" w:w="70"/>
              <w:right w:type="dxa" w:w="100"/>
            </w:tcMar>
            <w:vAlign w:val="center"/>
          </w:tcPr>
          <w:p>
            <w:r>
              <w:rPr>
                <w:b w:val="false"/>
                <w:bCs w:val="false"/>
                <w:color w:val="1F2328"/>
                <w:sz w:val="18"/>
                <w:szCs w:val="18"/>
              </w:rPr>
              <w:t xml:space="preserve">Mandatory before any eCitizen case or learner biometric data is processed</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Exam integrity fairness review</w:t>
            </w:r>
          </w:p>
        </w:tc>
        <w:tc>
          <w:tcPr>
            <w:tcW w:type="dxa" w:w="6700"/>
            <w:tcMar>
              <w:top w:type="dxa" w:w="70"/>
              <w:left w:type="dxa" w:w="100"/>
              <w:bottom w:type="dxa" w:w="70"/>
              <w:right w:type="dxa" w:w="100"/>
            </w:tcMar>
            <w:vAlign w:val="center"/>
          </w:tcPr>
          <w:p>
            <w:r>
              <w:rPr>
                <w:b w:val="false"/>
                <w:bCs w:val="false"/>
                <w:color w:val="1F2328"/>
                <w:sz w:val="18"/>
                <w:szCs w:val="18"/>
              </w:rPr>
              <w:t xml:space="preserve">Compliance &amp; Integrity Agent scoring logic periodically reviewed for bias; disputed results escalate to a human reviewer, never resolved by AI alone</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Evidence trail</w:t>
            </w:r>
          </w:p>
        </w:tc>
        <w:tc>
          <w:tcPr>
            <w:tcW w:type="dxa" w:w="6700"/>
            <w:shd w:fill="F2F2F2" w:val="clear"/>
            <w:tcMar>
              <w:top w:type="dxa" w:w="70"/>
              <w:left w:type="dxa" w:w="100"/>
              <w:bottom w:type="dxa" w:w="70"/>
              <w:right w:type="dxa" w:w="100"/>
            </w:tcMar>
            <w:vAlign w:val="center"/>
          </w:tcPr>
          <w:p>
            <w:r>
              <w:rPr>
                <w:b w:val="false"/>
                <w:bCs w:val="false"/>
                <w:color w:val="1F2328"/>
                <w:sz w:val="18"/>
                <w:szCs w:val="18"/>
              </w:rPr>
              <w:t xml:space="preserve">Every AI tutor score, integrity flag, eCitizen filing decision and placement match carries a Langfuse-traced record</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Access control</w:t>
            </w:r>
          </w:p>
        </w:tc>
        <w:tc>
          <w:tcPr>
            <w:tcW w:type="dxa" w:w="6700"/>
            <w:tcMar>
              <w:top w:type="dxa" w:w="70"/>
              <w:left w:type="dxa" w:w="100"/>
              <w:bottom w:type="dxa" w:w="70"/>
              <w:right w:type="dxa" w:w="100"/>
            </w:tcMar>
            <w:vAlign w:val="center"/>
          </w:tcPr>
          <w:p>
            <w:r>
              <w:rPr>
                <w:b w:val="false"/>
                <w:bCs w:val="false"/>
                <w:color w:val="1F2328"/>
                <w:sz w:val="18"/>
                <w:szCs w:val="18"/>
              </w:rPr>
              <w:t xml:space="preserve">Keycloak-scoped access — professionals see only their bookings, employers see only authorized shortlists, staff see only their center's data</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Child protection</w:t>
            </w:r>
          </w:p>
        </w:tc>
        <w:tc>
          <w:tcPr>
            <w:tcW w:type="dxa" w:w="6700"/>
            <w:shd w:fill="F2F2F2" w:val="clear"/>
            <w:tcMar>
              <w:top w:type="dxa" w:w="70"/>
              <w:left w:type="dxa" w:w="100"/>
              <w:bottom w:type="dxa" w:w="70"/>
              <w:right w:type="dxa" w:w="100"/>
            </w:tcMar>
            <w:vAlign w:val="center"/>
          </w:tcPr>
          <w:p>
            <w:r>
              <w:rPr>
                <w:b w:val="false"/>
                <w:bCs w:val="false"/>
                <w:color w:val="1F2328"/>
                <w:sz w:val="18"/>
                <w:szCs w:val="18"/>
              </w:rPr>
              <w:t xml:space="preserve">Age-appropriate access controls and content filtering for any under-18 learners in secondary-support streams (IGCSE/KCSE)</w:t>
            </w:r>
          </w:p>
        </w:tc>
      </w:tr>
      <w:tr>
        <w:tc>
          <w:tcPr>
            <w:tcW w:type="dxa" w:w="2600"/>
            <w:tcMar>
              <w:top w:type="dxa" w:w="70"/>
              <w:left w:type="dxa" w:w="100"/>
              <w:bottom w:type="dxa" w:w="70"/>
              <w:right w:type="dxa" w:w="100"/>
            </w:tcMar>
            <w:vAlign w:val="center"/>
          </w:tcPr>
          <w:p>
            <w:r>
              <w:rPr>
                <w:b w:val="false"/>
                <w:bCs w:val="false"/>
                <w:color w:val="1F2328"/>
                <w:sz w:val="18"/>
                <w:szCs w:val="18"/>
              </w:rPr>
              <w:t xml:space="preserve">Confidential document handling</w:t>
            </w:r>
          </w:p>
        </w:tc>
        <w:tc>
          <w:tcPr>
            <w:tcW w:type="dxa" w:w="6700"/>
            <w:tcMar>
              <w:top w:type="dxa" w:w="70"/>
              <w:left w:type="dxa" w:w="100"/>
              <w:bottom w:type="dxa" w:w="70"/>
              <w:right w:type="dxa" w:w="100"/>
            </w:tcMar>
            <w:vAlign w:val="center"/>
          </w:tcPr>
          <w:p>
            <w:r>
              <w:rPr>
                <w:b w:val="false"/>
                <w:bCs w:val="false"/>
                <w:color w:val="1F2328"/>
                <w:sz w:val="18"/>
                <w:szCs w:val="18"/>
              </w:rPr>
              <w:t xml:space="preserve">eCitizen filing documents and professional-service records purged per a defined retention policy after case closure</w:t>
            </w:r>
          </w:p>
        </w:tc>
      </w:tr>
      <w:tr>
        <w:tc>
          <w:tcPr>
            <w:tcW w:type="dxa" w:w="2600"/>
            <w:shd w:fill="F2F2F2" w:val="clear"/>
            <w:tcMar>
              <w:top w:type="dxa" w:w="70"/>
              <w:left w:type="dxa" w:w="100"/>
              <w:bottom w:type="dxa" w:w="70"/>
              <w:right w:type="dxa" w:w="100"/>
            </w:tcMar>
            <w:vAlign w:val="center"/>
          </w:tcPr>
          <w:p>
            <w:r>
              <w:rPr>
                <w:b w:val="false"/>
                <w:bCs w:val="false"/>
                <w:color w:val="1F2328"/>
                <w:sz w:val="18"/>
                <w:szCs w:val="18"/>
              </w:rPr>
              <w:t xml:space="preserve">Human approval gate</w:t>
            </w:r>
          </w:p>
        </w:tc>
        <w:tc>
          <w:tcPr>
            <w:tcW w:type="dxa" w:w="6700"/>
            <w:shd w:fill="F2F2F2" w:val="clear"/>
            <w:tcMar>
              <w:top w:type="dxa" w:w="70"/>
              <w:left w:type="dxa" w:w="100"/>
              <w:bottom w:type="dxa" w:w="70"/>
              <w:right w:type="dxa" w:w="100"/>
            </w:tcMar>
            <w:vAlign w:val="center"/>
          </w:tcPr>
          <w:p>
            <w:r>
              <w:rPr>
                <w:b w:val="false"/>
                <w:bCs w:val="false"/>
                <w:color w:val="1F2328"/>
                <w:sz w:val="18"/>
                <w:szCs w:val="18"/>
              </w:rPr>
              <w:t xml:space="preserve">No exam-result override, credential issuance, or placement confirmation is finalized by AI recommendation alone</w:t>
            </w:r>
          </w:p>
        </w:tc>
      </w:tr>
    </w:tbl>
    <w:p>
      <w:pPr>
        <w:spacing w:after="200"/>
      </w:pPr>
    </w:p>
    <w:p>
      <w:pPr>
        <w:pStyle w:val="Heading1"/>
        <w:pBdr>
          <w:bottom w:val="single" w:color="14213D" w:sz="6" w:space="4"/>
        </w:pBdr>
        <w:spacing w:after="200" w:before="400"/>
      </w:pPr>
      <w:r>
        <w:rPr>
          <w:b/>
          <w:bCs/>
          <w:color w:val="14213D"/>
          <w:sz w:val="30"/>
          <w:szCs w:val="30"/>
        </w:rPr>
        <w:t xml:space="preserve">17. New Build List — What Actually Needs To Be Built</w:t>
      </w:r>
    </w:p>
    <w:p>
      <w:pPr>
        <w:spacing w:after="160"/>
      </w:pPr>
      <w:r>
        <w:rPr>
          <w:color w:val="1F2328"/>
          <w:sz w:val="21"/>
          <w:szCs w:val="21"/>
        </w:rPr>
        <w:t xml:space="preserve">Consistent with the i3 Talent Cloud integration strategy's finding that 'this is a productisation exercise, not a new platform build,' the SIT build list below is deliberately short.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1200"/>
        <w:gridCol w:w="1400"/>
      </w:tblGrid>
      <w:tr>
        <w:trPr>
          <w:tblHeader/>
        </w:trPr>
        <w:tc>
          <w:tcPr>
            <w:tcW w:type="dxa" w:w="400"/>
            <w:shd w:fill="14213D" w:val="clear"/>
            <w:tcMar>
              <w:top w:type="dxa" w:w="80"/>
              <w:left w:type="dxa" w:w="100"/>
              <w:bottom w:type="dxa" w:w="80"/>
              <w:right w:type="dxa" w:w="100"/>
            </w:tcMar>
            <w:vAlign w:val="center"/>
          </w:tcPr>
          <w:p>
            <w:r>
              <w:rPr>
                <w:b/>
                <w:bCs/>
                <w:color w:val="FFFFFF"/>
                <w:sz w:val="18"/>
                <w:szCs w:val="18"/>
              </w:rPr>
              <w:t xml:space="preserve">#</w:t>
            </w:r>
          </w:p>
        </w:tc>
        <w:tc>
          <w:tcPr>
            <w:tcW w:type="dxa" w:w="4200"/>
            <w:shd w:fill="14213D" w:val="clear"/>
            <w:tcMar>
              <w:top w:type="dxa" w:w="80"/>
              <w:left w:type="dxa" w:w="100"/>
              <w:bottom w:type="dxa" w:w="80"/>
              <w:right w:type="dxa" w:w="100"/>
            </w:tcMar>
            <w:vAlign w:val="center"/>
          </w:tcPr>
          <w:p>
            <w:r>
              <w:rPr>
                <w:b/>
                <w:bCs/>
                <w:color w:val="FFFFFF"/>
                <w:sz w:val="18"/>
                <w:szCs w:val="18"/>
              </w:rPr>
              <w:t xml:space="preserve">Component</w:t>
            </w:r>
          </w:p>
        </w:tc>
        <w:tc>
          <w:tcPr>
            <w:tcW w:type="dxa" w:w="1800"/>
            <w:shd w:fill="14213D" w:val="clear"/>
            <w:tcMar>
              <w:top w:type="dxa" w:w="80"/>
              <w:left w:type="dxa" w:w="100"/>
              <w:bottom w:type="dxa" w:w="80"/>
              <w:right w:type="dxa" w:w="100"/>
            </w:tcMar>
            <w:vAlign w:val="center"/>
          </w:tcPr>
          <w:p>
            <w:r>
              <w:rPr>
                <w:b/>
                <w:bCs/>
                <w:color w:val="FFFFFF"/>
                <w:sz w:val="18"/>
                <w:szCs w:val="18"/>
              </w:rPr>
              <w:t xml:space="preserve">Type</w:t>
            </w:r>
          </w:p>
        </w:tc>
        <w:tc>
          <w:tcPr>
            <w:tcW w:type="dxa" w:w="1200"/>
            <w:shd w:fill="14213D" w:val="clear"/>
            <w:tcMar>
              <w:top w:type="dxa" w:w="80"/>
              <w:left w:type="dxa" w:w="100"/>
              <w:bottom w:type="dxa" w:w="80"/>
              <w:right w:type="dxa" w:w="100"/>
            </w:tcMar>
            <w:vAlign w:val="center"/>
          </w:tcPr>
          <w:p>
            <w:r>
              <w:rPr>
                <w:b/>
                <w:bCs/>
                <w:color w:val="FFFFFF"/>
                <w:sz w:val="18"/>
                <w:szCs w:val="18"/>
              </w:rPr>
              <w:t xml:space="preserve">Phase</w:t>
            </w:r>
          </w:p>
        </w:tc>
        <w:tc>
          <w:tcPr>
            <w:tcW w:type="dxa" w:w="1400"/>
            <w:shd w:fill="14213D" w:val="clear"/>
            <w:tcMar>
              <w:top w:type="dxa" w:w="80"/>
              <w:left w:type="dxa" w:w="100"/>
              <w:bottom w:type="dxa" w:w="80"/>
              <w:right w:type="dxa" w:w="100"/>
            </w:tcMar>
            <w:vAlign w:val="center"/>
          </w:tcPr>
          <w:p>
            <w:r>
              <w:rPr>
                <w:b/>
                <w:bCs/>
                <w:color w:val="FFFFFF"/>
                <w:sz w:val="18"/>
                <w:szCs w:val="18"/>
              </w:rPr>
              <w:t xml:space="preserve">Effort</w:t>
            </w:r>
          </w:p>
        </w:tc>
      </w:tr>
      <w:tr>
        <w:tc>
          <w:tcPr>
            <w:tcW w:type="dxa" w:w="400"/>
            <w:tcMar>
              <w:top w:type="dxa" w:w="70"/>
              <w:left w:type="dxa" w:w="100"/>
              <w:bottom w:type="dxa" w:w="70"/>
              <w:right w:type="dxa" w:w="100"/>
            </w:tcMar>
            <w:vAlign w:val="center"/>
          </w:tcPr>
          <w:p>
            <w:r>
              <w:rPr>
                <w:b w:val="false"/>
                <w:bCs w:val="false"/>
                <w:color w:val="1F2328"/>
                <w:sz w:val="18"/>
                <w:szCs w:val="18"/>
              </w:rPr>
              <w:t xml:space="preserve">1</w:t>
            </w:r>
          </w:p>
        </w:tc>
        <w:tc>
          <w:tcPr>
            <w:tcW w:type="dxa" w:w="4200"/>
            <w:tcMar>
              <w:top w:type="dxa" w:w="70"/>
              <w:left w:type="dxa" w:w="100"/>
              <w:bottom w:type="dxa" w:w="70"/>
              <w:right w:type="dxa" w:w="100"/>
            </w:tcMar>
            <w:vAlign w:val="center"/>
          </w:tcPr>
          <w:p>
            <w:r>
              <w:rPr>
                <w:b w:val="false"/>
                <w:bCs w:val="false"/>
                <w:color w:val="1F2328"/>
                <w:sz w:val="18"/>
                <w:szCs w:val="18"/>
              </w:rPr>
              <w:t xml:space="preserve">sit_db PostgreSQL schema (11 tables, Section 6)</w:t>
            </w:r>
          </w:p>
        </w:tc>
        <w:tc>
          <w:tcPr>
            <w:tcW w:type="dxa" w:w="1800"/>
            <w:tcMar>
              <w:top w:type="dxa" w:w="70"/>
              <w:left w:type="dxa" w:w="100"/>
              <w:bottom w:type="dxa" w:w="70"/>
              <w:right w:type="dxa" w:w="100"/>
            </w:tcMar>
            <w:vAlign w:val="center"/>
          </w:tcPr>
          <w:p>
            <w:r>
              <w:rPr>
                <w:b w:val="false"/>
                <w:bCs w:val="false"/>
                <w:color w:val="1F2328"/>
                <w:sz w:val="18"/>
                <w:szCs w:val="18"/>
              </w:rPr>
              <w:t xml:space="preserve">SQL migration</w:t>
            </w:r>
          </w:p>
        </w:tc>
        <w:tc>
          <w:tcPr>
            <w:tcW w:type="dxa" w:w="1200"/>
            <w:tcMar>
              <w:top w:type="dxa" w:w="70"/>
              <w:left w:type="dxa" w:w="100"/>
              <w:bottom w:type="dxa" w:w="70"/>
              <w:right w:type="dxa" w:w="100"/>
            </w:tcMar>
            <w:vAlign w:val="center"/>
          </w:tcPr>
          <w:p>
            <w:r>
              <w:rPr>
                <w:b w:val="false"/>
                <w:bCs w:val="false"/>
                <w:color w:val="1F2328"/>
                <w:sz w:val="18"/>
                <w:szCs w:val="18"/>
              </w:rPr>
              <w:t xml:space="preserve">Phase 0</w:t>
            </w:r>
          </w:p>
        </w:tc>
        <w:tc>
          <w:tcPr>
            <w:tcW w:type="dxa" w:w="1400"/>
            <w:tcMar>
              <w:top w:type="dxa" w:w="70"/>
              <w:left w:type="dxa" w:w="100"/>
              <w:bottom w:type="dxa" w:w="70"/>
              <w:right w:type="dxa" w:w="100"/>
            </w:tcMar>
            <w:vAlign w:val="center"/>
          </w:tcPr>
          <w:p>
            <w:r>
              <w:rPr>
                <w:b w:val="false"/>
                <w:bCs w:val="false"/>
                <w:color w:val="1F2328"/>
                <w:sz w:val="18"/>
                <w:szCs w:val="18"/>
              </w:rPr>
              <w:t xml:space="preserve">2 days</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2</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sit-api (FastAPI) — enrollment, exam booking, membership, eCitizen case CRUD</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New service</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0</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7–10 days</w:t>
            </w:r>
          </w:p>
        </w:tc>
      </w:tr>
      <w:tr>
        <w:tc>
          <w:tcPr>
            <w:tcW w:type="dxa" w:w="400"/>
            <w:tcMar>
              <w:top w:type="dxa" w:w="70"/>
              <w:left w:type="dxa" w:w="100"/>
              <w:bottom w:type="dxa" w:w="70"/>
              <w:right w:type="dxa" w:w="100"/>
            </w:tcMar>
            <w:vAlign w:val="center"/>
          </w:tcPr>
          <w:p>
            <w:r>
              <w:rPr>
                <w:b w:val="false"/>
                <w:bCs w:val="false"/>
                <w:color w:val="1F2328"/>
                <w:sz w:val="18"/>
                <w:szCs w:val="18"/>
              </w:rPr>
              <w:t xml:space="preserve">3</w:t>
            </w:r>
          </w:p>
        </w:tc>
        <w:tc>
          <w:tcPr>
            <w:tcW w:type="dxa" w:w="4200"/>
            <w:tcMar>
              <w:top w:type="dxa" w:w="70"/>
              <w:left w:type="dxa" w:w="100"/>
              <w:bottom w:type="dxa" w:w="70"/>
              <w:right w:type="dxa" w:w="100"/>
            </w:tcMar>
            <w:vAlign w:val="center"/>
          </w:tcPr>
          <w:p>
            <w:r>
              <w:rPr>
                <w:b w:val="false"/>
                <w:bCs w:val="false"/>
                <w:color w:val="1F2328"/>
                <w:sz w:val="18"/>
                <w:szCs w:val="18"/>
              </w:rPr>
              <w:t xml:space="preserve">Keycloak client sit + realm roles (learner, staff, professional, member, employer)</w:t>
            </w:r>
          </w:p>
        </w:tc>
        <w:tc>
          <w:tcPr>
            <w:tcW w:type="dxa" w:w="1800"/>
            <w:tcMar>
              <w:top w:type="dxa" w:w="70"/>
              <w:left w:type="dxa" w:w="100"/>
              <w:bottom w:type="dxa" w:w="70"/>
              <w:right w:type="dxa" w:w="100"/>
            </w:tcMar>
            <w:vAlign w:val="center"/>
          </w:tcPr>
          <w:p>
            <w:r>
              <w:rPr>
                <w:b w:val="false"/>
                <w:bCs w:val="false"/>
                <w:color w:val="1F2328"/>
                <w:sz w:val="18"/>
                <w:szCs w:val="18"/>
              </w:rPr>
              <w:t xml:space="preserve">Keycloak config</w:t>
            </w:r>
          </w:p>
        </w:tc>
        <w:tc>
          <w:tcPr>
            <w:tcW w:type="dxa" w:w="1200"/>
            <w:tcMar>
              <w:top w:type="dxa" w:w="70"/>
              <w:left w:type="dxa" w:w="100"/>
              <w:bottom w:type="dxa" w:w="70"/>
              <w:right w:type="dxa" w:w="100"/>
            </w:tcMar>
            <w:vAlign w:val="center"/>
          </w:tcPr>
          <w:p>
            <w:r>
              <w:rPr>
                <w:b w:val="false"/>
                <w:bCs w:val="false"/>
                <w:color w:val="1F2328"/>
                <w:sz w:val="18"/>
                <w:szCs w:val="18"/>
              </w:rPr>
              <w:t xml:space="preserve">Phase 0</w:t>
            </w:r>
          </w:p>
        </w:tc>
        <w:tc>
          <w:tcPr>
            <w:tcW w:type="dxa" w:w="1400"/>
            <w:tcMar>
              <w:top w:type="dxa" w:w="70"/>
              <w:left w:type="dxa" w:w="100"/>
              <w:bottom w:type="dxa" w:w="70"/>
              <w:right w:type="dxa" w:w="100"/>
            </w:tcMar>
            <w:vAlign w:val="center"/>
          </w:tcPr>
          <w:p>
            <w:r>
              <w:rPr>
                <w:b w:val="false"/>
                <w:bCs w:val="false"/>
                <w:color w:val="1F2328"/>
                <w:sz w:val="18"/>
                <w:szCs w:val="18"/>
              </w:rPr>
              <w:t xml:space="preserve">1 day</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4</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SeaweedFS buckets: sit-materials, sit-certs, sit-professional-docs, sit-ecitizen-docs</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S3 bucket create</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0</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1 day</w:t>
            </w:r>
          </w:p>
        </w:tc>
      </w:tr>
      <w:tr>
        <w:tc>
          <w:tcPr>
            <w:tcW w:type="dxa" w:w="400"/>
            <w:tcMar>
              <w:top w:type="dxa" w:w="70"/>
              <w:left w:type="dxa" w:w="100"/>
              <w:bottom w:type="dxa" w:w="70"/>
              <w:right w:type="dxa" w:w="100"/>
            </w:tcMar>
            <w:vAlign w:val="center"/>
          </w:tcPr>
          <w:p>
            <w:r>
              <w:rPr>
                <w:b w:val="false"/>
                <w:bCs w:val="false"/>
                <w:color w:val="1F2328"/>
                <w:sz w:val="18"/>
                <w:szCs w:val="18"/>
              </w:rPr>
              <w:t xml:space="preserve">5</w:t>
            </w:r>
          </w:p>
        </w:tc>
        <w:tc>
          <w:tcPr>
            <w:tcW w:type="dxa" w:w="4200"/>
            <w:tcMar>
              <w:top w:type="dxa" w:w="70"/>
              <w:left w:type="dxa" w:w="100"/>
              <w:bottom w:type="dxa" w:w="70"/>
              <w:right w:type="dxa" w:w="100"/>
            </w:tcMar>
            <w:vAlign w:val="center"/>
          </w:tcPr>
          <w:p>
            <w:r>
              <w:rPr>
                <w:b w:val="false"/>
                <w:bCs w:val="false"/>
                <w:color w:val="1F2328"/>
                <w:sz w:val="18"/>
                <w:szCs w:val="18"/>
              </w:rPr>
              <w:t xml:space="preserve">ChromaDB collection sit-curriculum + embedding pipeline</w:t>
            </w:r>
          </w:p>
        </w:tc>
        <w:tc>
          <w:tcPr>
            <w:tcW w:type="dxa" w:w="1800"/>
            <w:tcMar>
              <w:top w:type="dxa" w:w="70"/>
              <w:left w:type="dxa" w:w="100"/>
              <w:bottom w:type="dxa" w:w="70"/>
              <w:right w:type="dxa" w:w="100"/>
            </w:tcMar>
            <w:vAlign w:val="center"/>
          </w:tcPr>
          <w:p>
            <w:r>
              <w:rPr>
                <w:b w:val="false"/>
                <w:bCs w:val="false"/>
                <w:color w:val="1F2328"/>
                <w:sz w:val="18"/>
                <w:szCs w:val="18"/>
              </w:rPr>
              <w:t xml:space="preserve">New collection + endpoint</w:t>
            </w:r>
          </w:p>
        </w:tc>
        <w:tc>
          <w:tcPr>
            <w:tcW w:type="dxa" w:w="1200"/>
            <w:tcMar>
              <w:top w:type="dxa" w:w="70"/>
              <w:left w:type="dxa" w:w="100"/>
              <w:bottom w:type="dxa" w:w="70"/>
              <w:right w:type="dxa" w:w="100"/>
            </w:tcMar>
            <w:vAlign w:val="center"/>
          </w:tcPr>
          <w:p>
            <w:r>
              <w:rPr>
                <w:b w:val="false"/>
                <w:bCs w:val="false"/>
                <w:color w:val="1F2328"/>
                <w:sz w:val="18"/>
                <w:szCs w:val="18"/>
              </w:rPr>
              <w:t xml:space="preserve">Phase 0</w:t>
            </w:r>
          </w:p>
        </w:tc>
        <w:tc>
          <w:tcPr>
            <w:tcW w:type="dxa" w:w="1400"/>
            <w:tcMar>
              <w:top w:type="dxa" w:w="70"/>
              <w:left w:type="dxa" w:w="100"/>
              <w:bottom w:type="dxa" w:w="70"/>
              <w:right w:type="dxa" w:w="100"/>
            </w:tcMar>
            <w:vAlign w:val="center"/>
          </w:tcPr>
          <w:p>
            <w:r>
              <w:rPr>
                <w:b w:val="false"/>
                <w:bCs w:val="false"/>
                <w:color w:val="1F2328"/>
                <w:sz w:val="18"/>
                <w:szCs w:val="18"/>
              </w:rPr>
              <w:t xml:space="preserve">2–3 days</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6</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n8n workflows: admissions, exam booking, eCitizen filing (x4 services), score/credential decay</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n8n workflow JSON</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0–1</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5–7 days</w:t>
            </w:r>
          </w:p>
        </w:tc>
      </w:tr>
      <w:tr>
        <w:tc>
          <w:tcPr>
            <w:tcW w:type="dxa" w:w="400"/>
            <w:tcMar>
              <w:top w:type="dxa" w:w="70"/>
              <w:left w:type="dxa" w:w="100"/>
              <w:bottom w:type="dxa" w:w="70"/>
              <w:right w:type="dxa" w:w="100"/>
            </w:tcMar>
            <w:vAlign w:val="center"/>
          </w:tcPr>
          <w:p>
            <w:r>
              <w:rPr>
                <w:b w:val="false"/>
                <w:bCs w:val="false"/>
                <w:color w:val="1F2328"/>
                <w:sz w:val="18"/>
                <w:szCs w:val="18"/>
              </w:rPr>
              <w:t xml:space="preserve">7</w:t>
            </w:r>
          </w:p>
        </w:tc>
        <w:tc>
          <w:tcPr>
            <w:tcW w:type="dxa" w:w="4200"/>
            <w:tcMar>
              <w:top w:type="dxa" w:w="70"/>
              <w:left w:type="dxa" w:w="100"/>
              <w:bottom w:type="dxa" w:w="70"/>
              <w:right w:type="dxa" w:w="100"/>
            </w:tcMar>
            <w:vAlign w:val="center"/>
          </w:tcPr>
          <w:p>
            <w:r>
              <w:rPr>
                <w:b w:val="false"/>
                <w:bCs w:val="false"/>
                <w:color w:val="1F2328"/>
                <w:sz w:val="18"/>
                <w:szCs w:val="18"/>
              </w:rPr>
              <w:t xml:space="preserve">sit-tutor-agent, sit-registrar-agent, sit-ecitizen-agent (LiteLLM-routed)</w:t>
            </w:r>
          </w:p>
        </w:tc>
        <w:tc>
          <w:tcPr>
            <w:tcW w:type="dxa" w:w="1800"/>
            <w:tcMar>
              <w:top w:type="dxa" w:w="70"/>
              <w:left w:type="dxa" w:w="100"/>
              <w:bottom w:type="dxa" w:w="70"/>
              <w:right w:type="dxa" w:w="100"/>
            </w:tcMar>
            <w:vAlign w:val="center"/>
          </w:tcPr>
          <w:p>
            <w:r>
              <w:rPr>
                <w:b w:val="false"/>
                <w:bCs w:val="false"/>
                <w:color w:val="1F2328"/>
                <w:sz w:val="18"/>
                <w:szCs w:val="18"/>
              </w:rPr>
              <w:t xml:space="preserve">New agent services</w:t>
            </w:r>
          </w:p>
        </w:tc>
        <w:tc>
          <w:tcPr>
            <w:tcW w:type="dxa" w:w="1200"/>
            <w:tcMar>
              <w:top w:type="dxa" w:w="70"/>
              <w:left w:type="dxa" w:w="100"/>
              <w:bottom w:type="dxa" w:w="70"/>
              <w:right w:type="dxa" w:w="100"/>
            </w:tcMar>
            <w:vAlign w:val="center"/>
          </w:tcPr>
          <w:p>
            <w:r>
              <w:rPr>
                <w:b w:val="false"/>
                <w:bCs w:val="false"/>
                <w:color w:val="1F2328"/>
                <w:sz w:val="18"/>
                <w:szCs w:val="18"/>
              </w:rPr>
              <w:t xml:space="preserve">Phase 1</w:t>
            </w:r>
          </w:p>
        </w:tc>
        <w:tc>
          <w:tcPr>
            <w:tcW w:type="dxa" w:w="1400"/>
            <w:tcMar>
              <w:top w:type="dxa" w:w="70"/>
              <w:left w:type="dxa" w:w="100"/>
              <w:bottom w:type="dxa" w:w="70"/>
              <w:right w:type="dxa" w:w="100"/>
            </w:tcMar>
            <w:vAlign w:val="center"/>
          </w:tcPr>
          <w:p>
            <w:r>
              <w:rPr>
                <w:b w:val="false"/>
                <w:bCs w:val="false"/>
                <w:color w:val="1F2328"/>
                <w:sz w:val="18"/>
                <w:szCs w:val="18"/>
              </w:rPr>
              <w:t xml:space="preserve">10–14 days</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8</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sit-compliance-agent — extend EvalOS/Zuri AI pattern for biometric e-proctoring &amp; plagiarism</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Extend evalos-web + Zuri AI</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1</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7–10 days</w:t>
            </w:r>
          </w:p>
        </w:tc>
      </w:tr>
      <w:tr>
        <w:tc>
          <w:tcPr>
            <w:tcW w:type="dxa" w:w="400"/>
            <w:tcMar>
              <w:top w:type="dxa" w:w="70"/>
              <w:left w:type="dxa" w:w="100"/>
              <w:bottom w:type="dxa" w:w="70"/>
              <w:right w:type="dxa" w:w="100"/>
            </w:tcMar>
            <w:vAlign w:val="center"/>
          </w:tcPr>
          <w:p>
            <w:r>
              <w:rPr>
                <w:b w:val="false"/>
                <w:bCs w:val="false"/>
                <w:color w:val="1F2328"/>
                <w:sz w:val="18"/>
                <w:szCs w:val="18"/>
              </w:rPr>
              <w:t xml:space="preserve">9</w:t>
            </w:r>
          </w:p>
        </w:tc>
        <w:tc>
          <w:tcPr>
            <w:tcW w:type="dxa" w:w="4200"/>
            <w:tcMar>
              <w:top w:type="dxa" w:w="70"/>
              <w:left w:type="dxa" w:w="100"/>
              <w:bottom w:type="dxa" w:w="70"/>
              <w:right w:type="dxa" w:w="100"/>
            </w:tcMar>
            <w:vAlign w:val="center"/>
          </w:tcPr>
          <w:p>
            <w:r>
              <w:rPr>
                <w:b w:val="false"/>
                <w:bCs w:val="false"/>
                <w:color w:val="1F2328"/>
                <w:sz w:val="18"/>
                <w:szCs w:val="18"/>
              </w:rPr>
              <w:t xml:space="preserve">sit-web portal (Next.js 14) — learner, registrar, member, professional views</w:t>
            </w:r>
          </w:p>
        </w:tc>
        <w:tc>
          <w:tcPr>
            <w:tcW w:type="dxa" w:w="1800"/>
            <w:tcMar>
              <w:top w:type="dxa" w:w="70"/>
              <w:left w:type="dxa" w:w="100"/>
              <w:bottom w:type="dxa" w:w="70"/>
              <w:right w:type="dxa" w:w="100"/>
            </w:tcMar>
            <w:vAlign w:val="center"/>
          </w:tcPr>
          <w:p>
            <w:r>
              <w:rPr>
                <w:b w:val="false"/>
                <w:bCs w:val="false"/>
                <w:color w:val="1F2328"/>
                <w:sz w:val="18"/>
                <w:szCs w:val="18"/>
              </w:rPr>
              <w:t xml:space="preserve">New Next.js app</w:t>
            </w:r>
          </w:p>
        </w:tc>
        <w:tc>
          <w:tcPr>
            <w:tcW w:type="dxa" w:w="1200"/>
            <w:tcMar>
              <w:top w:type="dxa" w:w="70"/>
              <w:left w:type="dxa" w:w="100"/>
              <w:bottom w:type="dxa" w:w="70"/>
              <w:right w:type="dxa" w:w="100"/>
            </w:tcMar>
            <w:vAlign w:val="center"/>
          </w:tcPr>
          <w:p>
            <w:r>
              <w:rPr>
                <w:b w:val="false"/>
                <w:bCs w:val="false"/>
                <w:color w:val="1F2328"/>
                <w:sz w:val="18"/>
                <w:szCs w:val="18"/>
              </w:rPr>
              <w:t xml:space="preserve">Phase 1</w:t>
            </w:r>
          </w:p>
        </w:tc>
        <w:tc>
          <w:tcPr>
            <w:tcW w:type="dxa" w:w="1400"/>
            <w:tcMar>
              <w:top w:type="dxa" w:w="70"/>
              <w:left w:type="dxa" w:w="100"/>
              <w:bottom w:type="dxa" w:w="70"/>
              <w:right w:type="dxa" w:w="100"/>
            </w:tcMar>
            <w:vAlign w:val="center"/>
          </w:tcPr>
          <w:p>
            <w:r>
              <w:rPr>
                <w:b w:val="false"/>
                <w:bCs w:val="false"/>
                <w:color w:val="1F2328"/>
                <w:sz w:val="18"/>
                <w:szCs w:val="18"/>
              </w:rPr>
              <w:t xml:space="preserve">15–20 days</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10</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sit-credential-service — hash anchoring + QR verification + wallet API</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New service</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2</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7–10 days</w:t>
            </w:r>
          </w:p>
        </w:tc>
      </w:tr>
      <w:tr>
        <w:tc>
          <w:tcPr>
            <w:tcW w:type="dxa" w:w="400"/>
            <w:tcMar>
              <w:top w:type="dxa" w:w="70"/>
              <w:left w:type="dxa" w:w="100"/>
              <w:bottom w:type="dxa" w:w="70"/>
              <w:right w:type="dxa" w:w="100"/>
            </w:tcMar>
            <w:vAlign w:val="center"/>
          </w:tcPr>
          <w:p>
            <w:r>
              <w:rPr>
                <w:b w:val="false"/>
                <w:bCs w:val="false"/>
                <w:color w:val="1F2328"/>
                <w:sz w:val="18"/>
                <w:szCs w:val="18"/>
              </w:rPr>
              <w:t xml:space="preserve">11</w:t>
            </w:r>
          </w:p>
        </w:tc>
        <w:tc>
          <w:tcPr>
            <w:tcW w:type="dxa" w:w="4200"/>
            <w:tcMar>
              <w:top w:type="dxa" w:w="70"/>
              <w:left w:type="dxa" w:w="100"/>
              <w:bottom w:type="dxa" w:w="70"/>
              <w:right w:type="dxa" w:w="100"/>
            </w:tcMar>
            <w:vAlign w:val="center"/>
          </w:tcPr>
          <w:p>
            <w:r>
              <w:rPr>
                <w:b w:val="false"/>
                <w:bCs w:val="false"/>
                <w:color w:val="1F2328"/>
                <w:sz w:val="18"/>
                <w:szCs w:val="18"/>
              </w:rPr>
              <w:t xml:space="preserve">WebXR AR/VR lab delivery + EvalOS sandbox scoring extension</w:t>
            </w:r>
          </w:p>
        </w:tc>
        <w:tc>
          <w:tcPr>
            <w:tcW w:type="dxa" w:w="1800"/>
            <w:tcMar>
              <w:top w:type="dxa" w:w="70"/>
              <w:left w:type="dxa" w:w="100"/>
              <w:bottom w:type="dxa" w:w="70"/>
              <w:right w:type="dxa" w:w="100"/>
            </w:tcMar>
            <w:vAlign w:val="center"/>
          </w:tcPr>
          <w:p>
            <w:r>
              <w:rPr>
                <w:b w:val="false"/>
                <w:bCs w:val="false"/>
                <w:color w:val="1F2328"/>
                <w:sz w:val="18"/>
                <w:szCs w:val="18"/>
              </w:rPr>
              <w:t xml:space="preserve">New front end + extend EvalOS</w:t>
            </w:r>
          </w:p>
        </w:tc>
        <w:tc>
          <w:tcPr>
            <w:tcW w:type="dxa" w:w="1200"/>
            <w:tcMar>
              <w:top w:type="dxa" w:w="70"/>
              <w:left w:type="dxa" w:w="100"/>
              <w:bottom w:type="dxa" w:w="70"/>
              <w:right w:type="dxa" w:w="100"/>
            </w:tcMar>
            <w:vAlign w:val="center"/>
          </w:tcPr>
          <w:p>
            <w:r>
              <w:rPr>
                <w:b w:val="false"/>
                <w:bCs w:val="false"/>
                <w:color w:val="1F2328"/>
                <w:sz w:val="18"/>
                <w:szCs w:val="18"/>
              </w:rPr>
              <w:t xml:space="preserve">Phase 2</w:t>
            </w:r>
          </w:p>
        </w:tc>
        <w:tc>
          <w:tcPr>
            <w:tcW w:type="dxa" w:w="1400"/>
            <w:tcMar>
              <w:top w:type="dxa" w:w="70"/>
              <w:left w:type="dxa" w:w="100"/>
              <w:bottom w:type="dxa" w:w="70"/>
              <w:right w:type="dxa" w:w="100"/>
            </w:tcMar>
            <w:vAlign w:val="center"/>
          </w:tcPr>
          <w:p>
            <w:r>
              <w:rPr>
                <w:b w:val="false"/>
                <w:bCs w:val="false"/>
                <w:color w:val="1F2328"/>
                <w:sz w:val="18"/>
                <w:szCs w:val="18"/>
              </w:rPr>
              <w:t xml:space="preserve">12–15 days</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12</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sit-placement-agent — Talent Graph bridge (Section 14)</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New service</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2</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5–7 days</w:t>
            </w:r>
          </w:p>
        </w:tc>
      </w:tr>
      <w:tr>
        <w:tc>
          <w:tcPr>
            <w:tcW w:type="dxa" w:w="400"/>
            <w:tcMar>
              <w:top w:type="dxa" w:w="70"/>
              <w:left w:type="dxa" w:w="100"/>
              <w:bottom w:type="dxa" w:w="70"/>
              <w:right w:type="dxa" w:w="100"/>
            </w:tcMar>
            <w:vAlign w:val="center"/>
          </w:tcPr>
          <w:p>
            <w:r>
              <w:rPr>
                <w:b w:val="false"/>
                <w:bCs w:val="false"/>
                <w:color w:val="1F2328"/>
                <w:sz w:val="18"/>
                <w:szCs w:val="18"/>
              </w:rPr>
              <w:t xml:space="preserve">13</w:t>
            </w:r>
          </w:p>
        </w:tc>
        <w:tc>
          <w:tcPr>
            <w:tcW w:type="dxa" w:w="4200"/>
            <w:tcMar>
              <w:top w:type="dxa" w:w="70"/>
              <w:left w:type="dxa" w:w="100"/>
              <w:bottom w:type="dxa" w:w="70"/>
              <w:right w:type="dxa" w:w="100"/>
            </w:tcMar>
            <w:vAlign w:val="center"/>
          </w:tcPr>
          <w:p>
            <w:r>
              <w:rPr>
                <w:b w:val="false"/>
                <w:bCs w:val="false"/>
                <w:color w:val="1F2328"/>
                <w:sz w:val="18"/>
                <w:szCs w:val="18"/>
              </w:rPr>
              <w:t xml:space="preserve">Grafana dashboard — SIT Center Operations</w:t>
            </w:r>
          </w:p>
        </w:tc>
        <w:tc>
          <w:tcPr>
            <w:tcW w:type="dxa" w:w="1800"/>
            <w:tcMar>
              <w:top w:type="dxa" w:w="70"/>
              <w:left w:type="dxa" w:w="100"/>
              <w:bottom w:type="dxa" w:w="70"/>
              <w:right w:type="dxa" w:w="100"/>
            </w:tcMar>
            <w:vAlign w:val="center"/>
          </w:tcPr>
          <w:p>
            <w:r>
              <w:rPr>
                <w:b w:val="false"/>
                <w:bCs w:val="false"/>
                <w:color w:val="1F2328"/>
                <w:sz w:val="18"/>
                <w:szCs w:val="18"/>
              </w:rPr>
              <w:t xml:space="preserve">Grafana JSON dashboard</w:t>
            </w:r>
          </w:p>
        </w:tc>
        <w:tc>
          <w:tcPr>
            <w:tcW w:type="dxa" w:w="1200"/>
            <w:tcMar>
              <w:top w:type="dxa" w:w="70"/>
              <w:left w:type="dxa" w:w="100"/>
              <w:bottom w:type="dxa" w:w="70"/>
              <w:right w:type="dxa" w:w="100"/>
            </w:tcMar>
            <w:vAlign w:val="center"/>
          </w:tcPr>
          <w:p>
            <w:r>
              <w:rPr>
                <w:b w:val="false"/>
                <w:bCs w:val="false"/>
                <w:color w:val="1F2328"/>
                <w:sz w:val="18"/>
                <w:szCs w:val="18"/>
              </w:rPr>
              <w:t xml:space="preserve">Phase 2</w:t>
            </w:r>
          </w:p>
        </w:tc>
        <w:tc>
          <w:tcPr>
            <w:tcW w:type="dxa" w:w="1400"/>
            <w:tcMar>
              <w:top w:type="dxa" w:w="70"/>
              <w:left w:type="dxa" w:w="100"/>
              <w:bottom w:type="dxa" w:w="70"/>
              <w:right w:type="dxa" w:w="100"/>
            </w:tcMar>
            <w:vAlign w:val="center"/>
          </w:tcPr>
          <w:p>
            <w:r>
              <w:rPr>
                <w:b w:val="false"/>
                <w:bCs w:val="false"/>
                <w:color w:val="1F2328"/>
                <w:sz w:val="18"/>
                <w:szCs w:val="18"/>
              </w:rPr>
              <w:t xml:space="preserve">1–2 days</w:t>
            </w:r>
          </w:p>
        </w:tc>
      </w:tr>
      <w:tr>
        <w:tc>
          <w:tcPr>
            <w:tcW w:type="dxa" w:w="400"/>
            <w:shd w:fill="F2F2F2" w:val="clear"/>
            <w:tcMar>
              <w:top w:type="dxa" w:w="70"/>
              <w:left w:type="dxa" w:w="100"/>
              <w:bottom w:type="dxa" w:w="70"/>
              <w:right w:type="dxa" w:w="100"/>
            </w:tcMar>
            <w:vAlign w:val="center"/>
          </w:tcPr>
          <w:p>
            <w:r>
              <w:rPr>
                <w:b w:val="false"/>
                <w:bCs w:val="false"/>
                <w:color w:val="1F2328"/>
                <w:sz w:val="18"/>
                <w:szCs w:val="18"/>
              </w:rPr>
              <w:t xml:space="preserve">14</w:t>
            </w:r>
          </w:p>
        </w:tc>
        <w:tc>
          <w:tcPr>
            <w:tcW w:type="dxa" w:w="4200"/>
            <w:shd w:fill="F2F2F2" w:val="clear"/>
            <w:tcMar>
              <w:top w:type="dxa" w:w="70"/>
              <w:left w:type="dxa" w:w="100"/>
              <w:bottom w:type="dxa" w:w="70"/>
              <w:right w:type="dxa" w:w="100"/>
            </w:tcMar>
            <w:vAlign w:val="center"/>
          </w:tcPr>
          <w:p>
            <w:r>
              <w:rPr>
                <w:b w:val="false"/>
                <w:bCs w:val="false"/>
                <w:color w:val="1F2328"/>
                <w:sz w:val="18"/>
                <w:szCs w:val="18"/>
              </w:rPr>
              <w:t xml:space="preserve">Directus content models — course catalog, pricing, professional partner directory</w:t>
            </w:r>
          </w:p>
        </w:tc>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Directus config</w:t>
            </w:r>
          </w:p>
        </w:tc>
        <w:tc>
          <w:tcPr>
            <w:tcW w:type="dxa" w:w="1200"/>
            <w:shd w:fill="F2F2F2" w:val="clear"/>
            <w:tcMar>
              <w:top w:type="dxa" w:w="70"/>
              <w:left w:type="dxa" w:w="100"/>
              <w:bottom w:type="dxa" w:w="70"/>
              <w:right w:type="dxa" w:w="100"/>
            </w:tcMar>
            <w:vAlign w:val="center"/>
          </w:tcPr>
          <w:p>
            <w:r>
              <w:rPr>
                <w:b w:val="false"/>
                <w:bCs w:val="false"/>
                <w:color w:val="1F2328"/>
                <w:sz w:val="18"/>
                <w:szCs w:val="18"/>
              </w:rPr>
              <w:t xml:space="preserve">Phase 1</w:t>
            </w:r>
          </w:p>
        </w:tc>
        <w:tc>
          <w:tcPr>
            <w:tcW w:type="dxa" w:w="1400"/>
            <w:shd w:fill="F2F2F2" w:val="clear"/>
            <w:tcMar>
              <w:top w:type="dxa" w:w="70"/>
              <w:left w:type="dxa" w:w="100"/>
              <w:bottom w:type="dxa" w:w="70"/>
              <w:right w:type="dxa" w:w="100"/>
            </w:tcMar>
            <w:vAlign w:val="center"/>
          </w:tcPr>
          <w:p>
            <w:r>
              <w:rPr>
                <w:b w:val="false"/>
                <w:bCs w:val="false"/>
                <w:color w:val="1F2328"/>
                <w:sz w:val="18"/>
                <w:szCs w:val="18"/>
              </w:rPr>
              <w:t xml:space="preserve">2 days</w:t>
            </w:r>
          </w:p>
        </w:tc>
      </w:tr>
    </w:tbl>
    <w:p>
      <w:pPr>
        <w:spacing w:after="200"/>
      </w:pPr>
    </w:p>
    <w:p>
      <w:pPr>
        <w:pStyle w:val="Heading1"/>
        <w:pBdr>
          <w:bottom w:val="single" w:color="14213D" w:sz="6" w:space="4"/>
        </w:pBdr>
        <w:spacing w:after="200" w:before="400"/>
      </w:pPr>
      <w:r>
        <w:rPr>
          <w:b/>
          <w:bCs/>
          <w:color w:val="14213D"/>
          <w:sz w:val="30"/>
          <w:szCs w:val="30"/>
        </w:rPr>
        <w:t xml:space="preserve">18. Phased Implementation Roadmap</w:t>
      </w:r>
    </w:p>
    <w:p>
      <w:pPr>
        <w:spacing w:after="160"/>
      </w:pPr>
      <w:r>
        <w:rPr>
          <w:color w:val="1F2328"/>
          <w:sz w:val="21"/>
          <w:szCs w:val="21"/>
        </w:rPr>
        <w:t xml:space="preserve">Aligned to the proposal's own Phase 0 → May 2027 pilot timeline, translated into engineering phases.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700"/>
        <w:gridCol w:w="1600"/>
      </w:tblGrid>
      <w:tr>
        <w:trPr>
          <w:tblHeader/>
        </w:trPr>
        <w:tc>
          <w:tcPr>
            <w:tcW w:type="dxa" w:w="1800"/>
            <w:shd w:fill="14213D" w:val="clear"/>
            <w:tcMar>
              <w:top w:type="dxa" w:w="80"/>
              <w:left w:type="dxa" w:w="100"/>
              <w:bottom w:type="dxa" w:w="80"/>
              <w:right w:type="dxa" w:w="100"/>
            </w:tcMar>
            <w:vAlign w:val="center"/>
          </w:tcPr>
          <w:p>
            <w:r>
              <w:rPr>
                <w:b/>
                <w:bCs/>
                <w:color w:val="FFFFFF"/>
                <w:sz w:val="18"/>
                <w:szCs w:val="18"/>
              </w:rPr>
              <w:t xml:space="preserve">Phase</w:t>
            </w:r>
          </w:p>
        </w:tc>
        <w:tc>
          <w:tcPr>
            <w:tcW w:type="dxa" w:w="1600"/>
            <w:shd w:fill="14213D" w:val="clear"/>
            <w:tcMar>
              <w:top w:type="dxa" w:w="80"/>
              <w:left w:type="dxa" w:w="100"/>
              <w:bottom w:type="dxa" w:w="80"/>
              <w:right w:type="dxa" w:w="100"/>
            </w:tcMar>
            <w:vAlign w:val="center"/>
          </w:tcPr>
          <w:p>
            <w:r>
              <w:rPr>
                <w:b/>
                <w:bCs/>
                <w:color w:val="FFFFFF"/>
                <w:sz w:val="18"/>
                <w:szCs w:val="18"/>
              </w:rPr>
              <w:t xml:space="preserve">Timeline</w:t>
            </w:r>
          </w:p>
        </w:tc>
        <w:tc>
          <w:tcPr>
            <w:tcW w:type="dxa" w:w="4700"/>
            <w:shd w:fill="14213D" w:val="clear"/>
            <w:tcMar>
              <w:top w:type="dxa" w:w="80"/>
              <w:left w:type="dxa" w:w="100"/>
              <w:bottom w:type="dxa" w:w="80"/>
              <w:right w:type="dxa" w:w="100"/>
            </w:tcMar>
            <w:vAlign w:val="center"/>
          </w:tcPr>
          <w:p>
            <w:r>
              <w:rPr>
                <w:b/>
                <w:bCs/>
                <w:color w:val="FFFFFF"/>
                <w:sz w:val="18"/>
                <w:szCs w:val="18"/>
              </w:rPr>
              <w:t xml:space="preserve">Deliverable</w:t>
            </w:r>
          </w:p>
        </w:tc>
        <w:tc>
          <w:tcPr>
            <w:tcW w:type="dxa" w:w="1600"/>
            <w:shd w:fill="14213D" w:val="clear"/>
            <w:tcMar>
              <w:top w:type="dxa" w:w="80"/>
              <w:left w:type="dxa" w:w="100"/>
              <w:bottom w:type="dxa" w:w="80"/>
              <w:right w:type="dxa" w:w="100"/>
            </w:tcMar>
            <w:vAlign w:val="center"/>
          </w:tcPr>
          <w:p>
            <w:r>
              <w:rPr>
                <w:b/>
                <w:bCs/>
                <w:color w:val="FFFFFF"/>
                <w:sz w:val="18"/>
                <w:szCs w:val="18"/>
              </w:rPr>
              <w:t xml:space="preserve">Exit Criteria</w:t>
            </w:r>
          </w:p>
        </w:tc>
      </w:tr>
      <w:tr>
        <w:tc>
          <w:tcPr>
            <w:tcW w:type="dxa" w:w="1800"/>
            <w:tcMar>
              <w:top w:type="dxa" w:w="70"/>
              <w:left w:type="dxa" w:w="100"/>
              <w:bottom w:type="dxa" w:w="70"/>
              <w:right w:type="dxa" w:w="100"/>
            </w:tcMar>
            <w:vAlign w:val="center"/>
          </w:tcPr>
          <w:p>
            <w:r>
              <w:rPr>
                <w:b w:val="false"/>
                <w:bCs w:val="false"/>
                <w:color w:val="1F2328"/>
                <w:sz w:val="18"/>
                <w:szCs w:val="18"/>
              </w:rPr>
              <w:t xml:space="preserve">Phase 0 — Foundation</w:t>
            </w:r>
          </w:p>
        </w:tc>
        <w:tc>
          <w:tcPr>
            <w:tcW w:type="dxa" w:w="1600"/>
            <w:tcMar>
              <w:top w:type="dxa" w:w="70"/>
              <w:left w:type="dxa" w:w="100"/>
              <w:bottom w:type="dxa" w:w="70"/>
              <w:right w:type="dxa" w:w="100"/>
            </w:tcMar>
            <w:vAlign w:val="center"/>
          </w:tcPr>
          <w:p>
            <w:r>
              <w:rPr>
                <w:b w:val="false"/>
                <w:bCs w:val="false"/>
                <w:color w:val="1F2328"/>
                <w:sz w:val="18"/>
                <w:szCs w:val="18"/>
              </w:rPr>
              <w:t xml:space="preserve">Now → Mar 2027</w:t>
            </w:r>
          </w:p>
        </w:tc>
        <w:tc>
          <w:tcPr>
            <w:tcW w:type="dxa" w:w="4700"/>
            <w:tcMar>
              <w:top w:type="dxa" w:w="70"/>
              <w:left w:type="dxa" w:w="100"/>
              <w:bottom w:type="dxa" w:w="70"/>
              <w:right w:type="dxa" w:w="100"/>
            </w:tcMar>
            <w:vAlign w:val="center"/>
          </w:tcPr>
          <w:p>
            <w:r>
              <w:rPr>
                <w:b w:val="false"/>
                <w:bCs w:val="false"/>
                <w:color w:val="1F2328"/>
                <w:sz w:val="18"/>
                <w:szCs w:val="18"/>
              </w:rPr>
              <w:t xml:space="preserve">sit_db schema, sit-api, Keycloak client, SeaweedFS buckets, ChromaDB collection, core n8n workflows</w:t>
            </w:r>
          </w:p>
        </w:tc>
        <w:tc>
          <w:tcPr>
            <w:tcW w:type="dxa" w:w="1600"/>
            <w:tcMar>
              <w:top w:type="dxa" w:w="70"/>
              <w:left w:type="dxa" w:w="100"/>
              <w:bottom w:type="dxa" w:w="70"/>
              <w:right w:type="dxa" w:w="100"/>
            </w:tcMar>
            <w:vAlign w:val="center"/>
          </w:tcPr>
          <w:p>
            <w:r>
              <w:rPr>
                <w:b w:val="false"/>
                <w:bCs w:val="false"/>
                <w:color w:val="1F2328"/>
                <w:sz w:val="18"/>
                <w:szCs w:val="18"/>
              </w:rPr>
              <w:t xml:space="preserve">Data model live, first test enrollment processed</w:t>
            </w:r>
          </w:p>
        </w:tc>
      </w:tr>
      <w:tr>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Phase 1 — Agents &amp; Portal</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Mar–Apr 2027</w:t>
            </w:r>
          </w:p>
        </w:tc>
        <w:tc>
          <w:tcPr>
            <w:tcW w:type="dxa" w:w="4700"/>
            <w:shd w:fill="F2F2F2" w:val="clear"/>
            <w:tcMar>
              <w:top w:type="dxa" w:w="70"/>
              <w:left w:type="dxa" w:w="100"/>
              <w:bottom w:type="dxa" w:w="70"/>
              <w:right w:type="dxa" w:w="100"/>
            </w:tcMar>
            <w:vAlign w:val="center"/>
          </w:tcPr>
          <w:p>
            <w:r>
              <w:rPr>
                <w:b w:val="false"/>
                <w:bCs w:val="false"/>
                <w:color w:val="1F2328"/>
                <w:sz w:val="18"/>
                <w:szCs w:val="18"/>
              </w:rPr>
              <w:t xml:space="preserve">sit-tutor-agent, sit-registrar-agent, sit-ecitizen-agent, sit-compliance-agent, sit-web portal, Directus content</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AI tutoring and e-proctoring functional in staging</w:t>
            </w:r>
          </w:p>
        </w:tc>
      </w:tr>
      <w:tr>
        <w:tc>
          <w:tcPr>
            <w:tcW w:type="dxa" w:w="1800"/>
            <w:tcMar>
              <w:top w:type="dxa" w:w="70"/>
              <w:left w:type="dxa" w:w="100"/>
              <w:bottom w:type="dxa" w:w="70"/>
              <w:right w:type="dxa" w:w="100"/>
            </w:tcMar>
            <w:vAlign w:val="center"/>
          </w:tcPr>
          <w:p>
            <w:r>
              <w:rPr>
                <w:b w:val="false"/>
                <w:bCs w:val="false"/>
                <w:color w:val="1F2328"/>
                <w:sz w:val="18"/>
                <w:szCs w:val="18"/>
              </w:rPr>
              <w:t xml:space="preserve">Phase 2 — Credentials, VR &amp; Placement</w:t>
            </w:r>
          </w:p>
        </w:tc>
        <w:tc>
          <w:tcPr>
            <w:tcW w:type="dxa" w:w="1600"/>
            <w:tcMar>
              <w:top w:type="dxa" w:w="70"/>
              <w:left w:type="dxa" w:w="100"/>
              <w:bottom w:type="dxa" w:w="70"/>
              <w:right w:type="dxa" w:w="100"/>
            </w:tcMar>
            <w:vAlign w:val="center"/>
          </w:tcPr>
          <w:p>
            <w:r>
              <w:rPr>
                <w:b w:val="false"/>
                <w:bCs w:val="false"/>
                <w:color w:val="1F2328"/>
                <w:sz w:val="18"/>
                <w:szCs w:val="18"/>
              </w:rPr>
              <w:t xml:space="preserve">Apr–Jun 2027</w:t>
            </w:r>
          </w:p>
        </w:tc>
        <w:tc>
          <w:tcPr>
            <w:tcW w:type="dxa" w:w="4700"/>
            <w:tcMar>
              <w:top w:type="dxa" w:w="70"/>
              <w:left w:type="dxa" w:w="100"/>
              <w:bottom w:type="dxa" w:w="70"/>
              <w:right w:type="dxa" w:w="100"/>
            </w:tcMar>
            <w:vAlign w:val="center"/>
          </w:tcPr>
          <w:p>
            <w:r>
              <w:rPr>
                <w:b w:val="false"/>
                <w:bCs w:val="false"/>
                <w:color w:val="1F2328"/>
                <w:sz w:val="18"/>
                <w:szCs w:val="18"/>
              </w:rPr>
              <w:t xml:space="preserve">sit-credential-service, WebXR lab pilot, sit-placement-agent Talent Graph bridge, Grafana dashboard</w:t>
            </w:r>
          </w:p>
        </w:tc>
        <w:tc>
          <w:tcPr>
            <w:tcW w:type="dxa" w:w="1600"/>
            <w:tcMar>
              <w:top w:type="dxa" w:w="70"/>
              <w:left w:type="dxa" w:w="100"/>
              <w:bottom w:type="dxa" w:w="70"/>
              <w:right w:type="dxa" w:w="100"/>
            </w:tcMar>
            <w:vAlign w:val="center"/>
          </w:tcPr>
          <w:p>
            <w:r>
              <w:rPr>
                <w:b w:val="false"/>
                <w:bCs w:val="false"/>
                <w:color w:val="1F2328"/>
                <w:sz w:val="18"/>
                <w:szCs w:val="18"/>
              </w:rPr>
              <w:t xml:space="preserve">First blockchain-verified certificate issued; first graduate visible in Talent Graph</w:t>
            </w:r>
          </w:p>
        </w:tc>
      </w:tr>
      <w:tr>
        <w:tc>
          <w:tcPr>
            <w:tcW w:type="dxa" w:w="1800"/>
            <w:shd w:fill="F2F2F2" w:val="clear"/>
            <w:tcMar>
              <w:top w:type="dxa" w:w="70"/>
              <w:left w:type="dxa" w:w="100"/>
              <w:bottom w:type="dxa" w:w="70"/>
              <w:right w:type="dxa" w:w="100"/>
            </w:tcMar>
            <w:vAlign w:val="center"/>
          </w:tcPr>
          <w:p>
            <w:r>
              <w:rPr>
                <w:b w:val="false"/>
                <w:bCs w:val="false"/>
                <w:color w:val="1F2328"/>
                <w:sz w:val="18"/>
                <w:szCs w:val="18"/>
              </w:rPr>
              <w:t xml:space="preserve">Phase 3 — Nairobi Pilot Launch</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May 2027</w:t>
            </w:r>
          </w:p>
        </w:tc>
        <w:tc>
          <w:tcPr>
            <w:tcW w:type="dxa" w:w="4700"/>
            <w:shd w:fill="F2F2F2" w:val="clear"/>
            <w:tcMar>
              <w:top w:type="dxa" w:w="70"/>
              <w:left w:type="dxa" w:w="100"/>
              <w:bottom w:type="dxa" w:w="70"/>
              <w:right w:type="dxa" w:w="100"/>
            </w:tcMar>
            <w:vAlign w:val="center"/>
          </w:tcPr>
          <w:p>
            <w:r>
              <w:rPr>
                <w:b w:val="false"/>
                <w:bCs w:val="false"/>
                <w:color w:val="1F2328"/>
                <w:sz w:val="18"/>
                <w:szCs w:val="18"/>
              </w:rPr>
              <w:t xml:space="preserve">Full stack live at flagship Nairobi center + 2 repurposed cyber-café nodes</w:t>
            </w:r>
          </w:p>
        </w:tc>
        <w:tc>
          <w:tcPr>
            <w:tcW w:type="dxa" w:w="1600"/>
            <w:shd w:fill="F2F2F2" w:val="clear"/>
            <w:tcMar>
              <w:top w:type="dxa" w:w="70"/>
              <w:left w:type="dxa" w:w="100"/>
              <w:bottom w:type="dxa" w:w="70"/>
              <w:right w:type="dxa" w:w="100"/>
            </w:tcMar>
            <w:vAlign w:val="center"/>
          </w:tcPr>
          <w:p>
            <w:r>
              <w:rPr>
                <w:b w:val="false"/>
                <w:bCs w:val="false"/>
                <w:color w:val="1F2328"/>
                <w:sz w:val="18"/>
                <w:szCs w:val="18"/>
              </w:rPr>
              <w:t xml:space="preserve">First live-streamed cohort, first eCitizen case processed end-to-end</w:t>
            </w:r>
          </w:p>
        </w:tc>
      </w:tr>
      <w:tr>
        <w:tc>
          <w:tcPr>
            <w:tcW w:type="dxa" w:w="1800"/>
            <w:tcMar>
              <w:top w:type="dxa" w:w="70"/>
              <w:left w:type="dxa" w:w="100"/>
              <w:bottom w:type="dxa" w:w="70"/>
              <w:right w:type="dxa" w:w="100"/>
            </w:tcMar>
            <w:vAlign w:val="center"/>
          </w:tcPr>
          <w:p>
            <w:r>
              <w:rPr>
                <w:b w:val="false"/>
                <w:bCs w:val="false"/>
                <w:color w:val="1F2328"/>
                <w:sz w:val="18"/>
                <w:szCs w:val="18"/>
              </w:rPr>
              <w:t xml:space="preserve">Phase 4 — Scale</w:t>
            </w:r>
          </w:p>
        </w:tc>
        <w:tc>
          <w:tcPr>
            <w:tcW w:type="dxa" w:w="1600"/>
            <w:tcMar>
              <w:top w:type="dxa" w:w="70"/>
              <w:left w:type="dxa" w:w="100"/>
              <w:bottom w:type="dxa" w:w="70"/>
              <w:right w:type="dxa" w:w="100"/>
            </w:tcMar>
            <w:vAlign w:val="center"/>
          </w:tcPr>
          <w:p>
            <w:r>
              <w:rPr>
                <w:b w:val="false"/>
                <w:bCs w:val="false"/>
                <w:color w:val="1F2328"/>
                <w:sz w:val="18"/>
                <w:szCs w:val="18"/>
              </w:rPr>
              <w:t xml:space="preserve">Jul 2027 onward</w:t>
            </w:r>
          </w:p>
        </w:tc>
        <w:tc>
          <w:tcPr>
            <w:tcW w:type="dxa" w:w="4700"/>
            <w:tcMar>
              <w:top w:type="dxa" w:w="70"/>
              <w:left w:type="dxa" w:w="100"/>
              <w:bottom w:type="dxa" w:w="70"/>
              <w:right w:type="dxa" w:w="100"/>
            </w:tcMar>
            <w:vAlign w:val="center"/>
          </w:tcPr>
          <w:p>
            <w:r>
              <w:rPr>
                <w:b w:val="false"/>
                <w:bCs w:val="false"/>
                <w:color w:val="1F2328"/>
                <w:sz w:val="18"/>
                <w:szCs w:val="18"/>
              </w:rPr>
              <w:t xml:space="preserve">Multi-center rollout, Sector Talent Packs, EvalOS-as-a-Service extension for external TVET partners</w:t>
            </w:r>
          </w:p>
        </w:tc>
        <w:tc>
          <w:tcPr>
            <w:tcW w:type="dxa" w:w="1600"/>
            <w:tcMar>
              <w:top w:type="dxa" w:w="70"/>
              <w:left w:type="dxa" w:w="100"/>
              <w:bottom w:type="dxa" w:w="70"/>
              <w:right w:type="dxa" w:w="100"/>
            </w:tcMar>
            <w:vAlign w:val="center"/>
          </w:tcPr>
          <w:p>
            <w:r>
              <w:rPr>
                <w:b w:val="false"/>
                <w:bCs w:val="false"/>
                <w:color w:val="1F2328"/>
                <w:sz w:val="18"/>
                <w:szCs w:val="18"/>
              </w:rPr>
              <w:t xml:space="preserve">5+ Nairobi-Metro nodes live per proposal Section 10</w:t>
            </w:r>
          </w:p>
        </w:tc>
      </w:tr>
    </w:tbl>
    <w:p>
      <w:pPr>
        <w:spacing w:after="200"/>
      </w:pPr>
    </w:p>
    <w:p>
      <w:pPr>
        <w:pStyle w:val="Heading1"/>
        <w:pBdr>
          <w:bottom w:val="single" w:color="14213D" w:sz="6" w:space="4"/>
        </w:pBdr>
        <w:spacing w:after="200" w:before="400"/>
      </w:pPr>
      <w:r>
        <w:rPr>
          <w:b/>
          <w:bCs/>
          <w:color w:val="14213D"/>
          <w:sz w:val="30"/>
          <w:szCs w:val="30"/>
        </w:rPr>
        <w:t xml:space="preserve">19. KPIs &amp; Success Metrics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400"/>
        <w:gridCol w:w="4300"/>
      </w:tblGrid>
      <w:tr>
        <w:trPr>
          <w:tblHeader/>
        </w:trPr>
        <w:tc>
          <w:tcPr>
            <w:tcW w:type="dxa" w:w="4400"/>
            <w:shd w:fill="14213D" w:val="clear"/>
            <w:tcMar>
              <w:top w:type="dxa" w:w="80"/>
              <w:left w:type="dxa" w:w="100"/>
              <w:bottom w:type="dxa" w:w="80"/>
              <w:right w:type="dxa" w:w="100"/>
            </w:tcMar>
            <w:vAlign w:val="center"/>
          </w:tcPr>
          <w:p>
            <w:r>
              <w:rPr>
                <w:b/>
                <w:bCs/>
                <w:color w:val="FFFFFF"/>
                <w:sz w:val="18"/>
                <w:szCs w:val="18"/>
              </w:rPr>
              <w:t xml:space="preserve">Metric</w:t>
            </w:r>
          </w:p>
        </w:tc>
        <w:tc>
          <w:tcPr>
            <w:tcW w:type="dxa" w:w="4300"/>
            <w:shd w:fill="14213D" w:val="clear"/>
            <w:tcMar>
              <w:top w:type="dxa" w:w="80"/>
              <w:left w:type="dxa" w:w="100"/>
              <w:bottom w:type="dxa" w:w="80"/>
              <w:right w:type="dxa" w:w="100"/>
            </w:tcMar>
            <w:vAlign w:val="center"/>
          </w:tcPr>
          <w:p>
            <w:r>
              <w:rPr>
                <w:b/>
                <w:bCs/>
                <w:color w:val="FFFFFF"/>
                <w:sz w:val="18"/>
                <w:szCs w:val="18"/>
              </w:rPr>
              <w:t xml:space="preserve">Target</w:t>
            </w:r>
          </w:p>
        </w:tc>
      </w:tr>
      <w:tr>
        <w:tc>
          <w:tcPr>
            <w:tcW w:type="dxa" w:w="4400"/>
            <w:tcMar>
              <w:top w:type="dxa" w:w="70"/>
              <w:left w:type="dxa" w:w="100"/>
              <w:bottom w:type="dxa" w:w="70"/>
              <w:right w:type="dxa" w:w="100"/>
            </w:tcMar>
            <w:vAlign w:val="center"/>
          </w:tcPr>
          <w:p>
            <w:r>
              <w:rPr>
                <w:b w:val="false"/>
                <w:bCs w:val="false"/>
                <w:color w:val="1F2328"/>
                <w:sz w:val="18"/>
                <w:szCs w:val="18"/>
              </w:rPr>
              <w:t xml:space="preserve">Registrar workload reduction from Admissions Agent</w:t>
            </w:r>
          </w:p>
        </w:tc>
        <w:tc>
          <w:tcPr>
            <w:tcW w:type="dxa" w:w="4300"/>
            <w:tcMar>
              <w:top w:type="dxa" w:w="70"/>
              <w:left w:type="dxa" w:w="100"/>
              <w:bottom w:type="dxa" w:w="70"/>
              <w:right w:type="dxa" w:w="100"/>
            </w:tcMar>
            <w:vAlign w:val="center"/>
          </w:tcPr>
          <w:p>
            <w:r>
              <w:rPr>
                <w:b w:val="false"/>
                <w:bCs w:val="false"/>
                <w:color w:val="1F2328"/>
                <w:sz w:val="18"/>
                <w:szCs w:val="18"/>
              </w:rPr>
              <w:t xml:space="preserve">~80%, per proposal Section 5.1</w:t>
            </w:r>
          </w:p>
        </w:tc>
      </w:tr>
      <w:tr>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Exam e-proctoring coverage on EvalOS</w:t>
            </w:r>
          </w:p>
        </w:tc>
        <w:tc>
          <w:tcPr>
            <w:tcW w:type="dxa" w:w="4300"/>
            <w:shd w:fill="F2F2F2" w:val="clear"/>
            <w:tcMar>
              <w:top w:type="dxa" w:w="70"/>
              <w:left w:type="dxa" w:w="100"/>
              <w:bottom w:type="dxa" w:w="70"/>
              <w:right w:type="dxa" w:w="100"/>
            </w:tcMar>
            <w:vAlign w:val="center"/>
          </w:tcPr>
          <w:p>
            <w:r>
              <w:rPr>
                <w:b w:val="false"/>
                <w:bCs w:val="false"/>
                <w:color w:val="1F2328"/>
                <w:sz w:val="18"/>
                <w:szCs w:val="18"/>
              </w:rPr>
              <w:t xml:space="preserve">100% of SIT-administered exams within Phase 1</w:t>
            </w:r>
          </w:p>
        </w:tc>
      </w:tr>
      <w:tr>
        <w:tc>
          <w:tcPr>
            <w:tcW w:type="dxa" w:w="4400"/>
            <w:tcMar>
              <w:top w:type="dxa" w:w="70"/>
              <w:left w:type="dxa" w:w="100"/>
              <w:bottom w:type="dxa" w:w="70"/>
              <w:right w:type="dxa" w:w="100"/>
            </w:tcMar>
            <w:vAlign w:val="center"/>
          </w:tcPr>
          <w:p>
            <w:r>
              <w:rPr>
                <w:b w:val="false"/>
                <w:bCs w:val="false"/>
                <w:color w:val="1F2328"/>
                <w:sz w:val="18"/>
                <w:szCs w:val="18"/>
              </w:rPr>
              <w:t xml:space="preserve">AI tutor session availability</w:t>
            </w:r>
          </w:p>
        </w:tc>
        <w:tc>
          <w:tcPr>
            <w:tcW w:type="dxa" w:w="4300"/>
            <w:tcMar>
              <w:top w:type="dxa" w:w="70"/>
              <w:left w:type="dxa" w:w="100"/>
              <w:bottom w:type="dxa" w:w="70"/>
              <w:right w:type="dxa" w:w="100"/>
            </w:tcMar>
            <w:vAlign w:val="center"/>
          </w:tcPr>
          <w:p>
            <w:r>
              <w:rPr>
                <w:b w:val="false"/>
                <w:bCs w:val="false"/>
                <w:color w:val="1F2328"/>
                <w:sz w:val="18"/>
                <w:szCs w:val="18"/>
              </w:rPr>
              <w:t xml:space="preserve">24/7 with automated tutoring uptime tracked in Grafana</w:t>
            </w:r>
          </w:p>
        </w:tc>
      </w:tr>
      <w:tr>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eCitizen transaction turnaround</w:t>
            </w:r>
          </w:p>
        </w:tc>
        <w:tc>
          <w:tcPr>
            <w:tcW w:type="dxa" w:w="4300"/>
            <w:shd w:fill="F2F2F2" w:val="clear"/>
            <w:tcMar>
              <w:top w:type="dxa" w:w="70"/>
              <w:left w:type="dxa" w:w="100"/>
              <w:bottom w:type="dxa" w:w="70"/>
              <w:right w:type="dxa" w:w="100"/>
            </w:tcMar>
            <w:vAlign w:val="center"/>
          </w:tcPr>
          <w:p>
            <w:r>
              <w:rPr>
                <w:b w:val="false"/>
                <w:bCs w:val="false"/>
                <w:color w:val="1F2328"/>
                <w:sz w:val="18"/>
                <w:szCs w:val="18"/>
              </w:rPr>
              <w:t xml:space="preserve">Reduced from public Huduma queue times, measured per case</w:t>
            </w:r>
          </w:p>
        </w:tc>
      </w:tr>
      <w:tr>
        <w:tc>
          <w:tcPr>
            <w:tcW w:type="dxa" w:w="4400"/>
            <w:tcMar>
              <w:top w:type="dxa" w:w="70"/>
              <w:left w:type="dxa" w:w="100"/>
              <w:bottom w:type="dxa" w:w="70"/>
              <w:right w:type="dxa" w:w="100"/>
            </w:tcMar>
            <w:vAlign w:val="center"/>
          </w:tcPr>
          <w:p>
            <w:r>
              <w:rPr>
                <w:b w:val="false"/>
                <w:bCs w:val="false"/>
                <w:color w:val="1F2328"/>
                <w:sz w:val="18"/>
                <w:szCs w:val="18"/>
              </w:rPr>
              <w:t xml:space="preserve">Credential verification success rate</w:t>
            </w:r>
          </w:p>
        </w:tc>
        <w:tc>
          <w:tcPr>
            <w:tcW w:type="dxa" w:w="4300"/>
            <w:tcMar>
              <w:top w:type="dxa" w:w="70"/>
              <w:left w:type="dxa" w:w="100"/>
              <w:bottom w:type="dxa" w:w="70"/>
              <w:right w:type="dxa" w:w="100"/>
            </w:tcMar>
            <w:vAlign w:val="center"/>
          </w:tcPr>
          <w:p>
            <w:r>
              <w:rPr>
                <w:b w:val="false"/>
                <w:bCs w:val="false"/>
                <w:color w:val="1F2328"/>
                <w:sz w:val="18"/>
                <w:szCs w:val="18"/>
              </w:rPr>
              <w:t xml:space="preserve">100% QR-verification match rate on issued certificates</w:t>
            </w:r>
          </w:p>
        </w:tc>
      </w:tr>
      <w:tr>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Graduate-to-Talent Graph conversion rate</w:t>
            </w:r>
          </w:p>
        </w:tc>
        <w:tc>
          <w:tcPr>
            <w:tcW w:type="dxa" w:w="4300"/>
            <w:shd w:fill="F2F2F2" w:val="clear"/>
            <w:tcMar>
              <w:top w:type="dxa" w:w="70"/>
              <w:left w:type="dxa" w:w="100"/>
              <w:bottom w:type="dxa" w:w="70"/>
              <w:right w:type="dxa" w:w="100"/>
            </w:tcMar>
            <w:vAlign w:val="center"/>
          </w:tcPr>
          <w:p>
            <w:r>
              <w:rPr>
                <w:b w:val="false"/>
                <w:bCs w:val="false"/>
                <w:color w:val="1F2328"/>
                <w:sz w:val="18"/>
                <w:szCs w:val="18"/>
              </w:rPr>
              <w:t xml:space="preserve">% of certified graduates opted into i3 Talent Cloud within 30 days</w:t>
            </w:r>
          </w:p>
        </w:tc>
      </w:tr>
      <w:tr>
        <w:tc>
          <w:tcPr>
            <w:tcW w:type="dxa" w:w="4400"/>
            <w:tcMar>
              <w:top w:type="dxa" w:w="70"/>
              <w:left w:type="dxa" w:w="100"/>
              <w:bottom w:type="dxa" w:w="70"/>
              <w:right w:type="dxa" w:w="100"/>
            </w:tcMar>
            <w:vAlign w:val="center"/>
          </w:tcPr>
          <w:p>
            <w:r>
              <w:rPr>
                <w:b w:val="false"/>
                <w:bCs w:val="false"/>
                <w:color w:val="1F2328"/>
                <w:sz w:val="18"/>
                <w:szCs w:val="18"/>
              </w:rPr>
              <w:t xml:space="preserve">Placement rate</w:t>
            </w:r>
          </w:p>
        </w:tc>
        <w:tc>
          <w:tcPr>
            <w:tcW w:type="dxa" w:w="4300"/>
            <w:tcMar>
              <w:top w:type="dxa" w:w="70"/>
              <w:left w:type="dxa" w:w="100"/>
              <w:bottom w:type="dxa" w:w="70"/>
              <w:right w:type="dxa" w:w="100"/>
            </w:tcMar>
            <w:vAlign w:val="center"/>
          </w:tcPr>
          <w:p>
            <w:r>
              <w:rPr>
                <w:b w:val="false"/>
                <w:bCs w:val="false"/>
                <w:color w:val="1F2328"/>
                <w:sz w:val="18"/>
                <w:szCs w:val="18"/>
              </w:rPr>
              <w:t xml:space="preserve">≥70% within 6 months of certification (per proposal Section 13)</w:t>
            </w:r>
          </w:p>
        </w:tc>
      </w:tr>
      <w:tr>
        <w:tc>
          <w:tcPr>
            <w:tcW w:type="dxa" w:w="4400"/>
            <w:shd w:fill="F2F2F2" w:val="clear"/>
            <w:tcMar>
              <w:top w:type="dxa" w:w="70"/>
              <w:left w:type="dxa" w:w="100"/>
              <w:bottom w:type="dxa" w:w="70"/>
              <w:right w:type="dxa" w:w="100"/>
            </w:tcMar>
            <w:vAlign w:val="center"/>
          </w:tcPr>
          <w:p>
            <w:r>
              <w:rPr>
                <w:b w:val="false"/>
                <w:bCs w:val="false"/>
                <w:color w:val="1F2328"/>
                <w:sz w:val="18"/>
                <w:szCs w:val="18"/>
              </w:rPr>
              <w:t xml:space="preserve">Center operating surplus</w:t>
            </w:r>
          </w:p>
        </w:tc>
        <w:tc>
          <w:tcPr>
            <w:tcW w:type="dxa" w:w="4300"/>
            <w:shd w:fill="F2F2F2" w:val="clear"/>
            <w:tcMar>
              <w:top w:type="dxa" w:w="70"/>
              <w:left w:type="dxa" w:w="100"/>
              <w:bottom w:type="dxa" w:w="70"/>
              <w:right w:type="dxa" w:w="100"/>
            </w:tcMar>
            <w:vAlign w:val="center"/>
          </w:tcPr>
          <w:p>
            <w:r>
              <w:rPr>
                <w:b w:val="false"/>
                <w:bCs w:val="false"/>
                <w:color w:val="1F2328"/>
                <w:sz w:val="18"/>
                <w:szCs w:val="18"/>
              </w:rPr>
              <w:t xml:space="preserve">KES 8–10M/year steady state per center (per proposal Section 11)</w:t>
            </w:r>
          </w:p>
        </w:tc>
      </w:tr>
    </w:tbl>
    <w:p>
      <w:pPr>
        <w:spacing w:after="200"/>
      </w:pPr>
    </w:p>
    <w:p>
      <w:pPr>
        <w:pStyle w:val="Heading1"/>
        <w:pBdr>
          <w:bottom w:val="single" w:color="14213D" w:sz="6" w:space="4"/>
        </w:pBdr>
        <w:spacing w:after="200" w:before="400"/>
      </w:pPr>
      <w:r>
        <w:rPr>
          <w:b/>
          <w:bCs/>
          <w:color w:val="14213D"/>
          <w:sz w:val="30"/>
          <w:szCs w:val="30"/>
        </w:rPr>
        <w:t xml:space="preserve">20. Principal Risks &amp; Mitigations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800"/>
        <w:gridCol w:w="4900"/>
      </w:tblGrid>
      <w:tr>
        <w:trPr>
          <w:tblHeader/>
        </w:trPr>
        <w:tc>
          <w:tcPr>
            <w:tcW w:type="dxa" w:w="3800"/>
            <w:shd w:fill="14213D" w:val="clear"/>
            <w:tcMar>
              <w:top w:type="dxa" w:w="80"/>
              <w:left w:type="dxa" w:w="100"/>
              <w:bottom w:type="dxa" w:w="80"/>
              <w:right w:type="dxa" w:w="100"/>
            </w:tcMar>
            <w:vAlign w:val="center"/>
          </w:tcPr>
          <w:p>
            <w:r>
              <w:rPr>
                <w:b/>
                <w:bCs/>
                <w:color w:val="FFFFFF"/>
                <w:sz w:val="18"/>
                <w:szCs w:val="18"/>
              </w:rPr>
              <w:t xml:space="preserve">Risk</w:t>
            </w:r>
          </w:p>
        </w:tc>
        <w:tc>
          <w:tcPr>
            <w:tcW w:type="dxa" w:w="4900"/>
            <w:shd w:fill="14213D" w:val="clear"/>
            <w:tcMar>
              <w:top w:type="dxa" w:w="80"/>
              <w:left w:type="dxa" w:w="100"/>
              <w:bottom w:type="dxa" w:w="80"/>
              <w:right w:type="dxa" w:w="100"/>
            </w:tcMar>
            <w:vAlign w:val="center"/>
          </w:tcPr>
          <w:p>
            <w:r>
              <w:rPr>
                <w:b/>
                <w:bCs/>
                <w:color w:val="FFFFFF"/>
                <w:sz w:val="18"/>
                <w:szCs w:val="18"/>
              </w:rPr>
              <w:t xml:space="preserve">Mitigation</w:t>
            </w:r>
          </w:p>
        </w:tc>
      </w:tr>
      <w:tr>
        <w:tc>
          <w:tcPr>
            <w:tcW w:type="dxa" w:w="3800"/>
            <w:tcMar>
              <w:top w:type="dxa" w:w="70"/>
              <w:left w:type="dxa" w:w="100"/>
              <w:bottom w:type="dxa" w:w="70"/>
              <w:right w:type="dxa" w:w="100"/>
            </w:tcMar>
            <w:vAlign w:val="center"/>
          </w:tcPr>
          <w:p>
            <w:r>
              <w:rPr>
                <w:b w:val="false"/>
                <w:bCs w:val="false"/>
                <w:color w:val="1F2328"/>
                <w:sz w:val="18"/>
                <w:szCs w:val="18"/>
              </w:rPr>
              <w:t xml:space="preserve">AI scoring bias in exam integrity or tutor assessment</w:t>
            </w:r>
          </w:p>
        </w:tc>
        <w:tc>
          <w:tcPr>
            <w:tcW w:type="dxa" w:w="4900"/>
            <w:tcMar>
              <w:top w:type="dxa" w:w="70"/>
              <w:left w:type="dxa" w:w="100"/>
              <w:bottom w:type="dxa" w:w="70"/>
              <w:right w:type="dxa" w:w="100"/>
            </w:tcMar>
            <w:vAlign w:val="center"/>
          </w:tcPr>
          <w:p>
            <w:r>
              <w:rPr>
                <w:b w:val="false"/>
                <w:bCs w:val="false"/>
                <w:color w:val="1F2328"/>
                <w:sz w:val="18"/>
                <w:szCs w:val="18"/>
              </w:rPr>
              <w:t xml:space="preserve">Periodic fairness review of Compliance Agent scoring; human-reviewer dispute escalation, never AI-only</w:t>
            </w:r>
          </w:p>
        </w:tc>
      </w:tr>
      <w:tr>
        <w:tc>
          <w:tcPr>
            <w:tcW w:type="dxa" w:w="3800"/>
            <w:shd w:fill="F2F2F2" w:val="clear"/>
            <w:tcMar>
              <w:top w:type="dxa" w:w="70"/>
              <w:left w:type="dxa" w:w="100"/>
              <w:bottom w:type="dxa" w:w="70"/>
              <w:right w:type="dxa" w:w="100"/>
            </w:tcMar>
            <w:vAlign w:val="center"/>
          </w:tcPr>
          <w:p>
            <w:r>
              <w:rPr>
                <w:b w:val="false"/>
                <w:bCs w:val="false"/>
                <w:color w:val="1F2328"/>
                <w:sz w:val="18"/>
                <w:szCs w:val="18"/>
              </w:rPr>
              <w:t xml:space="preserve">Learner/citizen data privacy exposure</w:t>
            </w:r>
          </w:p>
        </w:tc>
        <w:tc>
          <w:tcPr>
            <w:tcW w:type="dxa" w:w="4900"/>
            <w:shd w:fill="F2F2F2" w:val="clear"/>
            <w:tcMar>
              <w:top w:type="dxa" w:w="70"/>
              <w:left w:type="dxa" w:w="100"/>
              <w:bottom w:type="dxa" w:w="70"/>
              <w:right w:type="dxa" w:w="100"/>
            </w:tcMar>
            <w:vAlign w:val="center"/>
          </w:tcPr>
          <w:p>
            <w:r>
              <w:rPr>
                <w:b w:val="false"/>
                <w:bCs w:val="false"/>
                <w:color w:val="1F2328"/>
                <w:sz w:val="18"/>
                <w:szCs w:val="18"/>
              </w:rPr>
              <w:t xml:space="preserve">ODPC registration, explicit consent capture, Keycloak-scoped access, retention/purge policy</w:t>
            </w:r>
          </w:p>
        </w:tc>
      </w:tr>
      <w:tr>
        <w:tc>
          <w:tcPr>
            <w:tcW w:type="dxa" w:w="3800"/>
            <w:tcMar>
              <w:top w:type="dxa" w:w="70"/>
              <w:left w:type="dxa" w:w="100"/>
              <w:bottom w:type="dxa" w:w="70"/>
              <w:right w:type="dxa" w:w="100"/>
            </w:tcMar>
            <w:vAlign w:val="center"/>
          </w:tcPr>
          <w:p>
            <w:r>
              <w:rPr>
                <w:b w:val="false"/>
                <w:bCs w:val="false"/>
                <w:color w:val="1F2328"/>
                <w:sz w:val="18"/>
                <w:szCs w:val="18"/>
              </w:rPr>
              <w:t xml:space="preserve">Platform sprawl duplicating EvalOS, Talent Cloud or Academy systems</w:t>
            </w:r>
          </w:p>
        </w:tc>
        <w:tc>
          <w:tcPr>
            <w:tcW w:type="dxa" w:w="4900"/>
            <w:tcMar>
              <w:top w:type="dxa" w:w="70"/>
              <w:left w:type="dxa" w:w="100"/>
              <w:bottom w:type="dxa" w:w="70"/>
              <w:right w:type="dxa" w:w="100"/>
            </w:tcMar>
            <w:vAlign w:val="center"/>
          </w:tcPr>
          <w:p>
            <w:r>
              <w:rPr>
                <w:b w:val="false"/>
                <w:bCs w:val="false"/>
                <w:color w:val="1F2328"/>
                <w:sz w:val="18"/>
                <w:szCs w:val="18"/>
              </w:rPr>
              <w:t xml:space="preserve">SIT strictly reuses i3-evalos, i3-model-gateway and Talent Graph services rather than rebuilding them</w:t>
            </w:r>
          </w:p>
        </w:tc>
      </w:tr>
      <w:tr>
        <w:tc>
          <w:tcPr>
            <w:tcW w:type="dxa" w:w="3800"/>
            <w:shd w:fill="F2F2F2" w:val="clear"/>
            <w:tcMar>
              <w:top w:type="dxa" w:w="70"/>
              <w:left w:type="dxa" w:w="100"/>
              <w:bottom w:type="dxa" w:w="70"/>
              <w:right w:type="dxa" w:w="100"/>
            </w:tcMar>
            <w:vAlign w:val="center"/>
          </w:tcPr>
          <w:p>
            <w:r>
              <w:rPr>
                <w:b w:val="false"/>
                <w:bCs w:val="false"/>
                <w:color w:val="1F2328"/>
                <w:sz w:val="18"/>
                <w:szCs w:val="18"/>
              </w:rPr>
              <w:t xml:space="preserve">AR/VR equity gap for low-bandwidth peri-urban sites</w:t>
            </w:r>
          </w:p>
        </w:tc>
        <w:tc>
          <w:tcPr>
            <w:tcW w:type="dxa" w:w="4900"/>
            <w:shd w:fill="F2F2F2" w:val="clear"/>
            <w:tcMar>
              <w:top w:type="dxa" w:w="70"/>
              <w:left w:type="dxa" w:w="100"/>
              <w:bottom w:type="dxa" w:w="70"/>
              <w:right w:type="dxa" w:w="100"/>
            </w:tcMar>
            <w:vAlign w:val="center"/>
          </w:tcPr>
          <w:p>
            <w:r>
              <w:rPr>
                <w:b w:val="false"/>
                <w:bCs w:val="false"/>
                <w:color w:val="1F2328"/>
                <w:sz w:val="18"/>
                <w:szCs w:val="18"/>
              </w:rPr>
              <w:t xml:space="preserve">WebXR-first design degrades to 2D simulation; solar/dual-WAN redundancy per proposal Section 5.4</w:t>
            </w:r>
          </w:p>
        </w:tc>
      </w:tr>
      <w:tr>
        <w:tc>
          <w:tcPr>
            <w:tcW w:type="dxa" w:w="3800"/>
            <w:tcMar>
              <w:top w:type="dxa" w:w="70"/>
              <w:left w:type="dxa" w:w="100"/>
              <w:bottom w:type="dxa" w:w="70"/>
              <w:right w:type="dxa" w:w="100"/>
            </w:tcMar>
            <w:vAlign w:val="center"/>
          </w:tcPr>
          <w:p>
            <w:r>
              <w:rPr>
                <w:b w:val="false"/>
                <w:bCs w:val="false"/>
                <w:color w:val="1F2328"/>
                <w:sz w:val="18"/>
                <w:szCs w:val="18"/>
              </w:rPr>
              <w:t xml:space="preserve">Blockchain over-engineering</w:t>
            </w:r>
          </w:p>
        </w:tc>
        <w:tc>
          <w:tcPr>
            <w:tcW w:type="dxa" w:w="4900"/>
            <w:tcMar>
              <w:top w:type="dxa" w:w="70"/>
              <w:left w:type="dxa" w:w="100"/>
              <w:bottom w:type="dxa" w:w="70"/>
              <w:right w:type="dxa" w:w="100"/>
            </w:tcMar>
            <w:vAlign w:val="center"/>
          </w:tcPr>
          <w:p>
            <w:r>
              <w:rPr>
                <w:b w:val="false"/>
                <w:bCs w:val="false"/>
                <w:color w:val="1F2328"/>
                <w:sz w:val="18"/>
                <w:szCs w:val="18"/>
              </w:rPr>
              <w:t xml:space="preserve">Start with hash-anchoring + QR verification; defer smart-contract commission splits to Phase 3+</w:t>
            </w:r>
          </w:p>
        </w:tc>
      </w:tr>
      <w:tr>
        <w:tc>
          <w:tcPr>
            <w:tcW w:type="dxa" w:w="3800"/>
            <w:shd w:fill="F2F2F2" w:val="clear"/>
            <w:tcMar>
              <w:top w:type="dxa" w:w="70"/>
              <w:left w:type="dxa" w:w="100"/>
              <w:bottom w:type="dxa" w:w="70"/>
              <w:right w:type="dxa" w:w="100"/>
            </w:tcMar>
            <w:vAlign w:val="center"/>
          </w:tcPr>
          <w:p>
            <w:r>
              <w:rPr>
                <w:b w:val="false"/>
                <w:bCs w:val="false"/>
                <w:color w:val="1F2328"/>
                <w:sz w:val="18"/>
                <w:szCs w:val="18"/>
              </w:rPr>
              <w:t xml:space="preserve">eCitizen/KRA/ArdhiSasa API or credential changes</w:t>
            </w:r>
          </w:p>
        </w:tc>
        <w:tc>
          <w:tcPr>
            <w:tcW w:type="dxa" w:w="4900"/>
            <w:shd w:fill="F2F2F2" w:val="clear"/>
            <w:tcMar>
              <w:top w:type="dxa" w:w="70"/>
              <w:left w:type="dxa" w:w="100"/>
              <w:bottom w:type="dxa" w:w="70"/>
              <w:right w:type="dxa" w:w="100"/>
            </w:tcMar>
            <w:vAlign w:val="center"/>
          </w:tcPr>
          <w:p>
            <w:r>
              <w:rPr>
                <w:b w:val="false"/>
                <w:bCs w:val="false"/>
                <w:color w:val="1F2328"/>
                <w:sz w:val="18"/>
                <w:szCs w:val="18"/>
              </w:rPr>
              <w:t xml:space="preserve">OpenBao-managed credential rotation; n8n workflows isolated per government service so one integration break does not cascade</w:t>
            </w:r>
          </w:p>
        </w:tc>
      </w:tr>
      <w:tr>
        <w:tc>
          <w:tcPr>
            <w:tcW w:type="dxa" w:w="3800"/>
            <w:tcMar>
              <w:top w:type="dxa" w:w="70"/>
              <w:left w:type="dxa" w:w="100"/>
              <w:bottom w:type="dxa" w:w="70"/>
              <w:right w:type="dxa" w:w="100"/>
            </w:tcMar>
            <w:vAlign w:val="center"/>
          </w:tcPr>
          <w:p>
            <w:r>
              <w:rPr>
                <w:b w:val="false"/>
                <w:bCs w:val="false"/>
                <w:color w:val="1F2328"/>
                <w:sz w:val="18"/>
                <w:szCs w:val="18"/>
              </w:rPr>
              <w:t xml:space="preserve">Examination body policy changes (KNEC/CDACC/NITA)</w:t>
            </w:r>
          </w:p>
        </w:tc>
        <w:tc>
          <w:tcPr>
            <w:tcW w:type="dxa" w:w="4900"/>
            <w:tcMar>
              <w:top w:type="dxa" w:w="70"/>
              <w:left w:type="dxa" w:w="100"/>
              <w:bottom w:type="dxa" w:w="70"/>
              <w:right w:type="dxa" w:w="100"/>
            </w:tcMar>
            <w:vAlign w:val="center"/>
          </w:tcPr>
          <w:p>
            <w:r>
              <w:rPr>
                <w:b w:val="false"/>
                <w:bCs w:val="false"/>
                <w:color w:val="1F2328"/>
                <w:sz w:val="18"/>
                <w:szCs w:val="18"/>
              </w:rPr>
              <w:t xml:space="preserve">Multi-body registration strategy; sit_db schema treats exam bodies as a lookup, not hard-coded logic</w:t>
            </w:r>
          </w:p>
        </w:tc>
      </w:tr>
    </w:tbl>
    <w:p>
      <w:pPr>
        <w:spacing w:after="200"/>
      </w:pPr>
    </w:p>
    <w:p>
      <w:pPr>
        <w:pStyle w:val="Heading1"/>
        <w:pBdr>
          <w:bottom w:val="single" w:color="14213D" w:sz="6" w:space="4"/>
        </w:pBdr>
        <w:spacing w:after="200" w:before="400"/>
      </w:pPr>
      <w:r>
        <w:rPr>
          <w:b/>
          <w:bCs/>
          <w:color w:val="14213D"/>
          <w:sz w:val="30"/>
          <w:szCs w:val="30"/>
        </w:rPr>
        <w:t xml:space="preserve">21. Recommendations for i3 Technical Teams — Next Steps</w:t>
      </w:r>
    </w:p>
    <w:p>
      <w:pPr>
        <w:pStyle w:val="ListParagraph"/>
        <w:numPr>
          <w:ilvl w:val="0"/>
          <w:numId w:val="2"/>
        </w:numPr>
        <w:spacing w:after="80"/>
      </w:pPr>
      <w:r>
        <w:rPr>
          <w:color w:val="1F2328"/>
          <w:sz w:val="20"/>
          <w:szCs w:val="20"/>
        </w:rPr>
        <w:t xml:space="preserve">Stand up the i3-sit namespace and sit_db schema first (Phase 0) — this unblocks every downstream engine</w:t>
      </w:r>
    </w:p>
    <w:p>
      <w:pPr>
        <w:pStyle w:val="ListParagraph"/>
        <w:numPr>
          <w:ilvl w:val="0"/>
          <w:numId w:val="2"/>
        </w:numPr>
        <w:spacing w:after="80"/>
      </w:pPr>
      <w:r>
        <w:rPr>
          <w:color w:val="1F2328"/>
          <w:sz w:val="20"/>
          <w:szCs w:val="20"/>
        </w:rPr>
        <w:t xml:space="preserve">Reuse, never duplicate: every new agent must route through the existing LiteLLM gateway and log to Langfuse — no parallel model-serving infrastructure</w:t>
      </w:r>
    </w:p>
    <w:p>
      <w:pPr>
        <w:pStyle w:val="ListParagraph"/>
        <w:numPr>
          <w:ilvl w:val="0"/>
          <w:numId w:val="2"/>
        </w:numPr>
        <w:spacing w:after="80"/>
      </w:pPr>
      <w:r>
        <w:rPr>
          <w:color w:val="1F2328"/>
          <w:sz w:val="20"/>
          <w:szCs w:val="20"/>
        </w:rPr>
        <w:t xml:space="preserve">Treat EvalOS as the single assessment engine for both exam e-proctoring and VR-lab practical scoring — do not procure a third-party proctoring tool</w:t>
      </w:r>
    </w:p>
    <w:p>
      <w:pPr>
        <w:pStyle w:val="ListParagraph"/>
        <w:numPr>
          <w:ilvl w:val="0"/>
          <w:numId w:val="2"/>
        </w:numPr>
        <w:spacing w:after="80"/>
      </w:pPr>
      <w:r>
        <w:rPr>
          <w:color w:val="1F2328"/>
          <w:sz w:val="20"/>
          <w:szCs w:val="20"/>
        </w:rPr>
        <w:t xml:space="preserve">Wire sit-placement-agent to the Talent Graph from day one of Phase 2 — this is the highest-leverage cross-sell into i3's own Talent Cloud business</w:t>
      </w:r>
    </w:p>
    <w:p>
      <w:pPr>
        <w:pStyle w:val="ListParagraph"/>
        <w:numPr>
          <w:ilvl w:val="0"/>
          <w:numId w:val="2"/>
        </w:numPr>
        <w:spacing w:after="80"/>
      </w:pPr>
      <w:r>
        <w:rPr>
          <w:color w:val="1F2328"/>
          <w:sz w:val="20"/>
          <w:szCs w:val="20"/>
        </w:rPr>
        <w:t xml:space="preserve">Start the blockchain credential layer with hash-anchoring and QR verification only; do not build a smart-contract platform until commission-split volume justifies it</w:t>
      </w:r>
    </w:p>
    <w:p>
      <w:pPr>
        <w:pStyle w:val="ListParagraph"/>
        <w:numPr>
          <w:ilvl w:val="0"/>
          <w:numId w:val="2"/>
        </w:numPr>
        <w:spacing w:after="80"/>
      </w:pPr>
      <w:r>
        <w:rPr>
          <w:color w:val="1F2328"/>
          <w:sz w:val="20"/>
          <w:szCs w:val="20"/>
        </w:rPr>
        <w:t xml:space="preserve">Keep governance non-negotiable: no exam result, credential, or placement decision is confirmed by AI recommendation alone — human approval stays in the loop for every consequential decision, exactly as required for i3 Talent Cloud</w:t>
      </w:r>
    </w:p>
    <w:p>
      <w:pPr>
        <w:spacing w:after="200"/>
      </w:pPr>
    </w:p>
    <w:p>
      <w:pPr>
        <w:spacing w:after="160"/>
      </w:pPr>
      <w:r>
        <w:rPr>
          <w:i/>
          <w:iCs/>
          <w:color w:val="1F2328"/>
          <w:sz w:val="21"/>
          <w:szCs w:val="21"/>
        </w:rPr>
        <w:t xml:space="preserve">This guide should be treated as a living technical specification: as the Phase 0 feasibility work in the SIT proposal proceeds (TVETA/KNEC registrations, ODPC registration, site selection), the engineering team should update the namespace, schema and agent specifications here to reflect implementation decisions.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i3 Technologies Limited · Internal — Restricted ·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SIT × i3 Technologies — Technical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2026-09-16T00:42:56.451Z</dcterms:created>
  <dcterms:modified xsi:type="dcterms:W3CDTF">2026-09-16T00:42:56.459Z</dcterms:modified>
</cp:coreProperties>
</file>

<file path=docProps/custom.xml><?xml version="1.0" encoding="utf-8"?>
<Properties xmlns="http://schemas.openxmlformats.org/officeDocument/2006/custom-properties" xmlns:vt="http://schemas.openxmlformats.org/officeDocument/2006/docPropsVTypes"/>
</file>