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pPr>
    </w:p>
    <w:p>
      <w:pPr>
        <w:jc w:val="center"/>
      </w:pPr>
      <w:r>
        <w:rPr>
          <w:rFonts w:ascii="Calibri" w:cs="Calibri" w:eastAsia="Calibri" w:hAnsi="Calibri"/>
          <w:b/>
          <w:bCs/>
          <w:color w:val="0A1F44"/>
          <w:sz w:val="40"/>
          <w:szCs w:val="40"/>
        </w:rPr>
        <w:t xml:space="preserve">i3 TECHNOLOGIES</w:t>
      </w:r>
    </w:p>
    <w:p>
      <w:pPr>
        <w:spacing w:after="100"/>
        <w:jc w:val="center"/>
      </w:pPr>
      <w:r>
        <w:rPr>
          <w:rFonts w:ascii="Calibri" w:cs="Calibri" w:eastAsia="Calibri" w:hAnsi="Calibri"/>
          <w:i/>
          <w:iCs/>
          <w:color w:val="595959"/>
          <w:sz w:val="18"/>
          <w:szCs w:val="18"/>
        </w:rPr>
        <w:t xml:space="preserve">Formally Instrumented Interconnected &amp; Intelligent Technologies Limited</w:t>
      </w:r>
    </w:p>
    <w:p>
      <w:pPr>
        <w:pBdr>
          <w:bottom w:val="single" w:color="C9A227" w:sz="18" w:space="8"/>
        </w:pBdr>
        <w:spacing w:after="600"/>
        <w:jc w:val="center"/>
      </w:pPr>
      <w:r>
        <w:rPr>
          <w:rFonts w:ascii="Calibri" w:cs="Calibri" w:eastAsia="Calibri" w:hAnsi="Calibri"/>
          <w:b/>
          <w:bCs/>
          <w:color w:val="128C8C"/>
          <w:sz w:val="18"/>
          <w:szCs w:val="18"/>
        </w:rPr>
        <w:t xml:space="preserve">IBM Silver Business Partner  |  Red Hat Authorised Training Partner  |  Anthropic Partner</w:t>
      </w:r>
    </w:p>
    <w:p>
      <w:pPr>
        <w:spacing w:after="100" w:before="800"/>
        <w:jc w:val="center"/>
      </w:pPr>
      <w:r>
        <w:rPr>
          <w:rFonts w:ascii="Calibri" w:cs="Calibri" w:eastAsia="Calibri" w:hAnsi="Calibri"/>
          <w:b/>
          <w:bCs/>
          <w:color w:val="C9A227"/>
          <w:sz w:val="22"/>
          <w:szCs w:val="22"/>
        </w:rPr>
        <w:t xml:space="preserve">TECHNICAL SPECIFICATIONS</w:t>
      </w:r>
    </w:p>
    <w:p>
      <w:pPr>
        <w:spacing w:after="300"/>
        <w:jc w:val="center"/>
      </w:pPr>
      <w:r>
        <w:rPr>
          <w:rFonts w:ascii="Calibri" w:cs="Calibri" w:eastAsia="Calibri" w:hAnsi="Calibri"/>
          <w:color w:val="0A1F44"/>
          <w:sz w:val="30"/>
          <w:szCs w:val="30"/>
        </w:rPr>
        <w:t xml:space="preserve">Additional Software Capability Stack for the</w:t>
      </w:r>
    </w:p>
    <w:p>
      <w:pPr>
        <w:spacing w:after="500"/>
        <w:jc w:val="center"/>
      </w:pPr>
      <w:r>
        <w:rPr>
          <w:rFonts w:ascii="Calibri" w:cs="Calibri" w:eastAsia="Calibri" w:hAnsi="Calibri"/>
          <w:b/>
          <w:bCs/>
          <w:color w:val="0A1F44"/>
          <w:sz w:val="40"/>
          <w:szCs w:val="40"/>
        </w:rPr>
        <w:t xml:space="preserve">i3 Sovereign AI Appliance (i3-SAA)</w:t>
      </w:r>
    </w:p>
    <w:p>
      <w:pPr>
        <w:spacing w:after="80"/>
        <w:jc w:val="center"/>
      </w:pPr>
      <w:r>
        <w:rPr>
          <w:rFonts w:ascii="Calibri" w:cs="Calibri" w:eastAsia="Calibri" w:hAnsi="Calibri"/>
          <w:i/>
          <w:iCs/>
          <w:color w:val="128C8C"/>
          <w:sz w:val="22"/>
          <w:szCs w:val="22"/>
        </w:rPr>
        <w:t xml:space="preserve">Agentic Orchestration, Model Routing, Memory, Tooling &amp; Governance Layers</w:t>
      </w:r>
    </w:p>
    <w:p>
      <w:pPr>
        <w:spacing w:before="1600"/>
        <w:jc w:val="center"/>
      </w:pPr>
      <w:r>
        <w:rPr>
          <w:rFonts w:ascii="Calibri" w:cs="Calibri" w:eastAsia="Calibri" w:hAnsi="Calibri"/>
          <w:b/>
          <w:bCs/>
          <w:color w:val="B00020"/>
          <w:sz w:val="20"/>
          <w:szCs w:val="20"/>
        </w:rPr>
        <w:t xml:space="preserve">CONFIDENTIAL — INTERNAL TECHNICAL PLANNING DOCUMENT</w:t>
      </w:r>
    </w:p>
    <w:p>
      <w:pPr>
        <w:spacing w:before="800"/>
        <w:jc w:val="center"/>
      </w:pPr>
      <w:r>
        <w:rPr>
          <w:rFonts w:ascii="Calibri" w:cs="Calibri" w:eastAsia="Calibri" w:hAnsi="Calibri"/>
          <w:color w:val="595959"/>
          <w:sz w:val="18"/>
          <w:szCs w:val="18"/>
        </w:rPr>
        <w:t xml:space="preserve">Document Reference: i3-SAA-TS-2026-09</w:t>
      </w:r>
    </w:p>
    <w:p>
      <w:pPr>
        <w:jc w:val="center"/>
      </w:pPr>
      <w:r>
        <w:rPr>
          <w:rFonts w:ascii="Calibri" w:cs="Calibri" w:eastAsia="Calibri" w:hAnsi="Calibri"/>
          <w:color w:val="595959"/>
          <w:sz w:val="18"/>
          <w:szCs w:val="18"/>
        </w:rPr>
        <w:t xml:space="preserve">Companion to i3-SAA-MP-2026-09 (Sovereign AI Appliance Master Proposal)</w:t>
      </w:r>
    </w:p>
    <w:p>
      <w:pPr>
        <w:jc w:val="center"/>
      </w:pPr>
      <w:r>
        <w:rPr>
          <w:rFonts w:ascii="Calibri" w:cs="Calibri" w:eastAsia="Calibri" w:hAnsi="Calibri"/>
          <w:color w:val="595959"/>
          <w:sz w:val="18"/>
          <w:szCs w:val="18"/>
        </w:rPr>
        <w:t xml:space="preserve">Prepared: September 2026</w:t>
      </w:r>
    </w:p>
    <w:p>
      <w:pPr>
        <w:sectPr>
          <w:pgSz w:w="12240" w:h="15840" w:orient="portrait"/>
          <w:pgMar w:top="1440" w:right="1350" w:bottom="1440" w:left="1350" w:header="708" w:footer="708" w:gutter="0"/>
          <w:pgNumType/>
          <w:docGrid w:linePitch="360"/>
        </w:sectPr>
      </w:pPr>
    </w:p>
    <w:p>
      <w:pPr>
        <w:pStyle w:val="Heading1"/>
        <w:pBdr>
          <w:bottom w:val="single" w:color="C9A227" w:sz="12" w:space="4"/>
        </w:pBdr>
        <w:spacing w:after="200" w:before="400"/>
      </w:pPr>
      <w:r>
        <w:rPr>
          <w:rFonts w:ascii="Calibri" w:cs="Calibri" w:eastAsia="Calibri" w:hAnsi="Calibri"/>
          <w:b/>
          <w:bCs/>
          <w:color w:val="0A1F44"/>
          <w:sz w:val="30"/>
          <w:szCs w:val="30"/>
        </w:rPr>
        <w:t xml:space="preserve">1. Executive Summary</w:t>
      </w:r>
    </w:p>
    <w:p>
      <w:pPr>
        <w:spacing w:after="160" w:line="276"/>
      </w:pPr>
      <w:r>
        <w:rPr>
          <w:rFonts w:ascii="Calibri" w:cs="Calibri" w:eastAsia="Calibri" w:hAnsi="Calibri"/>
          <w:color w:val="262626"/>
          <w:sz w:val="21"/>
          <w:szCs w:val="21"/>
        </w:rPr>
        <w:t xml:space="preserve">The i3-SAA Master Proposal (i3-SAA-MP-2026-09) specifies the hardware, orchestration/governance and foundation-model layers of the Sovereign AI Appliance — IBM Power/LinuxONE compute, watsonx Orchestrate, Sovereign Core, and the open-source-plus-Granite model garden. That proposal correctly treats the vertical model library (AgriGranite, FinGranite, GovGranite, etc.) as the appliance's commercial moat. It does not yet specify the software layer that sits between the model garden and the end user — the layer that actually turns a set of models running on a server into an agentic product a bank teller, county officer or SACCO clerk can use.</w:t>
      </w:r>
    </w:p>
    <w:p>
      <w:pPr>
        <w:spacing w:after="160" w:line="276"/>
      </w:pPr>
      <w:r>
        <w:rPr>
          <w:rFonts w:ascii="Calibri" w:cs="Calibri" w:eastAsia="Calibri" w:hAnsi="Calibri"/>
          <w:color w:val="262626"/>
          <w:sz w:val="21"/>
          <w:szCs w:val="21"/>
        </w:rPr>
        <w:t xml:space="preserve">This document specifies that missing layer. It is written as a companion technical specification, not a replacement for the Master Proposal, and reuses its terminology (tiers, delivery motions, vertical packs) throughout. The starting point is i3's own internal engineering note on adapting IBM Bob's orchestration patterns to an open-source model stack (Granite, Mistral, Qwen, DeepSeek) — that note is treated here as the seed architecture and expanded into a full, appliance-grade specification with concrete technology choices, licensing posture, and integration points against each i3-SAA tier.</w:t>
      </w:r>
    </w:p>
    <w:p>
      <w:pPr>
        <w:spacing w:after="160" w:line="276"/>
      </w:pPr>
      <w:r>
        <w:rPr>
          <w:rFonts w:ascii="Calibri" w:cs="Calibri" w:eastAsia="Calibri" w:hAnsi="Calibri"/>
          <w:color w:val="262626"/>
          <w:sz w:val="21"/>
          <w:szCs w:val="21"/>
        </w:rPr>
        <w:t xml:space="preserve">Seven additional software capabilities are specified: (1) a model routing and orchestration layer, (2) an agentic execution framework, (3) a sandboxed execution runtime, (4) a persistent memory and context system, (5) an MCP-based tool integration layer, (6) a business action registry with approval workflows, and (7) an evaluation, guardrails and cost-governance layer. Together these form what this document calls the i3 Agentic Runtime (i3-AR) — the software product that ships inside every i3-SAA appliance, on top of Red Hat OpenShift AI and beneath the vertical model packs.</w:t>
      </w:r>
    </w:p>
    <w:p>
      <w:pPr>
        <w:pStyle w:val="Heading1"/>
        <w:pBdr>
          <w:bottom w:val="single" w:color="C9A227" w:sz="12" w:space="4"/>
        </w:pBdr>
        <w:spacing w:after="200" w:before="400"/>
      </w:pPr>
      <w:r>
        <w:rPr>
          <w:rFonts w:ascii="Calibri" w:cs="Calibri" w:eastAsia="Calibri" w:hAnsi="Calibri"/>
          <w:b/>
          <w:bCs/>
          <w:color w:val="0A1F44"/>
          <w:sz w:val="30"/>
          <w:szCs w:val="30"/>
        </w:rPr>
        <w:t xml:space="preserve">2. Purpose, Scope &amp; Relationship to the Master Proposal</w:t>
      </w:r>
    </w:p>
    <w:p>
      <w:pPr>
        <w:spacing w:after="160" w:line="276"/>
      </w:pPr>
      <w:r>
        <w:rPr>
          <w:rFonts w:ascii="Calibri" w:cs="Calibri" w:eastAsia="Calibri" w:hAnsi="Calibri"/>
          <w:color w:val="262626"/>
          <w:sz w:val="21"/>
          <w:szCs w:val="21"/>
        </w:rPr>
        <w:t xml:space="preserve">Purpose: to give i3's engineering team a concrete, buildable technology stack for the software layer the Master Proposal references but does not detail — the layer IBM's own Bob product occupies inside an all-IBM stack, and which i3 must build or assemble for a multi-vendor, open-source-plus-Granite stack.</w:t>
      </w:r>
    </w:p>
    <w:p>
      <w:pPr>
        <w:spacing w:after="160" w:line="276"/>
      </w:pPr>
      <w:r>
        <w:rPr>
          <w:rFonts w:ascii="Calibri" w:cs="Calibri" w:eastAsia="Calibri" w:hAnsi="Calibri"/>
          <w:color w:val="262626"/>
          <w:sz w:val="21"/>
          <w:szCs w:val="21"/>
        </w:rPr>
        <w:t xml:space="preserve">Scope: this document covers software only. It assumes the hardware (Section 4 of the Master Proposal: Power11/Spyre, RHOAI, watsonx Orchestrate, Sovereign Core) and the vertical model packs (Section 6 of the Master Proposal) as fixed inputs, and specifies everything required to connect them into a working, governed, multi-agent product.</w:t>
      </w:r>
    </w:p>
    <w:p>
      <w:pPr>
        <w:pStyle w:val="Heading3"/>
        <w:spacing w:after="100" w:before="200"/>
      </w:pPr>
      <w:r>
        <w:rPr>
          <w:rFonts w:ascii="Calibri" w:cs="Calibri" w:eastAsia="Calibri" w:hAnsi="Calibri"/>
          <w:b/>
          <w:bCs/>
          <w:color w:val="0A1F44"/>
          <w:sz w:val="21"/>
          <w:szCs w:val="21"/>
        </w:rPr>
        <w:t xml:space="preserve">How this maps onto the existing five-layer reference architecture</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600"/>
        <w:gridCol w:w="3600"/>
        <w:gridCol w:w="3300"/>
      </w:tblGrid>
      <w:tr>
        <w:trPr>
          <w:tblHeader/>
        </w:trPr>
        <w:tc>
          <w:tcPr>
            <w:tcW w:type="dxa" w:w="2600"/>
            <w:shd w:fill="0A1F44" w:color="auto" w:val="clear"/>
            <w:tcMar>
              <w:top w:type="dxa" w:w="80"/>
              <w:left w:type="dxa" w:w="100"/>
              <w:bottom w:type="dxa" w:w="80"/>
              <w:right w:type="dxa" w:w="100"/>
            </w:tcMar>
            <w:vAlign w:val="center"/>
          </w:tcPr>
          <w:p>
            <w:pPr>
              <w:jc w:val="left"/>
            </w:pPr>
            <w:r>
              <w:rPr>
                <w:rFonts w:ascii="Calibri" w:cs="Calibri" w:eastAsia="Calibri" w:hAnsi="Calibri"/>
                <w:b/>
                <w:bCs/>
                <w:color w:val="FFFFFF"/>
                <w:sz w:val="19"/>
                <w:szCs w:val="19"/>
              </w:rPr>
              <w:t xml:space="preserve">Master Proposal Layer</w:t>
            </w:r>
          </w:p>
        </w:tc>
        <w:tc>
          <w:tcPr>
            <w:tcW w:type="dxa" w:w="3600"/>
            <w:shd w:fill="0A1F44" w:color="auto" w:val="clear"/>
            <w:tcMar>
              <w:top w:type="dxa" w:w="80"/>
              <w:left w:type="dxa" w:w="100"/>
              <w:bottom w:type="dxa" w:w="80"/>
              <w:right w:type="dxa" w:w="100"/>
            </w:tcMar>
            <w:vAlign w:val="center"/>
          </w:tcPr>
          <w:p>
            <w:pPr>
              <w:jc w:val="left"/>
            </w:pPr>
            <w:r>
              <w:rPr>
                <w:rFonts w:ascii="Calibri" w:cs="Calibri" w:eastAsia="Calibri" w:hAnsi="Calibri"/>
                <w:b/>
                <w:bCs/>
                <w:color w:val="FFFFFF"/>
                <w:sz w:val="19"/>
                <w:szCs w:val="19"/>
              </w:rPr>
              <w:t xml:space="preserve">What It Already Specifies</w:t>
            </w:r>
          </w:p>
        </w:tc>
        <w:tc>
          <w:tcPr>
            <w:tcW w:type="dxa" w:w="3300"/>
            <w:shd w:fill="0A1F44" w:color="auto" w:val="clear"/>
            <w:tcMar>
              <w:top w:type="dxa" w:w="80"/>
              <w:left w:type="dxa" w:w="100"/>
              <w:bottom w:type="dxa" w:w="80"/>
              <w:right w:type="dxa" w:w="100"/>
            </w:tcMar>
            <w:vAlign w:val="center"/>
          </w:tcPr>
          <w:p>
            <w:pPr>
              <w:jc w:val="left"/>
            </w:pPr>
            <w:r>
              <w:rPr>
                <w:rFonts w:ascii="Calibri" w:cs="Calibri" w:eastAsia="Calibri" w:hAnsi="Calibri"/>
                <w:b/>
                <w:bCs/>
                <w:color w:val="FFFFFF"/>
                <w:sz w:val="19"/>
                <w:szCs w:val="19"/>
              </w:rPr>
              <w:t xml:space="preserve">What This Document Adds</w:t>
            </w:r>
          </w:p>
        </w:tc>
      </w:tr>
      <w:tr>
        <w:tc>
          <w:tcPr>
            <w:tcW w:type="dxa" w:w="2600"/>
            <w:shd w:fill="F2F2F2"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262626"/>
                <w:sz w:val="19"/>
                <w:szCs w:val="19"/>
              </w:rPr>
              <w:t xml:space="preserve">1. Hardware</w:t>
            </w:r>
          </w:p>
        </w:tc>
        <w:tc>
          <w:tcPr>
            <w:tcW w:type="dxa" w:w="3600"/>
            <w:shd w:fill="F2F2F2"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262626"/>
                <w:sz w:val="19"/>
                <w:szCs w:val="19"/>
              </w:rPr>
              <w:t xml:space="preserve">Power11/Spyre, LinuxONE, storage</w:t>
            </w:r>
          </w:p>
        </w:tc>
        <w:tc>
          <w:tcPr>
            <w:tcW w:type="dxa" w:w="3300"/>
            <w:shd w:fill="F2F2F2"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262626"/>
                <w:sz w:val="19"/>
                <w:szCs w:val="19"/>
              </w:rPr>
              <w:t xml:space="preserve">No change — consumed as-is</w:t>
            </w:r>
          </w:p>
        </w:tc>
      </w:tr>
      <w:tr>
        <w:tc>
          <w:tcPr>
            <w:tcW w:type="dxa" w:w="2600"/>
            <w:tcMar>
              <w:top w:type="dxa" w:w="80"/>
              <w:left w:type="dxa" w:w="100"/>
              <w:bottom w:type="dxa" w:w="80"/>
              <w:right w:type="dxa" w:w="100"/>
            </w:tcMar>
            <w:vAlign w:val="center"/>
          </w:tcPr>
          <w:p>
            <w:pPr>
              <w:jc w:val="left"/>
            </w:pPr>
            <w:r>
              <w:rPr>
                <w:rFonts w:ascii="Calibri" w:cs="Calibri" w:eastAsia="Calibri" w:hAnsi="Calibri"/>
                <w:b w:val="false"/>
                <w:bCs w:val="false"/>
                <w:color w:val="262626"/>
                <w:sz w:val="19"/>
                <w:szCs w:val="19"/>
              </w:rPr>
              <w:t xml:space="preserve">2. Platform</w:t>
            </w:r>
          </w:p>
        </w:tc>
        <w:tc>
          <w:tcPr>
            <w:tcW w:type="dxa" w:w="3600"/>
            <w:tcMar>
              <w:top w:type="dxa" w:w="80"/>
              <w:left w:type="dxa" w:w="100"/>
              <w:bottom w:type="dxa" w:w="80"/>
              <w:right w:type="dxa" w:w="100"/>
            </w:tcMar>
            <w:vAlign w:val="center"/>
          </w:tcPr>
          <w:p>
            <w:pPr>
              <w:jc w:val="left"/>
            </w:pPr>
            <w:r>
              <w:rPr>
                <w:rFonts w:ascii="Calibri" w:cs="Calibri" w:eastAsia="Calibri" w:hAnsi="Calibri"/>
                <w:b w:val="false"/>
                <w:bCs w:val="false"/>
                <w:color w:val="262626"/>
                <w:sz w:val="19"/>
                <w:szCs w:val="19"/>
              </w:rPr>
              <w:t xml:space="preserve">Red Hat OpenShift AI, vLLM</w:t>
            </w:r>
          </w:p>
        </w:tc>
        <w:tc>
          <w:tcPr>
            <w:tcW w:type="dxa" w:w="3300"/>
            <w:tcMar>
              <w:top w:type="dxa" w:w="80"/>
              <w:left w:type="dxa" w:w="100"/>
              <w:bottom w:type="dxa" w:w="80"/>
              <w:right w:type="dxa" w:w="100"/>
            </w:tcMar>
            <w:vAlign w:val="center"/>
          </w:tcPr>
          <w:p>
            <w:pPr>
              <w:jc w:val="left"/>
            </w:pPr>
            <w:r>
              <w:rPr>
                <w:rFonts w:ascii="Calibri" w:cs="Calibri" w:eastAsia="Calibri" w:hAnsi="Calibri"/>
                <w:b w:val="false"/>
                <w:bCs w:val="false"/>
                <w:color w:val="262626"/>
                <w:sz w:val="19"/>
                <w:szCs w:val="19"/>
              </w:rPr>
              <w:t xml:space="preserve">Deployment target for every i3-AR component below</w:t>
            </w:r>
          </w:p>
        </w:tc>
      </w:tr>
      <w:tr>
        <w:tc>
          <w:tcPr>
            <w:tcW w:type="dxa" w:w="2600"/>
            <w:shd w:fill="F2F2F2"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262626"/>
                <w:sz w:val="19"/>
                <w:szCs w:val="19"/>
              </w:rPr>
              <w:t xml:space="preserve">3. Orchestration &amp; governance</w:t>
            </w:r>
          </w:p>
        </w:tc>
        <w:tc>
          <w:tcPr>
            <w:tcW w:type="dxa" w:w="3600"/>
            <w:shd w:fill="F2F2F2"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262626"/>
                <w:sz w:val="19"/>
                <w:szCs w:val="19"/>
              </w:rPr>
              <w:t xml:space="preserve">watsonx Orchestrate, Sovereign Core, IBM Concert, IBM Bob</w:t>
            </w:r>
          </w:p>
        </w:tc>
        <w:tc>
          <w:tcPr>
            <w:tcW w:type="dxa" w:w="3300"/>
            <w:shd w:fill="F2F2F2"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262626"/>
                <w:sz w:val="19"/>
                <w:szCs w:val="19"/>
              </w:rPr>
              <w:t xml:space="preserve">The i3-AR routing, agent-loop, memory, tool and action-registry layers that operate alongside/underneath these where Bob itself is not licensed on a given deployment</w:t>
            </w:r>
          </w:p>
        </w:tc>
      </w:tr>
      <w:tr>
        <w:tc>
          <w:tcPr>
            <w:tcW w:type="dxa" w:w="2600"/>
            <w:tcMar>
              <w:top w:type="dxa" w:w="80"/>
              <w:left w:type="dxa" w:w="100"/>
              <w:bottom w:type="dxa" w:w="80"/>
              <w:right w:type="dxa" w:w="100"/>
            </w:tcMar>
            <w:vAlign w:val="center"/>
          </w:tcPr>
          <w:p>
            <w:pPr>
              <w:jc w:val="left"/>
            </w:pPr>
            <w:r>
              <w:rPr>
                <w:rFonts w:ascii="Calibri" w:cs="Calibri" w:eastAsia="Calibri" w:hAnsi="Calibri"/>
                <w:b w:val="false"/>
                <w:bCs w:val="false"/>
                <w:color w:val="262626"/>
                <w:sz w:val="19"/>
                <w:szCs w:val="19"/>
              </w:rPr>
              <w:t xml:space="preserve">4. Model garden</w:t>
            </w:r>
          </w:p>
        </w:tc>
        <w:tc>
          <w:tcPr>
            <w:tcW w:type="dxa" w:w="3600"/>
            <w:tcMar>
              <w:top w:type="dxa" w:w="80"/>
              <w:left w:type="dxa" w:w="100"/>
              <w:bottom w:type="dxa" w:w="80"/>
              <w:right w:type="dxa" w:w="100"/>
            </w:tcMar>
            <w:vAlign w:val="center"/>
          </w:tcPr>
          <w:p>
            <w:pPr>
              <w:jc w:val="left"/>
            </w:pPr>
            <w:r>
              <w:rPr>
                <w:rFonts w:ascii="Calibri" w:cs="Calibri" w:eastAsia="Calibri" w:hAnsi="Calibri"/>
                <w:b w:val="false"/>
                <w:bCs w:val="false"/>
                <w:color w:val="262626"/>
                <w:sz w:val="19"/>
                <w:szCs w:val="19"/>
              </w:rPr>
              <w:t xml:space="preserve">Open-source LLMs + Granite 4.x family</w:t>
            </w:r>
          </w:p>
        </w:tc>
        <w:tc>
          <w:tcPr>
            <w:tcW w:type="dxa" w:w="3300"/>
            <w:tcMar>
              <w:top w:type="dxa" w:w="80"/>
              <w:left w:type="dxa" w:w="100"/>
              <w:bottom w:type="dxa" w:w="80"/>
              <w:right w:type="dxa" w:w="100"/>
            </w:tcMar>
            <w:vAlign w:val="center"/>
          </w:tcPr>
          <w:p>
            <w:pPr>
              <w:jc w:val="left"/>
            </w:pPr>
            <w:r>
              <w:rPr>
                <w:rFonts w:ascii="Calibri" w:cs="Calibri" w:eastAsia="Calibri" w:hAnsi="Calibri"/>
                <w:b w:val="false"/>
                <w:bCs w:val="false"/>
                <w:color w:val="262626"/>
                <w:sz w:val="19"/>
                <w:szCs w:val="19"/>
              </w:rPr>
              <w:t xml:space="preserve">The routing logic that decides which model handles which task, and the evaluation harness that scores them</w:t>
            </w:r>
          </w:p>
        </w:tc>
      </w:tr>
      <w:tr>
        <w:tc>
          <w:tcPr>
            <w:tcW w:type="dxa" w:w="2600"/>
            <w:shd w:fill="F2F2F2"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262626"/>
                <w:sz w:val="19"/>
                <w:szCs w:val="19"/>
              </w:rPr>
              <w:t xml:space="preserve">5. Vertical intelligence</w:t>
            </w:r>
          </w:p>
        </w:tc>
        <w:tc>
          <w:tcPr>
            <w:tcW w:type="dxa" w:w="3600"/>
            <w:shd w:fill="F2F2F2"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262626"/>
                <w:sz w:val="19"/>
                <w:szCs w:val="19"/>
              </w:rPr>
              <w:t xml:space="preserve">AgriGranite/FinGranite/GovGranite packs</w:t>
            </w:r>
          </w:p>
        </w:tc>
        <w:tc>
          <w:tcPr>
            <w:tcW w:type="dxa" w:w="3300"/>
            <w:shd w:fill="F2F2F2"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262626"/>
                <w:sz w:val="19"/>
                <w:szCs w:val="19"/>
              </w:rPr>
              <w:t xml:space="preserve">The action registry, approval workflow and memory system each vertical pack plugs into</w:t>
            </w:r>
          </w:p>
        </w:tc>
      </w:tr>
    </w:tbl>
    <w:p>
      <w:pPr>
        <w:spacing w:after="160" w:line="276"/>
      </w:pPr>
      <w:r>
        <w:rPr>
          <w:rFonts w:ascii="Calibri" w:cs="Calibri" w:eastAsia="Calibri" w:hAnsi="Calibri"/>
          <w:color w:val="262626"/>
          <w:sz w:val="21"/>
          <w:szCs w:val="21"/>
        </w:rPr>
        <w:t xml:space="preserve"/>
      </w:r>
    </w:p>
    <w:p>
      <w:pPr>
        <w:pStyle w:val="Heading1"/>
        <w:pBdr>
          <w:bottom w:val="single" w:color="C9A227" w:sz="12" w:space="4"/>
        </w:pBdr>
        <w:spacing w:after="200" w:before="400"/>
      </w:pPr>
      <w:r>
        <w:rPr>
          <w:rFonts w:ascii="Calibri" w:cs="Calibri" w:eastAsia="Calibri" w:hAnsi="Calibri"/>
          <w:b/>
          <w:bCs/>
          <w:color w:val="0A1F44"/>
          <w:sz w:val="30"/>
          <w:szCs w:val="30"/>
        </w:rPr>
        <w:t xml:space="preserve">3. Why an Additional Software Layer Is Required</w:t>
      </w:r>
    </w:p>
    <w:p>
      <w:pPr>
        <w:spacing w:after="160" w:line="276"/>
      </w:pPr>
      <w:r>
        <w:rPr>
          <w:rFonts w:ascii="Calibri" w:cs="Calibri" w:eastAsia="Calibri" w:hAnsi="Calibri"/>
          <w:color w:val="262626"/>
          <w:sz w:val="21"/>
          <w:szCs w:val="21"/>
        </w:rPr>
        <w:t xml:space="preserve">A model garden is not a product. Loading Granite 4.1, an open-source Llama/Mistral-class model, and a vertical fine-tune onto a Power11 node gives the appliance inference capability, but three practical gaps remain open between that and a deployable, sellable appliance:</w:t>
      </w:r>
    </w:p>
    <w:p>
      <w:pPr>
        <w:pStyle w:val="ListParagraph"/>
        <w:numPr>
          <w:ilvl w:val="0"/>
          <w:numId w:val="2"/>
        </w:numPr>
        <w:spacing w:after="80"/>
      </w:pPr>
      <w:r>
        <w:rPr>
          <w:rFonts w:ascii="Calibri" w:cs="Calibri" w:eastAsia="Calibri" w:hAnsi="Calibri"/>
          <w:color w:val="262626"/>
          <w:sz w:val="21"/>
          <w:szCs w:val="21"/>
        </w:rPr>
        <w:t xml:space="preserve">Model selection gap — nothing decides, per request, whether a task should go to a 3B Granite micro-model, a 30B Granite model, an open-source general-reasoning model, or a vertical fine-tune. Without a router, every request either over-pays (always calling the largest model) or under-performs (always calling the cheapest).</w:t>
      </w:r>
    </w:p>
    <w:p>
      <w:pPr>
        <w:pStyle w:val="ListParagraph"/>
        <w:numPr>
          <w:ilvl w:val="0"/>
          <w:numId w:val="2"/>
        </w:numPr>
        <w:spacing w:after="80"/>
      </w:pPr>
      <w:r>
        <w:rPr>
          <w:rFonts w:ascii="Calibri" w:cs="Calibri" w:eastAsia="Calibri" w:hAnsi="Calibri"/>
          <w:color w:val="262626"/>
          <w:sz w:val="21"/>
          <w:szCs w:val="21"/>
        </w:rPr>
        <w:t xml:space="preserve">Execution gap — a model that only returns text cannot draft an email, run a Python analysis, or trigger a workflow. An agent loop, a sandboxed runtime and a tool-calling protocol are required to turn model output into safe, bounded action.</w:t>
      </w:r>
    </w:p>
    <w:p>
      <w:pPr>
        <w:pStyle w:val="ListParagraph"/>
        <w:numPr>
          <w:ilvl w:val="0"/>
          <w:numId w:val="2"/>
        </w:numPr>
        <w:spacing w:after="80"/>
      </w:pPr>
      <w:r>
        <w:rPr>
          <w:rFonts w:ascii="Calibri" w:cs="Calibri" w:eastAsia="Calibri" w:hAnsi="Calibri"/>
          <w:color w:val="262626"/>
          <w:sz w:val="21"/>
          <w:szCs w:val="21"/>
        </w:rPr>
        <w:t xml:space="preserve">Continuity gap — without persistent memory, every appliance session starts from zero, re-explaining business context the customer already provided. This is the difference between a chatbot and a "digital coworker."</w:t>
      </w:r>
    </w:p>
    <w:p>
      <w:pPr>
        <w:spacing w:after="160" w:line="276"/>
      </w:pPr>
      <w:r>
        <w:rPr>
          <w:rFonts w:ascii="Calibri" w:cs="Calibri" w:eastAsia="Calibri" w:hAnsi="Calibri"/>
          <w:color w:val="262626"/>
          <w:sz w:val="21"/>
          <w:szCs w:val="21"/>
        </w:rPr>
        <w:t xml:space="preserve">i3's own internal Bob-adaptation note (reproduced in structure in Section 5 below) already identifies the right shape for this layer for i3's non-IBM-licensed deployments and small-business-facing products; this document extends that shape into an appliance-grade specification with explicit technology choices, deployment topology, and a mapping to every i3-SAA tier and vertical pack.</w:t>
      </w:r>
    </w:p>
    <w:p>
      <w:pPr>
        <w:pStyle w:val="Heading1"/>
        <w:pBdr>
          <w:bottom w:val="single" w:color="C9A227" w:sz="12" w:space="4"/>
        </w:pBdr>
        <w:spacing w:after="200" w:before="400"/>
      </w:pPr>
      <w:r>
        <w:rPr>
          <w:rFonts w:ascii="Calibri" w:cs="Calibri" w:eastAsia="Calibri" w:hAnsi="Calibri"/>
          <w:b/>
          <w:bCs/>
          <w:color w:val="0A1F44"/>
          <w:sz w:val="30"/>
          <w:szCs w:val="30"/>
        </w:rPr>
        <w:t xml:space="preserve">4. i3 Agentic Runtime (i3-AR) — Architecture Overview</w:t>
      </w:r>
    </w:p>
    <w:p>
      <w:pPr>
        <w:spacing w:after="160" w:line="276"/>
      </w:pPr>
      <w:r>
        <w:rPr>
          <w:rFonts w:ascii="Calibri" w:cs="Calibri" w:eastAsia="Calibri" w:hAnsi="Calibri"/>
          <w:color w:val="262626"/>
          <w:sz w:val="21"/>
          <w:szCs w:val="21"/>
        </w:rPr>
        <w:t xml:space="preserve">i3-AR is proposed as a named internal product — the software i3 owns and ships inside every appliance tier, positioned directly beneath the vertical packs and directly above Red Hat OpenShift AI. Where a given deployment licenses IBM Bob and full watsonx Orchestrate, i3-AR's routing and action-registry components operate as the business-logic layer underneath them. Where a deployment (typically Edge tier, or a non-IBM-licensed configuration) does not carry the full IBM agentic stack, i3-AR is the complete orchestration layer end-to-end.</w:t>
      </w:r>
    </w:p>
    <w:p>
      <w:pPr>
        <w:pStyle w:val="Heading3"/>
        <w:spacing w:after="100" w:before="200"/>
      </w:pPr>
      <w:r>
        <w:rPr>
          <w:rFonts w:ascii="Calibri" w:cs="Calibri" w:eastAsia="Calibri" w:hAnsi="Calibri"/>
          <w:b/>
          <w:bCs/>
          <w:color w:val="0A1F44"/>
          <w:sz w:val="21"/>
          <w:szCs w:val="21"/>
        </w:rPr>
        <w:t xml:space="preserve">i3-AR component stack (top to bottom)</w:t>
      </w:r>
    </w:p>
    <w:p>
      <w:pPr>
        <w:pStyle w:val="ListParagraph"/>
        <w:numPr>
          <w:ilvl w:val="0"/>
          <w:numId w:val="2"/>
        </w:numPr>
        <w:spacing w:after="80"/>
      </w:pPr>
      <w:r>
        <w:rPr>
          <w:rFonts w:ascii="Calibri" w:cs="Calibri" w:eastAsia="Calibri" w:hAnsi="Calibri"/>
          <w:color w:val="262626"/>
          <w:sz w:val="21"/>
          <w:szCs w:val="21"/>
        </w:rPr>
        <w:t xml:space="preserve">Vertical Pack Interface — AgriGranite / FinGranite / GovGranite / etc. register their prompts, fine-tuned model endpoints and business actions against i3-AR</w:t>
      </w:r>
    </w:p>
    <w:p>
      <w:pPr>
        <w:pStyle w:val="ListParagraph"/>
        <w:numPr>
          <w:ilvl w:val="0"/>
          <w:numId w:val="2"/>
        </w:numPr>
        <w:spacing w:after="80"/>
      </w:pPr>
      <w:r>
        <w:rPr>
          <w:rFonts w:ascii="Calibri" w:cs="Calibri" w:eastAsia="Calibri" w:hAnsi="Calibri"/>
          <w:color w:val="262626"/>
          <w:sz w:val="21"/>
          <w:szCs w:val="21"/>
        </w:rPr>
        <w:t xml:space="preserve">Business Action Registry &amp; Approval Workflows — named, permissioned actions with human sign-off gates</w:t>
      </w:r>
    </w:p>
    <w:p>
      <w:pPr>
        <w:pStyle w:val="ListParagraph"/>
        <w:numPr>
          <w:ilvl w:val="0"/>
          <w:numId w:val="2"/>
        </w:numPr>
        <w:spacing w:after="80"/>
      </w:pPr>
      <w:r>
        <w:rPr>
          <w:rFonts w:ascii="Calibri" w:cs="Calibri" w:eastAsia="Calibri" w:hAnsi="Calibri"/>
          <w:color w:val="262626"/>
          <w:sz w:val="21"/>
          <w:szCs w:val="21"/>
        </w:rPr>
        <w:t xml:space="preserve">MCP Tool Integration Layer — standardised tool calling to CRMs, cores, document stores</w:t>
      </w:r>
    </w:p>
    <w:p>
      <w:pPr>
        <w:pStyle w:val="ListParagraph"/>
        <w:numPr>
          <w:ilvl w:val="0"/>
          <w:numId w:val="2"/>
        </w:numPr>
        <w:spacing w:after="80"/>
      </w:pPr>
      <w:r>
        <w:rPr>
          <w:rFonts w:ascii="Calibri" w:cs="Calibri" w:eastAsia="Calibri" w:hAnsi="Calibri"/>
          <w:color w:val="262626"/>
          <w:sz w:val="21"/>
          <w:szCs w:val="21"/>
        </w:rPr>
        <w:t xml:space="preserve">Agentic Execution Framework — the agent loop, subagent spawning, Agent/Plan/Ask modes</w:t>
      </w:r>
    </w:p>
    <w:p>
      <w:pPr>
        <w:pStyle w:val="ListParagraph"/>
        <w:numPr>
          <w:ilvl w:val="0"/>
          <w:numId w:val="2"/>
        </w:numPr>
        <w:spacing w:after="80"/>
      </w:pPr>
      <w:r>
        <w:rPr>
          <w:rFonts w:ascii="Calibri" w:cs="Calibri" w:eastAsia="Calibri" w:hAnsi="Calibri"/>
          <w:color w:val="262626"/>
          <w:sz w:val="21"/>
          <w:szCs w:val="21"/>
        </w:rPr>
        <w:t xml:space="preserve">Sandboxed Execution Runtime — isolated, permissioned workspace for file and code operations</w:t>
      </w:r>
    </w:p>
    <w:p>
      <w:pPr>
        <w:pStyle w:val="ListParagraph"/>
        <w:numPr>
          <w:ilvl w:val="0"/>
          <w:numId w:val="2"/>
        </w:numPr>
        <w:spacing w:after="80"/>
      </w:pPr>
      <w:r>
        <w:rPr>
          <w:rFonts w:ascii="Calibri" w:cs="Calibri" w:eastAsia="Calibri" w:hAnsi="Calibri"/>
          <w:color w:val="262626"/>
          <w:sz w:val="21"/>
          <w:szCs w:val="21"/>
        </w:rPr>
        <w:t xml:space="preserve">Persistent Memory &amp; Context System — per-customer, per-deployment memory files</w:t>
      </w:r>
    </w:p>
    <w:p>
      <w:pPr>
        <w:pStyle w:val="ListParagraph"/>
        <w:numPr>
          <w:ilvl w:val="0"/>
          <w:numId w:val="2"/>
        </w:numPr>
        <w:spacing w:after="80"/>
      </w:pPr>
      <w:r>
        <w:rPr>
          <w:rFonts w:ascii="Calibri" w:cs="Calibri" w:eastAsia="Calibri" w:hAnsi="Calibri"/>
          <w:color w:val="262626"/>
          <w:sz w:val="21"/>
          <w:szCs w:val="21"/>
        </w:rPr>
        <w:t xml:space="preserve">Model Routing &amp; Orchestration Layer — task-to-model routing across the Granite/open-source garden</w:t>
      </w:r>
    </w:p>
    <w:p>
      <w:pPr>
        <w:pStyle w:val="ListParagraph"/>
        <w:numPr>
          <w:ilvl w:val="0"/>
          <w:numId w:val="2"/>
        </w:numPr>
        <w:spacing w:after="80"/>
      </w:pPr>
      <w:r>
        <w:rPr>
          <w:rFonts w:ascii="Calibri" w:cs="Calibri" w:eastAsia="Calibri" w:hAnsi="Calibri"/>
          <w:color w:val="262626"/>
          <w:sz w:val="21"/>
          <w:szCs w:val="21"/>
        </w:rPr>
        <w:t xml:space="preserve">Evaluation, Guardrails &amp; Cost Governance — Guardian-model safety checks, budget controls, audit logging</w:t>
      </w:r>
    </w:p>
    <w:p>
      <w:pPr>
        <w:pStyle w:val="ListParagraph"/>
        <w:numPr>
          <w:ilvl w:val="0"/>
          <w:numId w:val="2"/>
        </w:numPr>
        <w:spacing w:after="80"/>
      </w:pPr>
      <w:r>
        <w:rPr>
          <w:rFonts w:ascii="Calibri" w:cs="Calibri" w:eastAsia="Calibri" w:hAnsi="Calibri"/>
          <w:color w:val="262626"/>
          <w:sz w:val="21"/>
          <w:szCs w:val="21"/>
        </w:rPr>
        <w:t xml:space="preserve">Platform — Red Hat OpenShift AI / vLLM (Master Proposal Layer 2)</w:t>
      </w:r>
    </w:p>
    <w:p>
      <w:r>
        <w:br w:type="page"/>
      </w:r>
    </w:p>
    <w:p>
      <w:pPr>
        <w:pStyle w:val="Heading1"/>
        <w:pBdr>
          <w:bottom w:val="single" w:color="C9A227" w:sz="12" w:space="4"/>
        </w:pBdr>
        <w:spacing w:after="200" w:before="400"/>
      </w:pPr>
      <w:r>
        <w:rPr>
          <w:rFonts w:ascii="Calibri" w:cs="Calibri" w:eastAsia="Calibri" w:hAnsi="Calibri"/>
          <w:b/>
          <w:bCs/>
          <w:color w:val="0A1F44"/>
          <w:sz w:val="30"/>
          <w:szCs w:val="30"/>
        </w:rPr>
        <w:t xml:space="preserve">5. Additional Capability Specifications</w:t>
      </w:r>
    </w:p>
    <w:p>
      <w:pPr>
        <w:pStyle w:val="Heading2"/>
        <w:spacing w:after="150" w:before="300"/>
      </w:pPr>
      <w:r>
        <w:rPr>
          <w:rFonts w:ascii="Calibri" w:cs="Calibri" w:eastAsia="Calibri" w:hAnsi="Calibri"/>
          <w:b/>
          <w:bCs/>
          <w:color w:val="128C8C"/>
          <w:sz w:val="24"/>
          <w:szCs w:val="24"/>
        </w:rPr>
        <w:t xml:space="preserve">5.1 Model Routing &amp; Orchestration Layer</w:t>
      </w:r>
    </w:p>
    <w:p>
      <w:pPr>
        <w:spacing w:after="160" w:line="276"/>
      </w:pPr>
      <w:r>
        <w:rPr>
          <w:rFonts w:ascii="Calibri" w:cs="Calibri" w:eastAsia="Calibri" w:hAnsi="Calibri"/>
          <w:color w:val="262626"/>
          <w:sz w:val="21"/>
          <w:szCs w:val="21"/>
        </w:rPr>
        <w:t xml:space="preserve">Function: inspects each incoming task and routes it to the model best suited on cost, accuracy and latency grounds, rather than sending every request to the largest available model. This is the single highest-leverage component in the stack — it is what makes a multi-model, open-source-plus-Granite deployment cost-competitive with a single frontier model API.</w:t>
      </w:r>
    </w:p>
    <w:p>
      <w:pPr>
        <w:spacing w:after="40"/>
      </w:pPr>
      <w:r>
        <w:rPr>
          <w:rFonts w:ascii="Calibri" w:cs="Calibri" w:eastAsia="Calibri" w:hAnsi="Calibri"/>
          <w:b/>
          <w:bCs/>
          <w:color w:val="0A1F44"/>
          <w:sz w:val="21"/>
          <w:szCs w:val="21"/>
        </w:rPr>
        <w:t xml:space="preserve">Routing logic (indicative)</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200"/>
        <w:gridCol w:w="2900"/>
        <w:gridCol w:w="3400"/>
      </w:tblGrid>
      <w:tr>
        <w:trPr>
          <w:tblHeader/>
        </w:trPr>
        <w:tc>
          <w:tcPr>
            <w:tcW w:type="dxa" w:w="3200"/>
            <w:shd w:fill="0A1F44" w:color="auto" w:val="clear"/>
            <w:tcMar>
              <w:top w:type="dxa" w:w="80"/>
              <w:left w:type="dxa" w:w="100"/>
              <w:bottom w:type="dxa" w:w="80"/>
              <w:right w:type="dxa" w:w="100"/>
            </w:tcMar>
            <w:vAlign w:val="center"/>
          </w:tcPr>
          <w:p>
            <w:pPr>
              <w:jc w:val="left"/>
            </w:pPr>
            <w:r>
              <w:rPr>
                <w:rFonts w:ascii="Calibri" w:cs="Calibri" w:eastAsia="Calibri" w:hAnsi="Calibri"/>
                <w:b/>
                <w:bCs/>
                <w:color w:val="FFFFFF"/>
                <w:sz w:val="19"/>
                <w:szCs w:val="19"/>
              </w:rPr>
              <w:t xml:space="preserve">Task Type</w:t>
            </w:r>
          </w:p>
        </w:tc>
        <w:tc>
          <w:tcPr>
            <w:tcW w:type="dxa" w:w="2900"/>
            <w:shd w:fill="0A1F44" w:color="auto" w:val="clear"/>
            <w:tcMar>
              <w:top w:type="dxa" w:w="80"/>
              <w:left w:type="dxa" w:w="100"/>
              <w:bottom w:type="dxa" w:w="80"/>
              <w:right w:type="dxa" w:w="100"/>
            </w:tcMar>
            <w:vAlign w:val="center"/>
          </w:tcPr>
          <w:p>
            <w:pPr>
              <w:jc w:val="left"/>
            </w:pPr>
            <w:r>
              <w:rPr>
                <w:rFonts w:ascii="Calibri" w:cs="Calibri" w:eastAsia="Calibri" w:hAnsi="Calibri"/>
                <w:b/>
                <w:bCs/>
                <w:color w:val="FFFFFF"/>
                <w:sz w:val="19"/>
                <w:szCs w:val="19"/>
              </w:rPr>
              <w:t xml:space="preserve">Routed To</w:t>
            </w:r>
          </w:p>
        </w:tc>
        <w:tc>
          <w:tcPr>
            <w:tcW w:type="dxa" w:w="3400"/>
            <w:shd w:fill="0A1F44" w:color="auto" w:val="clear"/>
            <w:tcMar>
              <w:top w:type="dxa" w:w="80"/>
              <w:left w:type="dxa" w:w="100"/>
              <w:bottom w:type="dxa" w:w="80"/>
              <w:right w:type="dxa" w:w="100"/>
            </w:tcMar>
            <w:vAlign w:val="center"/>
          </w:tcPr>
          <w:p>
            <w:pPr>
              <w:jc w:val="left"/>
            </w:pPr>
            <w:r>
              <w:rPr>
                <w:rFonts w:ascii="Calibri" w:cs="Calibri" w:eastAsia="Calibri" w:hAnsi="Calibri"/>
                <w:b/>
                <w:bCs/>
                <w:color w:val="FFFFFF"/>
                <w:sz w:val="19"/>
                <w:szCs w:val="19"/>
              </w:rPr>
              <w:t xml:space="preserve">Rationale</w:t>
            </w:r>
          </w:p>
        </w:tc>
      </w:tr>
      <w:tr>
        <w:tc>
          <w:tcPr>
            <w:tcW w:type="dxa" w:w="3200"/>
            <w:shd w:fill="F2F2F2"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262626"/>
                <w:sz w:val="19"/>
                <w:szCs w:val="19"/>
              </w:rPr>
              <w:t xml:space="preserve">Draft customer email, simple Q&amp;A, document intake</w:t>
            </w:r>
          </w:p>
        </w:tc>
        <w:tc>
          <w:tcPr>
            <w:tcW w:type="dxa" w:w="2900"/>
            <w:shd w:fill="F2F2F2"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262626"/>
                <w:sz w:val="19"/>
                <w:szCs w:val="19"/>
              </w:rPr>
              <w:t xml:space="preserve">Granite 3B/8B (lightweight)</w:t>
            </w:r>
          </w:p>
        </w:tc>
        <w:tc>
          <w:tcPr>
            <w:tcW w:type="dxa" w:w="3400"/>
            <w:shd w:fill="F2F2F2"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262626"/>
                <w:sz w:val="19"/>
                <w:szCs w:val="19"/>
              </w:rPr>
              <w:t xml:space="preserve">Low latency, low cost, sufficient for structured/templated tasks</w:t>
            </w:r>
          </w:p>
        </w:tc>
      </w:tr>
      <w:tr>
        <w:tc>
          <w:tcPr>
            <w:tcW w:type="dxa" w:w="3200"/>
            <w:tcMar>
              <w:top w:type="dxa" w:w="80"/>
              <w:left w:type="dxa" w:w="100"/>
              <w:bottom w:type="dxa" w:w="80"/>
              <w:right w:type="dxa" w:w="100"/>
            </w:tcMar>
            <w:vAlign w:val="center"/>
          </w:tcPr>
          <w:p>
            <w:pPr>
              <w:jc w:val="left"/>
            </w:pPr>
            <w:r>
              <w:rPr>
                <w:rFonts w:ascii="Calibri" w:cs="Calibri" w:eastAsia="Calibri" w:hAnsi="Calibri"/>
                <w:b w:val="false"/>
                <w:bCs w:val="false"/>
                <w:color w:val="262626"/>
                <w:sz w:val="19"/>
                <w:szCs w:val="19"/>
              </w:rPr>
              <w:t xml:space="preserve">General reasoning, summarisation, research</w:t>
            </w:r>
          </w:p>
        </w:tc>
        <w:tc>
          <w:tcPr>
            <w:tcW w:type="dxa" w:w="2900"/>
            <w:tcMar>
              <w:top w:type="dxa" w:w="80"/>
              <w:left w:type="dxa" w:w="100"/>
              <w:bottom w:type="dxa" w:w="80"/>
              <w:right w:type="dxa" w:w="100"/>
            </w:tcMar>
            <w:vAlign w:val="center"/>
          </w:tcPr>
          <w:p>
            <w:pPr>
              <w:jc w:val="left"/>
            </w:pPr>
            <w:r>
              <w:rPr>
                <w:rFonts w:ascii="Calibri" w:cs="Calibri" w:eastAsia="Calibri" w:hAnsi="Calibri"/>
                <w:b w:val="false"/>
                <w:bCs w:val="false"/>
                <w:color w:val="262626"/>
                <w:sz w:val="19"/>
                <w:szCs w:val="19"/>
              </w:rPr>
              <w:t xml:space="preserve">Open-source general LLM (Llama/Mistral-class)</w:t>
            </w:r>
          </w:p>
        </w:tc>
        <w:tc>
          <w:tcPr>
            <w:tcW w:type="dxa" w:w="3400"/>
            <w:tcMar>
              <w:top w:type="dxa" w:w="80"/>
              <w:left w:type="dxa" w:w="100"/>
              <w:bottom w:type="dxa" w:w="80"/>
              <w:right w:type="dxa" w:w="100"/>
            </w:tcMar>
            <w:vAlign w:val="center"/>
          </w:tcPr>
          <w:p>
            <w:pPr>
              <w:jc w:val="left"/>
            </w:pPr>
            <w:r>
              <w:rPr>
                <w:rFonts w:ascii="Calibri" w:cs="Calibri" w:eastAsia="Calibri" w:hAnsi="Calibri"/>
                <w:b w:val="false"/>
                <w:bCs w:val="false"/>
                <w:color w:val="262626"/>
                <w:sz w:val="19"/>
                <w:szCs w:val="19"/>
              </w:rPr>
              <w:t xml:space="preserve">Broader world knowledge and reasoning depth</w:t>
            </w:r>
          </w:p>
        </w:tc>
      </w:tr>
      <w:tr>
        <w:tc>
          <w:tcPr>
            <w:tcW w:type="dxa" w:w="3200"/>
            <w:shd w:fill="F2F2F2"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262626"/>
                <w:sz w:val="19"/>
                <w:szCs w:val="19"/>
              </w:rPr>
              <w:t xml:space="preserve">Code generation, data analysis scripts</w:t>
            </w:r>
          </w:p>
        </w:tc>
        <w:tc>
          <w:tcPr>
            <w:tcW w:type="dxa" w:w="2900"/>
            <w:shd w:fill="F2F2F2"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262626"/>
                <w:sz w:val="19"/>
                <w:szCs w:val="19"/>
              </w:rPr>
              <w:t xml:space="preserve">Qwen-class coding model</w:t>
            </w:r>
          </w:p>
        </w:tc>
        <w:tc>
          <w:tcPr>
            <w:tcW w:type="dxa" w:w="3400"/>
            <w:shd w:fill="F2F2F2"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262626"/>
                <w:sz w:val="19"/>
                <w:szCs w:val="19"/>
              </w:rPr>
              <w:t xml:space="preserve">Strongest code-specific benchmarks among the available garden</w:t>
            </w:r>
          </w:p>
        </w:tc>
      </w:tr>
      <w:tr>
        <w:tc>
          <w:tcPr>
            <w:tcW w:type="dxa" w:w="3200"/>
            <w:tcMar>
              <w:top w:type="dxa" w:w="80"/>
              <w:left w:type="dxa" w:w="100"/>
              <w:bottom w:type="dxa" w:w="80"/>
              <w:right w:type="dxa" w:w="100"/>
            </w:tcMar>
            <w:vAlign w:val="center"/>
          </w:tcPr>
          <w:p>
            <w:pPr>
              <w:jc w:val="left"/>
            </w:pPr>
            <w:r>
              <w:rPr>
                <w:rFonts w:ascii="Calibri" w:cs="Calibri" w:eastAsia="Calibri" w:hAnsi="Calibri"/>
                <w:b w:val="false"/>
                <w:bCs w:val="false"/>
                <w:color w:val="262626"/>
                <w:sz w:val="19"/>
                <w:szCs w:val="19"/>
              </w:rPr>
              <w:t xml:space="preserve">Complex multi-step logic, financial/legal reasoning</w:t>
            </w:r>
          </w:p>
        </w:tc>
        <w:tc>
          <w:tcPr>
            <w:tcW w:type="dxa" w:w="2900"/>
            <w:tcMar>
              <w:top w:type="dxa" w:w="80"/>
              <w:left w:type="dxa" w:w="100"/>
              <w:bottom w:type="dxa" w:w="80"/>
              <w:right w:type="dxa" w:w="100"/>
            </w:tcMar>
            <w:vAlign w:val="center"/>
          </w:tcPr>
          <w:p>
            <w:pPr>
              <w:jc w:val="left"/>
            </w:pPr>
            <w:r>
              <w:rPr>
                <w:rFonts w:ascii="Calibri" w:cs="Calibri" w:eastAsia="Calibri" w:hAnsi="Calibri"/>
                <w:b w:val="false"/>
                <w:bCs w:val="false"/>
                <w:color w:val="262626"/>
                <w:sz w:val="19"/>
                <w:szCs w:val="19"/>
              </w:rPr>
              <w:t xml:space="preserve">DeepSeek-class or Granite 30B</w:t>
            </w:r>
          </w:p>
        </w:tc>
        <w:tc>
          <w:tcPr>
            <w:tcW w:type="dxa" w:w="3400"/>
            <w:tcMar>
              <w:top w:type="dxa" w:w="80"/>
              <w:left w:type="dxa" w:w="100"/>
              <w:bottom w:type="dxa" w:w="80"/>
              <w:right w:type="dxa" w:w="100"/>
            </w:tcMar>
            <w:vAlign w:val="center"/>
          </w:tcPr>
          <w:p>
            <w:pPr>
              <w:jc w:val="left"/>
            </w:pPr>
            <w:r>
              <w:rPr>
                <w:rFonts w:ascii="Calibri" w:cs="Calibri" w:eastAsia="Calibri" w:hAnsi="Calibri"/>
                <w:b w:val="false"/>
                <w:bCs w:val="false"/>
                <w:color w:val="262626"/>
                <w:sz w:val="19"/>
                <w:szCs w:val="19"/>
              </w:rPr>
              <w:t xml:space="preserve">Higher reasoning capacity for high-stakes tasks</w:t>
            </w:r>
          </w:p>
        </w:tc>
      </w:tr>
      <w:tr>
        <w:tc>
          <w:tcPr>
            <w:tcW w:type="dxa" w:w="3200"/>
            <w:shd w:fill="F2F2F2"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262626"/>
                <w:sz w:val="19"/>
                <w:szCs w:val="19"/>
              </w:rPr>
              <w:t xml:space="preserve">Vertical-specific tasks (KYC triage, crop advisory)</w:t>
            </w:r>
          </w:p>
        </w:tc>
        <w:tc>
          <w:tcPr>
            <w:tcW w:type="dxa" w:w="2900"/>
            <w:shd w:fill="F2F2F2"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262626"/>
                <w:sz w:val="19"/>
                <w:szCs w:val="19"/>
              </w:rPr>
              <w:t xml:space="preserve">Fine-tuned vertical pack model</w:t>
            </w:r>
          </w:p>
        </w:tc>
        <w:tc>
          <w:tcPr>
            <w:tcW w:type="dxa" w:w="3400"/>
            <w:shd w:fill="F2F2F2"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262626"/>
                <w:sz w:val="19"/>
                <w:szCs w:val="19"/>
              </w:rPr>
              <w:t xml:space="preserve">Domain-tuned accuracy takes priority over general capability</w:t>
            </w:r>
          </w:p>
        </w:tc>
      </w:tr>
      <w:tr>
        <w:tc>
          <w:tcPr>
            <w:tcW w:type="dxa" w:w="3200"/>
            <w:tcMar>
              <w:top w:type="dxa" w:w="80"/>
              <w:left w:type="dxa" w:w="100"/>
              <w:bottom w:type="dxa" w:w="80"/>
              <w:right w:type="dxa" w:w="100"/>
            </w:tcMar>
            <w:vAlign w:val="center"/>
          </w:tcPr>
          <w:p>
            <w:pPr>
              <w:jc w:val="left"/>
            </w:pPr>
            <w:r>
              <w:rPr>
                <w:rFonts w:ascii="Calibri" w:cs="Calibri" w:eastAsia="Calibri" w:hAnsi="Calibri"/>
                <w:b w:val="false"/>
                <w:bCs w:val="false"/>
                <w:color w:val="262626"/>
                <w:sz w:val="19"/>
                <w:szCs w:val="19"/>
              </w:rPr>
              <w:t xml:space="preserve">Safety/compliance check on any output</w:t>
            </w:r>
          </w:p>
        </w:tc>
        <w:tc>
          <w:tcPr>
            <w:tcW w:type="dxa" w:w="2900"/>
            <w:tcMar>
              <w:top w:type="dxa" w:w="80"/>
              <w:left w:type="dxa" w:w="100"/>
              <w:bottom w:type="dxa" w:w="80"/>
              <w:right w:type="dxa" w:w="100"/>
            </w:tcMar>
            <w:vAlign w:val="center"/>
          </w:tcPr>
          <w:p>
            <w:pPr>
              <w:jc w:val="left"/>
            </w:pPr>
            <w:r>
              <w:rPr>
                <w:rFonts w:ascii="Calibri" w:cs="Calibri" w:eastAsia="Calibri" w:hAnsi="Calibri"/>
                <w:b w:val="false"/>
                <w:bCs w:val="false"/>
                <w:color w:val="262626"/>
                <w:sz w:val="19"/>
                <w:szCs w:val="19"/>
              </w:rPr>
              <w:t xml:space="preserve">Granite Guardian</w:t>
            </w:r>
          </w:p>
        </w:tc>
        <w:tc>
          <w:tcPr>
            <w:tcW w:type="dxa" w:w="3400"/>
            <w:tcMar>
              <w:top w:type="dxa" w:w="80"/>
              <w:left w:type="dxa" w:w="100"/>
              <w:bottom w:type="dxa" w:w="80"/>
              <w:right w:type="dxa" w:w="100"/>
            </w:tcMar>
            <w:vAlign w:val="center"/>
          </w:tcPr>
          <w:p>
            <w:pPr>
              <w:jc w:val="left"/>
            </w:pPr>
            <w:r>
              <w:rPr>
                <w:rFonts w:ascii="Calibri" w:cs="Calibri" w:eastAsia="Calibri" w:hAnsi="Calibri"/>
                <w:b w:val="false"/>
                <w:bCs w:val="false"/>
                <w:color w:val="262626"/>
                <w:sz w:val="19"/>
                <w:szCs w:val="19"/>
              </w:rPr>
              <w:t xml:space="preserve">Purpose-built safety classifier, always in the loop before release</w:t>
            </w:r>
          </w:p>
        </w:tc>
      </w:tr>
    </w:tbl>
    <w:p>
      <w:pPr>
        <w:spacing w:after="160" w:line="276"/>
      </w:pPr>
      <w:r>
        <w:rPr>
          <w:rFonts w:ascii="Calibri" w:cs="Calibri" w:eastAsia="Calibri" w:hAnsi="Calibri"/>
          <w:color w:val="262626"/>
          <w:sz w:val="21"/>
          <w:szCs w:val="21"/>
        </w:rPr>
        <w:t xml:space="preserve"/>
      </w:r>
    </w:p>
    <w:p>
      <w:pPr>
        <w:spacing w:after="40"/>
      </w:pPr>
      <w:r>
        <w:rPr>
          <w:rFonts w:ascii="Calibri" w:cs="Calibri" w:eastAsia="Calibri" w:hAnsi="Calibri"/>
          <w:b/>
          <w:bCs/>
          <w:color w:val="0A1F44"/>
          <w:sz w:val="21"/>
          <w:szCs w:val="21"/>
        </w:rPr>
        <w:t xml:space="preserve">Technology stack</w:t>
      </w:r>
    </w:p>
    <w:p>
      <w:pPr>
        <w:pStyle w:val="ListParagraph"/>
        <w:numPr>
          <w:ilvl w:val="0"/>
          <w:numId w:val="2"/>
        </w:numPr>
        <w:spacing w:after="80"/>
      </w:pPr>
      <w:r>
        <w:rPr>
          <w:rFonts w:ascii="Calibri" w:cs="Calibri" w:eastAsia="Calibri" w:hAnsi="Calibri"/>
          <w:color w:val="262626"/>
          <w:sz w:val="21"/>
          <w:szCs w:val="21"/>
        </w:rPr>
        <w:t xml:space="preserve">Routing engine: a lightweight classifier/rules hybrid — a small Granite model fine-tuned as a router, backed by deterministic rules for regulated task types (e.g., always route KYC to FinGranite, never to a general model)</w:t>
      </w:r>
    </w:p>
    <w:p>
      <w:pPr>
        <w:pStyle w:val="ListParagraph"/>
        <w:numPr>
          <w:ilvl w:val="0"/>
          <w:numId w:val="2"/>
        </w:numPr>
        <w:spacing w:after="80"/>
      </w:pPr>
      <w:r>
        <w:rPr>
          <w:rFonts w:ascii="Calibri" w:cs="Calibri" w:eastAsia="Calibri" w:hAnsi="Calibri"/>
          <w:color w:val="262626"/>
          <w:sz w:val="21"/>
          <w:szCs w:val="21"/>
        </w:rPr>
        <w:t xml:space="preserve">Serving layer: vLLM on Red Hat OpenShift AI, one model-serving runtime per model family, exposed behind a single internal API gateway</w:t>
      </w:r>
    </w:p>
    <w:p>
      <w:pPr>
        <w:pStyle w:val="ListParagraph"/>
        <w:numPr>
          <w:ilvl w:val="0"/>
          <w:numId w:val="2"/>
        </w:numPr>
        <w:spacing w:after="80"/>
      </w:pPr>
      <w:r>
        <w:rPr>
          <w:rFonts w:ascii="Calibri" w:cs="Calibri" w:eastAsia="Calibri" w:hAnsi="Calibri"/>
          <w:color w:val="262626"/>
          <w:sz w:val="21"/>
          <w:szCs w:val="21"/>
        </w:rPr>
        <w:t xml:space="preserve">Interface standard: OpenAI-compatible chat-completions schema for all internally hosted models, so the router can swap models without changing calling code</w:t>
      </w:r>
    </w:p>
    <w:p>
      <w:pPr>
        <w:pStyle w:val="ListParagraph"/>
        <w:numPr>
          <w:ilvl w:val="0"/>
          <w:numId w:val="2"/>
        </w:numPr>
        <w:spacing w:after="80"/>
      </w:pPr>
      <w:r>
        <w:rPr>
          <w:rFonts w:ascii="Calibri" w:cs="Calibri" w:eastAsia="Calibri" w:hAnsi="Calibri"/>
          <w:color w:val="262626"/>
          <w:sz w:val="21"/>
          <w:szCs w:val="21"/>
        </w:rPr>
        <w:t xml:space="preserve">Fallback policy: if a routed model is unavailable or exceeds a latency budget, automatic fallback to the next-ranked model for that task type, logged for the evaluation layer</w:t>
      </w:r>
    </w:p>
    <w:p>
      <w:pPr>
        <w:pStyle w:val="Heading2"/>
        <w:spacing w:after="150" w:before="300"/>
      </w:pPr>
      <w:r>
        <w:rPr>
          <w:rFonts w:ascii="Calibri" w:cs="Calibri" w:eastAsia="Calibri" w:hAnsi="Calibri"/>
          <w:b/>
          <w:bCs/>
          <w:color w:val="128C8C"/>
          <w:sz w:val="24"/>
          <w:szCs w:val="24"/>
        </w:rPr>
        <w:t xml:space="preserve">5.2 Agentic Execution Framework</w:t>
      </w:r>
    </w:p>
    <w:p>
      <w:pPr>
        <w:spacing w:after="160" w:line="276"/>
      </w:pPr>
      <w:r>
        <w:rPr>
          <w:rFonts w:ascii="Calibri" w:cs="Calibri" w:eastAsia="Calibri" w:hAnsi="Calibri"/>
          <w:color w:val="262626"/>
          <w:sz w:val="21"/>
          <w:szCs w:val="21"/>
        </w:rPr>
        <w:t xml:space="preserve">Function: turns a single model call into a multi-step, tool-using agent that can plan, act, observe results and continue — the difference between a chatbot answer and an agent that actually completes a business task.</w:t>
      </w:r>
    </w:p>
    <w:p>
      <w:pPr>
        <w:spacing w:after="40"/>
      </w:pPr>
      <w:r>
        <w:rPr>
          <w:rFonts w:ascii="Calibri" w:cs="Calibri" w:eastAsia="Calibri" w:hAnsi="Calibri"/>
          <w:b/>
          <w:bCs/>
          <w:color w:val="0A1F44"/>
          <w:sz w:val="21"/>
          <w:szCs w:val="21"/>
        </w:rPr>
        <w:t xml:space="preserve">Adopted patterns (from IBM Bob and Claude agent design, applied to the open-source stack)</w:t>
      </w:r>
    </w:p>
    <w:p>
      <w:pPr>
        <w:pStyle w:val="ListParagraph"/>
        <w:numPr>
          <w:ilvl w:val="0"/>
          <w:numId w:val="2"/>
        </w:numPr>
        <w:spacing w:after="80"/>
      </w:pPr>
      <w:r>
        <w:rPr>
          <w:rFonts w:ascii="Calibri" w:cs="Calibri" w:eastAsia="Calibri" w:hAnsi="Calibri"/>
          <w:color w:val="262626"/>
          <w:sz w:val="21"/>
          <w:szCs w:val="21"/>
        </w:rPr>
        <w:t xml:space="preserve">Three operating modes: Ask (read-only Q&amp;A, no side effects — default for new users), Plan (produces a structured, human-reviewable plan before any action), Agent (full autonomy within the permissions granted by the action registry)</w:t>
      </w:r>
    </w:p>
    <w:p>
      <w:pPr>
        <w:pStyle w:val="ListParagraph"/>
        <w:numPr>
          <w:ilvl w:val="0"/>
          <w:numId w:val="2"/>
        </w:numPr>
        <w:spacing w:after="80"/>
      </w:pPr>
      <w:r>
        <w:rPr>
          <w:rFonts w:ascii="Calibri" w:cs="Calibri" w:eastAsia="Calibri" w:hAnsi="Calibri"/>
          <w:color w:val="262626"/>
          <w:sz w:val="21"/>
          <w:szCs w:val="21"/>
        </w:rPr>
        <w:t xml:space="preserve">Subagent pattern: exploratory or research-heavy sub-tasks are spawned as isolated subagents with their own context window, so the main conversation does not accumulate irrelevant intermediate output (context bloat)</w:t>
      </w:r>
    </w:p>
    <w:p>
      <w:pPr>
        <w:pStyle w:val="ListParagraph"/>
        <w:numPr>
          <w:ilvl w:val="0"/>
          <w:numId w:val="2"/>
        </w:numPr>
        <w:spacing w:after="80"/>
      </w:pPr>
      <w:r>
        <w:rPr>
          <w:rFonts w:ascii="Calibri" w:cs="Calibri" w:eastAsia="Calibri" w:hAnsi="Calibri"/>
          <w:color w:val="262626"/>
          <w:sz w:val="21"/>
          <w:szCs w:val="21"/>
        </w:rPr>
        <w:t xml:space="preserve">CodeAct-style execution: for data-analysis and multi-step workflow tasks, the agent generates executable Python rather than describing steps in prose, then runs it in the sandboxed runtime (Section 5.3) and reasons over the actual output</w:t>
      </w:r>
    </w:p>
    <w:p>
      <w:pPr>
        <w:spacing w:after="40"/>
      </w:pPr>
      <w:r>
        <w:rPr>
          <w:rFonts w:ascii="Calibri" w:cs="Calibri" w:eastAsia="Calibri" w:hAnsi="Calibri"/>
          <w:b/>
          <w:bCs/>
          <w:color w:val="0A1F44"/>
          <w:sz w:val="21"/>
          <w:szCs w:val="21"/>
        </w:rPr>
        <w:t xml:space="preserve">Technology stack</w:t>
      </w:r>
    </w:p>
    <w:p>
      <w:pPr>
        <w:pStyle w:val="ListParagraph"/>
        <w:numPr>
          <w:ilvl w:val="0"/>
          <w:numId w:val="2"/>
        </w:numPr>
        <w:spacing w:after="80"/>
      </w:pPr>
      <w:r>
        <w:rPr>
          <w:rFonts w:ascii="Calibri" w:cs="Calibri" w:eastAsia="Calibri" w:hAnsi="Calibri"/>
          <w:color w:val="262626"/>
          <w:sz w:val="21"/>
          <w:szCs w:val="21"/>
        </w:rPr>
        <w:t xml:space="preserve">Orchestration substrate: Dapr Agents (Apache-2.0) for event-driven, durable multi-agent workflows with built-in Pub/Sub messaging — chosen because it is Kubernetes-native and drops directly onto Red Hat OpenShift AI without a separate control plane</w:t>
      </w:r>
    </w:p>
    <w:p>
      <w:pPr>
        <w:pStyle w:val="ListParagraph"/>
        <w:numPr>
          <w:ilvl w:val="0"/>
          <w:numId w:val="2"/>
        </w:numPr>
        <w:spacing w:after="80"/>
      </w:pPr>
      <w:r>
        <w:rPr>
          <w:rFonts w:ascii="Calibri" w:cs="Calibri" w:eastAsia="Calibri" w:hAnsi="Calibri"/>
          <w:color w:val="262626"/>
          <w:sz w:val="21"/>
          <w:szCs w:val="21"/>
        </w:rPr>
        <w:t xml:space="preserve">Workflow durability: Dapr Workflows for long-running, resumable agent tasks (e.g., a multi-day loan-file review) that must survive pod restarts</w:t>
      </w:r>
    </w:p>
    <w:p>
      <w:pPr>
        <w:pStyle w:val="ListParagraph"/>
        <w:numPr>
          <w:ilvl w:val="0"/>
          <w:numId w:val="2"/>
        </w:numPr>
        <w:spacing w:after="80"/>
      </w:pPr>
      <w:r>
        <w:rPr>
          <w:rFonts w:ascii="Calibri" w:cs="Calibri" w:eastAsia="Calibri" w:hAnsi="Calibri"/>
          <w:color w:val="262626"/>
          <w:sz w:val="21"/>
          <w:szCs w:val="21"/>
        </w:rPr>
        <w:t xml:space="preserve">Agent-to-agent messaging: Dapr Pub/Sub over the cluster's existing message broker (Kafka or Redis Streams, whichever i3's RHOAI reference build already standardises on)</w:t>
      </w:r>
    </w:p>
    <w:p>
      <w:pPr>
        <w:pStyle w:val="ListParagraph"/>
        <w:numPr>
          <w:ilvl w:val="0"/>
          <w:numId w:val="2"/>
        </w:numPr>
        <w:spacing w:after="80"/>
      </w:pPr>
      <w:r>
        <w:rPr>
          <w:rFonts w:ascii="Calibri" w:cs="Calibri" w:eastAsia="Calibri" w:hAnsi="Calibri"/>
          <w:color w:val="262626"/>
          <w:sz w:val="21"/>
          <w:szCs w:val="21"/>
        </w:rPr>
        <w:t xml:space="preserve">Reference open-source pattern: Xerus-style CodeAct architecture for the code-generation execution path</w:t>
      </w:r>
    </w:p>
    <w:p>
      <w:pPr>
        <w:pStyle w:val="Heading2"/>
        <w:spacing w:after="150" w:before="300"/>
      </w:pPr>
      <w:r>
        <w:rPr>
          <w:rFonts w:ascii="Calibri" w:cs="Calibri" w:eastAsia="Calibri" w:hAnsi="Calibri"/>
          <w:b/>
          <w:bCs/>
          <w:color w:val="128C8C"/>
          <w:sz w:val="24"/>
          <w:szCs w:val="24"/>
        </w:rPr>
        <w:t xml:space="preserve">5.3 Sandboxed Execution Runtime</w:t>
      </w:r>
    </w:p>
    <w:p>
      <w:pPr>
        <w:spacing w:after="160" w:line="276"/>
      </w:pPr>
      <w:r>
        <w:rPr>
          <w:rFonts w:ascii="Calibri" w:cs="Calibri" w:eastAsia="Calibri" w:hAnsi="Calibri"/>
          <w:color w:val="262626"/>
          <w:sz w:val="21"/>
          <w:szCs w:val="21"/>
        </w:rPr>
        <w:t xml:space="preserve">Function: gives agents a bounded, auditable place to read files, write files, and run generated code — without ever giving a model direct, unscoped access to the appliance's file system or network.</w:t>
      </w:r>
    </w:p>
    <w:p>
      <w:pPr>
        <w:spacing w:after="40"/>
      </w:pPr>
      <w:r>
        <w:rPr>
          <w:rFonts w:ascii="Calibri" w:cs="Calibri" w:eastAsia="Calibri" w:hAnsi="Calibri"/>
          <w:b/>
          <w:bCs/>
          <w:color w:val="0A1F44"/>
          <w:sz w:val="21"/>
          <w:szCs w:val="21"/>
        </w:rPr>
        <w:t xml:space="preserve">Design pattern (adapted from Claude Cowork's workspace model)</w:t>
      </w:r>
    </w:p>
    <w:p>
      <w:pPr>
        <w:pStyle w:val="ListParagraph"/>
        <w:numPr>
          <w:ilvl w:val="0"/>
          <w:numId w:val="2"/>
        </w:numPr>
        <w:spacing w:after="80"/>
      </w:pPr>
      <w:r>
        <w:rPr>
          <w:rFonts w:ascii="Calibri" w:cs="Calibri" w:eastAsia="Calibri" w:hAnsi="Calibri"/>
          <w:color w:val="262626"/>
          <w:sz w:val="21"/>
          <w:szCs w:val="21"/>
        </w:rPr>
        <w:t xml:space="preserve">Explicit folder-level permissions: every agent session is scoped to a named workspace directory; the model cannot read or write outside it without an explicit, logged permission grant</w:t>
      </w:r>
    </w:p>
    <w:p>
      <w:pPr>
        <w:pStyle w:val="ListParagraph"/>
        <w:numPr>
          <w:ilvl w:val="0"/>
          <w:numId w:val="2"/>
        </w:numPr>
        <w:spacing w:after="80"/>
      </w:pPr>
      <w:r>
        <w:rPr>
          <w:rFonts w:ascii="Calibri" w:cs="Calibri" w:eastAsia="Calibri" w:hAnsi="Calibri"/>
          <w:color w:val="262626"/>
          <w:sz w:val="21"/>
          <w:szCs w:val="21"/>
        </w:rPr>
        <w:t xml:space="preserve">Local-first execution with an optional burst path: code and file operations execute inside the customer's own appliance by default; only non-sensitive, explicitly-flagged workloads may burst to IBM Cloud capacity, consistent with the Master Proposal's hybrid-portability design (Section 4 of the Master Proposal)</w:t>
      </w:r>
    </w:p>
    <w:p>
      <w:pPr>
        <w:pStyle w:val="ListParagraph"/>
        <w:numPr>
          <w:ilvl w:val="0"/>
          <w:numId w:val="2"/>
        </w:numPr>
        <w:spacing w:after="80"/>
      </w:pPr>
      <w:r>
        <w:rPr>
          <w:rFonts w:ascii="Calibri" w:cs="Calibri" w:eastAsia="Calibri" w:hAnsi="Calibri"/>
          <w:color w:val="262626"/>
          <w:sz w:val="21"/>
          <w:szCs w:val="21"/>
        </w:rPr>
        <w:t xml:space="preserve">Ephemeral compute sandboxes: each code-execution request runs in a short-lived, resource-limited container, destroyed after the task completes; no state persists outside the memory system (Section 5.4)</w:t>
      </w:r>
    </w:p>
    <w:p>
      <w:pPr>
        <w:spacing w:after="40"/>
      </w:pPr>
      <w:r>
        <w:rPr>
          <w:rFonts w:ascii="Calibri" w:cs="Calibri" w:eastAsia="Calibri" w:hAnsi="Calibri"/>
          <w:b/>
          <w:bCs/>
          <w:color w:val="0A1F44"/>
          <w:sz w:val="21"/>
          <w:szCs w:val="21"/>
        </w:rPr>
        <w:t xml:space="preserve">Technology stack</w:t>
      </w:r>
    </w:p>
    <w:p>
      <w:pPr>
        <w:pStyle w:val="ListParagraph"/>
        <w:numPr>
          <w:ilvl w:val="0"/>
          <w:numId w:val="2"/>
        </w:numPr>
        <w:spacing w:after="80"/>
      </w:pPr>
      <w:r>
        <w:rPr>
          <w:rFonts w:ascii="Calibri" w:cs="Calibri" w:eastAsia="Calibri" w:hAnsi="Calibri"/>
          <w:color w:val="262626"/>
          <w:sz w:val="21"/>
          <w:szCs w:val="21"/>
        </w:rPr>
        <w:t xml:space="preserve">Container isolation: gVisor or Kata Containers on Red Hat OpenShift AI for kernel-level sandbox isolation of agent-triggered code execution</w:t>
      </w:r>
    </w:p>
    <w:p>
      <w:pPr>
        <w:pStyle w:val="ListParagraph"/>
        <w:numPr>
          <w:ilvl w:val="0"/>
          <w:numId w:val="2"/>
        </w:numPr>
        <w:spacing w:after="80"/>
      </w:pPr>
      <w:r>
        <w:rPr>
          <w:rFonts w:ascii="Calibri" w:cs="Calibri" w:eastAsia="Calibri" w:hAnsi="Calibri"/>
          <w:color w:val="262626"/>
          <w:sz w:val="21"/>
          <w:szCs w:val="21"/>
        </w:rPr>
        <w:t xml:space="preserve">Resource governance: Kubernetes ResourceQuotas and NetworkPolicies scoped per tenant/appliance, enforced by Sovereign Core's runtime policy layer where licensed</w:t>
      </w:r>
    </w:p>
    <w:p>
      <w:pPr>
        <w:pStyle w:val="ListParagraph"/>
        <w:numPr>
          <w:ilvl w:val="0"/>
          <w:numId w:val="2"/>
        </w:numPr>
        <w:spacing w:after="80"/>
      </w:pPr>
      <w:r>
        <w:rPr>
          <w:rFonts w:ascii="Calibri" w:cs="Calibri" w:eastAsia="Calibri" w:hAnsi="Calibri"/>
          <w:color w:val="262626"/>
          <w:sz w:val="21"/>
          <w:szCs w:val="21"/>
        </w:rPr>
        <w:t xml:space="preserve">File-operation broker: a thin permission-checking service in front of the workspace volume that mediates every read/write and logs it for the audit trail (Section 5.7)</w:t>
      </w:r>
    </w:p>
    <w:p>
      <w:r>
        <w:br w:type="page"/>
      </w:r>
    </w:p>
    <w:p>
      <w:pPr>
        <w:pStyle w:val="Heading2"/>
        <w:spacing w:after="150" w:before="300"/>
      </w:pPr>
      <w:r>
        <w:rPr>
          <w:rFonts w:ascii="Calibri" w:cs="Calibri" w:eastAsia="Calibri" w:hAnsi="Calibri"/>
          <w:b/>
          <w:bCs/>
          <w:color w:val="128C8C"/>
          <w:sz w:val="24"/>
          <w:szCs w:val="24"/>
        </w:rPr>
        <w:t xml:space="preserve">5.4 Persistent Memory &amp; Context System</w:t>
      </w:r>
    </w:p>
    <w:p>
      <w:pPr>
        <w:spacing w:after="160" w:line="276"/>
      </w:pPr>
      <w:r>
        <w:rPr>
          <w:rFonts w:ascii="Calibri" w:cs="Calibri" w:eastAsia="Calibri" w:hAnsi="Calibri"/>
          <w:color w:val="262626"/>
          <w:sz w:val="21"/>
          <w:szCs w:val="21"/>
        </w:rPr>
        <w:t xml:space="preserve">Function: gives the appliance continuity across sessions — the property that turns a stateless model call into a "digital coworker" that remembers a customer's or department's standing context, preferences and lessons learned.</w:t>
      </w:r>
    </w:p>
    <w:p>
      <w:pPr>
        <w:spacing w:after="40"/>
      </w:pPr>
      <w:r>
        <w:rPr>
          <w:rFonts w:ascii="Calibri" w:cs="Calibri" w:eastAsia="Calibri" w:hAnsi="Calibri"/>
          <w:b/>
          <w:bCs/>
          <w:color w:val="0A1F44"/>
          <w:sz w:val="21"/>
          <w:szCs w:val="21"/>
        </w:rPr>
        <w:t xml:space="preserve">Design pattern (adapted from Claude Cowork's memory-file approach)</w:t>
      </w:r>
    </w:p>
    <w:p>
      <w:pPr>
        <w:pStyle w:val="ListParagraph"/>
        <w:numPr>
          <w:ilvl w:val="0"/>
          <w:numId w:val="2"/>
        </w:numPr>
        <w:spacing w:after="80"/>
      </w:pPr>
      <w:r>
        <w:rPr>
          <w:rFonts w:ascii="Calibri" w:cs="Calibri" w:eastAsia="Calibri" w:hAnsi="Calibri"/>
          <w:color w:val="262626"/>
          <w:sz w:val="21"/>
          <w:szCs w:val="21"/>
        </w:rPr>
        <w:t xml:space="preserve">A per-tenant _context/ directory holding structured memory files: about-me.md (business/department profile), lessons-learned.md (compounding operational corrections), and vertical-specific memory files (e.g., a FinGranite deployment's known-customer-risk notes)</w:t>
      </w:r>
    </w:p>
    <w:p>
      <w:pPr>
        <w:pStyle w:val="ListParagraph"/>
        <w:numPr>
          <w:ilvl w:val="0"/>
          <w:numId w:val="2"/>
        </w:numPr>
        <w:spacing w:after="80"/>
      </w:pPr>
      <w:r>
        <w:rPr>
          <w:rFonts w:ascii="Calibri" w:cs="Calibri" w:eastAsia="Calibri" w:hAnsi="Calibri"/>
          <w:color w:val="262626"/>
          <w:sz w:val="21"/>
          <w:szCs w:val="21"/>
        </w:rPr>
        <w:t xml:space="preserve">Memory writes are proposed by the agent but, for any sensitive category, require the same approval gate as any other state-changing action (Section 5.6)</w:t>
      </w:r>
    </w:p>
    <w:p>
      <w:pPr>
        <w:pStyle w:val="ListParagraph"/>
        <w:numPr>
          <w:ilvl w:val="0"/>
          <w:numId w:val="2"/>
        </w:numPr>
        <w:spacing w:after="80"/>
      </w:pPr>
      <w:r>
        <w:rPr>
          <w:rFonts w:ascii="Calibri" w:cs="Calibri" w:eastAsia="Calibri" w:hAnsi="Calibri"/>
          <w:color w:val="262626"/>
          <w:sz w:val="21"/>
          <w:szCs w:val="21"/>
        </w:rPr>
        <w:t xml:space="preserve">Memory is stored on-appliance by default (never leaves the customer's sovereign boundary) and is included in the appliance's data-residency and DPIA scope alongside the model garden</w:t>
      </w:r>
    </w:p>
    <w:p>
      <w:pPr>
        <w:spacing w:after="40"/>
      </w:pPr>
      <w:r>
        <w:rPr>
          <w:rFonts w:ascii="Calibri" w:cs="Calibri" w:eastAsia="Calibri" w:hAnsi="Calibri"/>
          <w:b/>
          <w:bCs/>
          <w:color w:val="0A1F44"/>
          <w:sz w:val="21"/>
          <w:szCs w:val="21"/>
        </w:rPr>
        <w:t xml:space="preserve">Technology stack</w:t>
      </w:r>
    </w:p>
    <w:p>
      <w:pPr>
        <w:pStyle w:val="ListParagraph"/>
        <w:numPr>
          <w:ilvl w:val="0"/>
          <w:numId w:val="2"/>
        </w:numPr>
        <w:spacing w:after="80"/>
      </w:pPr>
      <w:r>
        <w:rPr>
          <w:rFonts w:ascii="Calibri" w:cs="Calibri" w:eastAsia="Calibri" w:hAnsi="Calibri"/>
          <w:color w:val="262626"/>
          <w:sz w:val="21"/>
          <w:szCs w:val="21"/>
        </w:rPr>
        <w:t xml:space="preserve">Storage: NVMe-backed persistent volumes on the appliance's Red Hat Ceph storage layer; memory files are plain Markdown/YAML for auditability and human readability, not opaque vector blobs</w:t>
      </w:r>
    </w:p>
    <w:p>
      <w:pPr>
        <w:pStyle w:val="ListParagraph"/>
        <w:numPr>
          <w:ilvl w:val="0"/>
          <w:numId w:val="2"/>
        </w:numPr>
        <w:spacing w:after="80"/>
      </w:pPr>
      <w:r>
        <w:rPr>
          <w:rFonts w:ascii="Calibri" w:cs="Calibri" w:eastAsia="Calibri" w:hAnsi="Calibri"/>
          <w:color w:val="262626"/>
          <w:sz w:val="21"/>
          <w:szCs w:val="21"/>
        </w:rPr>
        <w:t xml:space="preserve">Retrieval augmentation: a lightweight retrieval-augmented-generation (RAG) index (e.g., a local vector store such as Milvus or pgvector, already common in RHOAI reference builds) layered over the memory files and any approved knowledge-base documents for the vertical pack</w:t>
      </w:r>
    </w:p>
    <w:p>
      <w:pPr>
        <w:pStyle w:val="ListParagraph"/>
        <w:numPr>
          <w:ilvl w:val="0"/>
          <w:numId w:val="2"/>
        </w:numPr>
        <w:spacing w:after="80"/>
      </w:pPr>
      <w:r>
        <w:rPr>
          <w:rFonts w:ascii="Calibri" w:cs="Calibri" w:eastAsia="Calibri" w:hAnsi="Calibri"/>
          <w:color w:val="262626"/>
          <w:sz w:val="21"/>
          <w:szCs w:val="21"/>
        </w:rPr>
        <w:t xml:space="preserve">Versioning: memory files are git-versioned on-appliance so every change is attributable and reversible — this doubles as part of the audit trail IBM's future AI Commissioner regime would expect to see (Master Proposal, Section 9)</w:t>
      </w:r>
    </w:p>
    <w:p>
      <w:pPr>
        <w:pStyle w:val="Heading2"/>
        <w:spacing w:after="150" w:before="300"/>
      </w:pPr>
      <w:r>
        <w:rPr>
          <w:rFonts w:ascii="Calibri" w:cs="Calibri" w:eastAsia="Calibri" w:hAnsi="Calibri"/>
          <w:b/>
          <w:bCs/>
          <w:color w:val="128C8C"/>
          <w:sz w:val="24"/>
          <w:szCs w:val="24"/>
        </w:rPr>
        <w:t xml:space="preserve">5.5 MCP Tool Integration Layer</w:t>
      </w:r>
    </w:p>
    <w:p>
      <w:pPr>
        <w:spacing w:after="160" w:line="276"/>
      </w:pPr>
      <w:r>
        <w:rPr>
          <w:rFonts w:ascii="Calibri" w:cs="Calibri" w:eastAsia="Calibri" w:hAnsi="Calibri"/>
          <w:color w:val="262626"/>
          <w:sz w:val="21"/>
          <w:szCs w:val="21"/>
        </w:rPr>
        <w:t xml:space="preserve">Function: gives every model in the garden a single, standardised way to call external tools (CRM, core banking system, document store, SMS gateway) instead of i3 hand-building a bespoke integration per model per tool.</w:t>
      </w:r>
    </w:p>
    <w:p>
      <w:pPr>
        <w:spacing w:after="40"/>
      </w:pPr>
      <w:r>
        <w:rPr>
          <w:rFonts w:ascii="Calibri" w:cs="Calibri" w:eastAsia="Calibri" w:hAnsi="Calibri"/>
          <w:b/>
          <w:bCs/>
          <w:color w:val="0A1F44"/>
          <w:sz w:val="21"/>
          <w:szCs w:val="21"/>
        </w:rPr>
        <w:t xml:space="preserve">Design pattern</w:t>
      </w:r>
    </w:p>
    <w:p>
      <w:pPr>
        <w:pStyle w:val="ListParagraph"/>
        <w:numPr>
          <w:ilvl w:val="0"/>
          <w:numId w:val="2"/>
        </w:numPr>
        <w:spacing w:after="80"/>
      </w:pPr>
      <w:r>
        <w:rPr>
          <w:rFonts w:ascii="Calibri" w:cs="Calibri" w:eastAsia="Calibri" w:hAnsi="Calibri"/>
          <w:color w:val="262626"/>
          <w:sz w:val="21"/>
          <w:szCs w:val="21"/>
        </w:rPr>
        <w:t xml:space="preserve">Adopt the Model Context Protocol (MCP) as the sole tool-calling standard across the appliance — any model in the garden (Granite, open-source, vertical fine-tune) calls tools through the same MCP interface, so adding a new model never requires re-building tool integrations</w:t>
      </w:r>
    </w:p>
    <w:p>
      <w:pPr>
        <w:pStyle w:val="ListParagraph"/>
        <w:numPr>
          <w:ilvl w:val="0"/>
          <w:numId w:val="2"/>
        </w:numPr>
        <w:spacing w:after="80"/>
      </w:pPr>
      <w:r>
        <w:rPr>
          <w:rFonts w:ascii="Calibri" w:cs="Calibri" w:eastAsia="Calibri" w:hAnsi="Calibri"/>
          <w:color w:val="262626"/>
          <w:sz w:val="21"/>
          <w:szCs w:val="21"/>
        </w:rPr>
        <w:t xml:space="preserve">i3 builds and maintains a small library of first-party MCP servers for the business systems its Kenyan and East African customers actually run: core banking/SACCO management systems, county ERP/records systems, common CRM and accounting packages, and SMS/USSD gateways for citizen and farmer channels</w:t>
      </w:r>
    </w:p>
    <w:p>
      <w:pPr>
        <w:pStyle w:val="ListParagraph"/>
        <w:numPr>
          <w:ilvl w:val="0"/>
          <w:numId w:val="2"/>
        </w:numPr>
        <w:spacing w:after="80"/>
      </w:pPr>
      <w:r>
        <w:rPr>
          <w:rFonts w:ascii="Calibri" w:cs="Calibri" w:eastAsia="Calibri" w:hAnsi="Calibri"/>
          <w:color w:val="262626"/>
          <w:sz w:val="21"/>
          <w:szCs w:val="21"/>
        </w:rPr>
        <w:t xml:space="preserve">Third-party and customer-specific MCP servers are supported as pluggable connectors, vetted through the same evaluation gate as first-party ones before being enabled on a production appliance</w:t>
      </w:r>
    </w:p>
    <w:p>
      <w:pPr>
        <w:spacing w:after="40"/>
      </w:pPr>
      <w:r>
        <w:rPr>
          <w:rFonts w:ascii="Calibri" w:cs="Calibri" w:eastAsia="Calibri" w:hAnsi="Calibri"/>
          <w:b/>
          <w:bCs/>
          <w:color w:val="0A1F44"/>
          <w:sz w:val="21"/>
          <w:szCs w:val="21"/>
        </w:rPr>
        <w:t xml:space="preserve">Technology stack</w:t>
      </w:r>
    </w:p>
    <w:p>
      <w:pPr>
        <w:pStyle w:val="ListParagraph"/>
        <w:numPr>
          <w:ilvl w:val="0"/>
          <w:numId w:val="2"/>
        </w:numPr>
        <w:spacing w:after="80"/>
      </w:pPr>
      <w:r>
        <w:rPr>
          <w:rFonts w:ascii="Calibri" w:cs="Calibri" w:eastAsia="Calibri" w:hAnsi="Calibri"/>
          <w:color w:val="262626"/>
          <w:sz w:val="21"/>
          <w:szCs w:val="21"/>
        </w:rPr>
        <w:t xml:space="preserve">Protocol: Model Context Protocol (MCP), open specification, transport over the appliance's internal service mesh</w:t>
      </w:r>
    </w:p>
    <w:p>
      <w:pPr>
        <w:pStyle w:val="ListParagraph"/>
        <w:numPr>
          <w:ilvl w:val="0"/>
          <w:numId w:val="2"/>
        </w:numPr>
        <w:spacing w:after="80"/>
      </w:pPr>
      <w:r>
        <w:rPr>
          <w:rFonts w:ascii="Calibri" w:cs="Calibri" w:eastAsia="Calibri" w:hAnsi="Calibri"/>
          <w:color w:val="262626"/>
          <w:sz w:val="21"/>
          <w:szCs w:val="21"/>
        </w:rPr>
        <w:t xml:space="preserve">Server runtime: containerised MCP servers deployed as Red Hat OpenShift AI workloads, one per integrated business system, independently scalable and independently permissioned</w:t>
      </w:r>
    </w:p>
    <w:p>
      <w:pPr>
        <w:pStyle w:val="ListParagraph"/>
        <w:numPr>
          <w:ilvl w:val="0"/>
          <w:numId w:val="2"/>
        </w:numPr>
        <w:spacing w:after="80"/>
      </w:pPr>
      <w:r>
        <w:rPr>
          <w:rFonts w:ascii="Calibri" w:cs="Calibri" w:eastAsia="Calibri" w:hAnsi="Calibri"/>
          <w:color w:val="262626"/>
          <w:sz w:val="21"/>
          <w:szCs w:val="21"/>
        </w:rPr>
        <w:t xml:space="preserve">Credential management: secrets for each MCP server's downstream system stored in the cluster's existing secrets manager (e.g., HashiCorp Vault or OpenShift-native Secrets, whichever i3's Bob Implementation Playbook already standardises on) — never embedded in agent prompts or memory files</w:t>
      </w:r>
    </w:p>
    <w:p>
      <w:pPr>
        <w:pStyle w:val="Heading2"/>
        <w:spacing w:after="150" w:before="300"/>
      </w:pPr>
      <w:r>
        <w:rPr>
          <w:rFonts w:ascii="Calibri" w:cs="Calibri" w:eastAsia="Calibri" w:hAnsi="Calibri"/>
          <w:b/>
          <w:bCs/>
          <w:color w:val="128C8C"/>
          <w:sz w:val="24"/>
          <w:szCs w:val="24"/>
        </w:rPr>
        <w:t xml:space="preserve">5.6 Business Action Registry &amp; Approval Workflow Engine</w:t>
      </w:r>
    </w:p>
    <w:p>
      <w:pPr>
        <w:spacing w:after="160" w:line="276"/>
      </w:pPr>
      <w:r>
        <w:rPr>
          <w:rFonts w:ascii="Calibri" w:cs="Calibri" w:eastAsia="Calibri" w:hAnsi="Calibri"/>
          <w:color w:val="262626"/>
          <w:sz w:val="21"/>
          <w:szCs w:val="21"/>
        </w:rPr>
        <w:t xml:space="preserve">Function: the governance backbone of the whole stack — a named, permissioned catalogue of every state-changing action an agent is allowed to attempt, each with an explicit approval gate, so autonomy is granted action-by-action rather than blanket.</w:t>
      </w:r>
    </w:p>
    <w:p>
      <w:pPr>
        <w:spacing w:after="40"/>
      </w:pPr>
      <w:r>
        <w:rPr>
          <w:rFonts w:ascii="Calibri" w:cs="Calibri" w:eastAsia="Calibri" w:hAnsi="Calibri"/>
          <w:b/>
          <w:bCs/>
          <w:color w:val="0A1F44"/>
          <w:sz w:val="21"/>
          <w:szCs w:val="21"/>
        </w:rPr>
        <w:t xml:space="preserve">Design pattern (adapted from the Ragleap-style action-registry pattern referenced in i3's internal note)</w:t>
      </w:r>
    </w:p>
    <w:p>
      <w:pPr>
        <w:pStyle w:val="ListParagraph"/>
        <w:numPr>
          <w:ilvl w:val="0"/>
          <w:numId w:val="2"/>
        </w:numPr>
        <w:spacing w:after="80"/>
      </w:pPr>
      <w:r>
        <w:rPr>
          <w:rFonts w:ascii="Calibri" w:cs="Calibri" w:eastAsia="Calibri" w:hAnsi="Calibri"/>
          <w:color w:val="262626"/>
          <w:sz w:val="21"/>
          <w:szCs w:val="21"/>
        </w:rPr>
        <w:t xml:space="preserve">A registry of roughly 60–80 named actions per vertical pack at launch (mirroring the ~70-action pattern already validated in the open-source ecosystem), e.g. for FinGranite: draft_kyc_summary, flag_aml_anomaly, generate_collections_reminder, escalate_fraud_case</w:t>
      </w:r>
    </w:p>
    <w:p>
      <w:pPr>
        <w:pStyle w:val="ListParagraph"/>
        <w:numPr>
          <w:ilvl w:val="0"/>
          <w:numId w:val="2"/>
        </w:numPr>
        <w:spacing w:after="80"/>
      </w:pPr>
      <w:r>
        <w:rPr>
          <w:rFonts w:ascii="Calibri" w:cs="Calibri" w:eastAsia="Calibri" w:hAnsi="Calibri"/>
          <w:color w:val="262626"/>
          <w:sz w:val="21"/>
          <w:szCs w:val="21"/>
        </w:rPr>
        <w:t xml:space="preserve">Every action carries a risk tier (read-only / draft-only / execute-with-approval / execute-autonomous) and the registry enforces that tier regardless of what the agent's own plan proposes</w:t>
      </w:r>
    </w:p>
    <w:p>
      <w:pPr>
        <w:pStyle w:val="ListParagraph"/>
        <w:numPr>
          <w:ilvl w:val="0"/>
          <w:numId w:val="2"/>
        </w:numPr>
        <w:spacing w:after="80"/>
      </w:pPr>
      <w:r>
        <w:rPr>
          <w:rFonts w:ascii="Calibri" w:cs="Calibri" w:eastAsia="Calibri" w:hAnsi="Calibri"/>
          <w:color w:val="262626"/>
          <w:sz w:val="21"/>
          <w:szCs w:val="21"/>
        </w:rPr>
        <w:t xml:space="preserve">Owner-channel and customer-channel separation: actions that communicate externally (e.g., an SMS to a farmer, an email to a loan applicant) are logged and routed through a distinct, auditable channel from internal-only actions</w:t>
      </w:r>
    </w:p>
    <w:p>
      <w:pPr>
        <w:spacing w:after="40"/>
      </w:pPr>
      <w:r>
        <w:rPr>
          <w:rFonts w:ascii="Calibri" w:cs="Calibri" w:eastAsia="Calibri" w:hAnsi="Calibri"/>
          <w:b/>
          <w:bCs/>
          <w:color w:val="0A1F44"/>
          <w:sz w:val="21"/>
          <w:szCs w:val="21"/>
        </w:rPr>
        <w:t xml:space="preserve">Technology stack</w:t>
      </w:r>
    </w:p>
    <w:p>
      <w:pPr>
        <w:pStyle w:val="ListParagraph"/>
        <w:numPr>
          <w:ilvl w:val="0"/>
          <w:numId w:val="2"/>
        </w:numPr>
        <w:spacing w:after="80"/>
      </w:pPr>
      <w:r>
        <w:rPr>
          <w:rFonts w:ascii="Calibri" w:cs="Calibri" w:eastAsia="Calibri" w:hAnsi="Calibri"/>
          <w:color w:val="262626"/>
          <w:sz w:val="21"/>
          <w:szCs w:val="21"/>
        </w:rPr>
        <w:t xml:space="preserve">Registry store: a versioned configuration service (e.g., an OpenShift-hosted PostgreSQL-backed registry) holding the action catalogue, risk tiers and approval routing rules per tenant and per vertical pack</w:t>
      </w:r>
    </w:p>
    <w:p>
      <w:pPr>
        <w:pStyle w:val="ListParagraph"/>
        <w:numPr>
          <w:ilvl w:val="0"/>
          <w:numId w:val="2"/>
        </w:numPr>
        <w:spacing w:after="80"/>
      </w:pPr>
      <w:r>
        <w:rPr>
          <w:rFonts w:ascii="Calibri" w:cs="Calibri" w:eastAsia="Calibri" w:hAnsi="Calibri"/>
          <w:color w:val="262626"/>
          <w:sz w:val="21"/>
          <w:szCs w:val="21"/>
        </w:rPr>
        <w:t xml:space="preserve">Approval UI: a lightweight human-in-the-loop review queue surfaced inside the appliance's operator console, integrated with the customer's existing notification channel (email/SMS/Teams/Slack via MCP connectors)</w:t>
      </w:r>
    </w:p>
    <w:p>
      <w:pPr>
        <w:pStyle w:val="ListParagraph"/>
        <w:numPr>
          <w:ilvl w:val="0"/>
          <w:numId w:val="2"/>
        </w:numPr>
        <w:spacing w:after="80"/>
      </w:pPr>
      <w:r>
        <w:rPr>
          <w:rFonts w:ascii="Calibri" w:cs="Calibri" w:eastAsia="Calibri" w:hAnsi="Calibri"/>
          <w:color w:val="262626"/>
          <w:sz w:val="21"/>
          <w:szCs w:val="21"/>
        </w:rPr>
        <w:t xml:space="preserve">Policy enforcement point: where Sovereign Core is licensed on the deployment, the action registry's risk-tier enforcement is registered as a Sovereign Core runtime policy so it is enforced at the infrastructure level, not only in application code</w:t>
      </w:r>
    </w:p>
    <w:p>
      <w:r>
        <w:br w:type="page"/>
      </w:r>
    </w:p>
    <w:p>
      <w:pPr>
        <w:pStyle w:val="Heading2"/>
        <w:spacing w:after="150" w:before="300"/>
      </w:pPr>
      <w:r>
        <w:rPr>
          <w:rFonts w:ascii="Calibri" w:cs="Calibri" w:eastAsia="Calibri" w:hAnsi="Calibri"/>
          <w:b/>
          <w:bCs/>
          <w:color w:val="128C8C"/>
          <w:sz w:val="24"/>
          <w:szCs w:val="24"/>
        </w:rPr>
        <w:t xml:space="preserve">5.7 Evaluation, Guardrails &amp; Cost Governance</w:t>
      </w:r>
    </w:p>
    <w:p>
      <w:pPr>
        <w:spacing w:after="160" w:line="276"/>
      </w:pPr>
      <w:r>
        <w:rPr>
          <w:rFonts w:ascii="Calibri" w:cs="Calibri" w:eastAsia="Calibri" w:hAnsi="Calibri"/>
          <w:color w:val="262626"/>
          <w:sz w:val="21"/>
          <w:szCs w:val="21"/>
        </w:rPr>
        <w:t xml:space="preserve">Function: continuously verifies that the routing, agent and action layers above are behaving safely and affordably — the layer that turns "AI confidence" into the evidence-graded output discipline the Master Proposal commits to in Section 9 (verified / partially verified / unverified / contradicted).</w:t>
      </w:r>
    </w:p>
    <w:p>
      <w:pPr>
        <w:spacing w:after="40"/>
      </w:pPr>
      <w:r>
        <w:rPr>
          <w:rFonts w:ascii="Calibri" w:cs="Calibri" w:eastAsia="Calibri" w:hAnsi="Calibri"/>
          <w:b/>
          <w:bCs/>
          <w:color w:val="0A1F44"/>
          <w:sz w:val="21"/>
          <w:szCs w:val="21"/>
        </w:rPr>
        <w:t xml:space="preserve">Design pattern</w:t>
      </w:r>
    </w:p>
    <w:p>
      <w:pPr>
        <w:pStyle w:val="ListParagraph"/>
        <w:numPr>
          <w:ilvl w:val="0"/>
          <w:numId w:val="2"/>
        </w:numPr>
        <w:spacing w:after="80"/>
      </w:pPr>
      <w:r>
        <w:rPr>
          <w:rFonts w:ascii="Calibri" w:cs="Calibri" w:eastAsia="Calibri" w:hAnsi="Calibri"/>
          <w:color w:val="262626"/>
          <w:sz w:val="21"/>
          <w:szCs w:val="21"/>
        </w:rPr>
        <w:t xml:space="preserve">Every agent output that will reach a customer or trigger an action passes through a Granite Guardian safety/compliance check before release, in addition to any vertical-specific business-rule validation</w:t>
      </w:r>
    </w:p>
    <w:p>
      <w:pPr>
        <w:pStyle w:val="ListParagraph"/>
        <w:numPr>
          <w:ilvl w:val="0"/>
          <w:numId w:val="2"/>
        </w:numPr>
        <w:spacing w:after="80"/>
      </w:pPr>
      <w:r>
        <w:rPr>
          <w:rFonts w:ascii="Calibri" w:cs="Calibri" w:eastAsia="Calibri" w:hAnsi="Calibri"/>
          <w:color w:val="262626"/>
          <w:sz w:val="21"/>
          <w:szCs w:val="21"/>
        </w:rPr>
        <w:t xml:space="preserve">Per-model, per-tenant token and compute budgets are tracked in real time; the routing layer is budget-aware and can be configured to downgrade to a cheaper model, queue, or require explicit approval once a budget threshold is reached</w:t>
      </w:r>
    </w:p>
    <w:p>
      <w:pPr>
        <w:pStyle w:val="ListParagraph"/>
        <w:numPr>
          <w:ilvl w:val="0"/>
          <w:numId w:val="2"/>
        </w:numPr>
        <w:spacing w:after="80"/>
      </w:pPr>
      <w:r>
        <w:rPr>
          <w:rFonts w:ascii="Calibri" w:cs="Calibri" w:eastAsia="Calibri" w:hAnsi="Calibri"/>
          <w:color w:val="262626"/>
          <w:sz w:val="21"/>
          <w:szCs w:val="21"/>
        </w:rPr>
        <w:t xml:space="preserve">Continuous regression and hallucination testing against a held-out evaluation set for each vertical pack, re-run on every model or prompt update before it is promoted to production — this is the same discipline the Master Proposal packages commercially as "AI Evaluation-as-a-Service" (Section 8 of the Master Proposal)</w:t>
      </w:r>
    </w:p>
    <w:p>
      <w:pPr>
        <w:spacing w:after="40"/>
      </w:pPr>
      <w:r>
        <w:rPr>
          <w:rFonts w:ascii="Calibri" w:cs="Calibri" w:eastAsia="Calibri" w:hAnsi="Calibri"/>
          <w:b/>
          <w:bCs/>
          <w:color w:val="0A1F44"/>
          <w:sz w:val="21"/>
          <w:szCs w:val="21"/>
        </w:rPr>
        <w:t xml:space="preserve">Technology stack</w:t>
      </w:r>
    </w:p>
    <w:p>
      <w:pPr>
        <w:pStyle w:val="ListParagraph"/>
        <w:numPr>
          <w:ilvl w:val="0"/>
          <w:numId w:val="2"/>
        </w:numPr>
        <w:spacing w:after="80"/>
      </w:pPr>
      <w:r>
        <w:rPr>
          <w:rFonts w:ascii="Calibri" w:cs="Calibri" w:eastAsia="Calibri" w:hAnsi="Calibri"/>
          <w:color w:val="262626"/>
          <w:sz w:val="21"/>
          <w:szCs w:val="21"/>
        </w:rPr>
        <w:t xml:space="preserve">Safety classification: Granite Guardian models, invoked as a mandatory post-processing step on every externally-visible output</w:t>
      </w:r>
    </w:p>
    <w:p>
      <w:pPr>
        <w:pStyle w:val="ListParagraph"/>
        <w:numPr>
          <w:ilvl w:val="0"/>
          <w:numId w:val="2"/>
        </w:numPr>
        <w:spacing w:after="80"/>
      </w:pPr>
      <w:r>
        <w:rPr>
          <w:rFonts w:ascii="Calibri" w:cs="Calibri" w:eastAsia="Calibri" w:hAnsi="Calibri"/>
          <w:color w:val="262626"/>
          <w:sz w:val="21"/>
          <w:szCs w:val="21"/>
        </w:rPr>
        <w:t xml:space="preserve">Metering: OpenTelemetry-instrumented request tracing across the router, agent framework and MCP layer, feeding a Prometheus/Grafana cost-and-latency dashboard on Red Hat OpenShift AI</w:t>
      </w:r>
    </w:p>
    <w:p>
      <w:pPr>
        <w:pStyle w:val="ListParagraph"/>
        <w:numPr>
          <w:ilvl w:val="0"/>
          <w:numId w:val="2"/>
        </w:numPr>
        <w:spacing w:after="80"/>
      </w:pPr>
      <w:r>
        <w:rPr>
          <w:rFonts w:ascii="Calibri" w:cs="Calibri" w:eastAsia="Calibri" w:hAnsi="Calibri"/>
          <w:color w:val="262626"/>
          <w:sz w:val="21"/>
          <w:szCs w:val="21"/>
        </w:rPr>
        <w:t xml:space="preserve">Audit logging: append-only, tamper-evident logs of every routed request, agent action and approval decision, retained per the draft AI Bill's proposed five-year retention requirement (Master Proposal, Section 9)</w:t>
      </w:r>
    </w:p>
    <w:p>
      <w:pPr>
        <w:pStyle w:val="ListParagraph"/>
        <w:numPr>
          <w:ilvl w:val="0"/>
          <w:numId w:val="2"/>
        </w:numPr>
        <w:spacing w:after="80"/>
      </w:pPr>
      <w:r>
        <w:rPr>
          <w:rFonts w:ascii="Calibri" w:cs="Calibri" w:eastAsia="Calibri" w:hAnsi="Calibri"/>
          <w:color w:val="262626"/>
          <w:sz w:val="21"/>
          <w:szCs w:val="21"/>
        </w:rPr>
        <w:t xml:space="preserve">Evaluation harness: a versioned test-set-and-scoring pipeline (open-source evaluation frameworks such as promptfoo or a custom harness built on the same evaluation logic IBM Concert exposes) run in CI on every model/prompt change</w:t>
      </w:r>
    </w:p>
    <w:p>
      <w:pPr>
        <w:pStyle w:val="Heading1"/>
        <w:pBdr>
          <w:bottom w:val="single" w:color="C9A227" w:sz="12" w:space="4"/>
        </w:pBdr>
        <w:spacing w:after="200" w:before="400"/>
      </w:pPr>
      <w:r>
        <w:rPr>
          <w:rFonts w:ascii="Calibri" w:cs="Calibri" w:eastAsia="Calibri" w:hAnsi="Calibri"/>
          <w:b/>
          <w:bCs/>
          <w:color w:val="0A1F44"/>
          <w:sz w:val="30"/>
          <w:szCs w:val="30"/>
        </w:rPr>
        <w:t xml:space="preserve">6. Consolidated Technology Stack Reference</w:t>
      </w:r>
    </w:p>
    <w:p>
      <w:pPr>
        <w:spacing w:after="160" w:line="276"/>
      </w:pPr>
      <w:r>
        <w:rPr>
          <w:rFonts w:ascii="Calibri" w:cs="Calibri" w:eastAsia="Calibri" w:hAnsi="Calibri"/>
          <w:color w:val="262626"/>
          <w:sz w:val="21"/>
          <w:szCs w:val="21"/>
        </w:rPr>
        <w:t xml:space="preserve">The table below consolidates every component specified in Section 5 into a single reference, alongside its licensing posture, for engineering and procurement planning.</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500"/>
        <w:gridCol w:w="3100"/>
        <w:gridCol w:w="2100"/>
        <w:gridCol w:w="1800"/>
      </w:tblGrid>
      <w:tr>
        <w:trPr>
          <w:tblHeader/>
        </w:trPr>
        <w:tc>
          <w:tcPr>
            <w:tcW w:type="dxa" w:w="2500"/>
            <w:shd w:fill="0A1F44" w:color="auto" w:val="clear"/>
            <w:tcMar>
              <w:top w:type="dxa" w:w="80"/>
              <w:left w:type="dxa" w:w="100"/>
              <w:bottom w:type="dxa" w:w="80"/>
              <w:right w:type="dxa" w:w="100"/>
            </w:tcMar>
            <w:vAlign w:val="center"/>
          </w:tcPr>
          <w:p>
            <w:pPr>
              <w:jc w:val="left"/>
            </w:pPr>
            <w:r>
              <w:rPr>
                <w:rFonts w:ascii="Calibri" w:cs="Calibri" w:eastAsia="Calibri" w:hAnsi="Calibri"/>
                <w:b/>
                <w:bCs/>
                <w:color w:val="FFFFFF"/>
                <w:sz w:val="19"/>
                <w:szCs w:val="19"/>
              </w:rPr>
              <w:t xml:space="preserve">i3-AR Component</w:t>
            </w:r>
          </w:p>
        </w:tc>
        <w:tc>
          <w:tcPr>
            <w:tcW w:type="dxa" w:w="3100"/>
            <w:shd w:fill="0A1F44" w:color="auto" w:val="clear"/>
            <w:tcMar>
              <w:top w:type="dxa" w:w="80"/>
              <w:left w:type="dxa" w:w="100"/>
              <w:bottom w:type="dxa" w:w="80"/>
              <w:right w:type="dxa" w:w="100"/>
            </w:tcMar>
            <w:vAlign w:val="center"/>
          </w:tcPr>
          <w:p>
            <w:pPr>
              <w:jc w:val="left"/>
            </w:pPr>
            <w:r>
              <w:rPr>
                <w:rFonts w:ascii="Calibri" w:cs="Calibri" w:eastAsia="Calibri" w:hAnsi="Calibri"/>
                <w:b/>
                <w:bCs/>
                <w:color w:val="FFFFFF"/>
                <w:sz w:val="19"/>
                <w:szCs w:val="19"/>
              </w:rPr>
              <w:t xml:space="preserve">Primary Technology</w:t>
            </w:r>
          </w:p>
        </w:tc>
        <w:tc>
          <w:tcPr>
            <w:tcW w:type="dxa" w:w="2100"/>
            <w:shd w:fill="0A1F44" w:color="auto" w:val="clear"/>
            <w:tcMar>
              <w:top w:type="dxa" w:w="80"/>
              <w:left w:type="dxa" w:w="100"/>
              <w:bottom w:type="dxa" w:w="80"/>
              <w:right w:type="dxa" w:w="100"/>
            </w:tcMar>
            <w:vAlign w:val="center"/>
          </w:tcPr>
          <w:p>
            <w:pPr>
              <w:jc w:val="left"/>
            </w:pPr>
            <w:r>
              <w:rPr>
                <w:rFonts w:ascii="Calibri" w:cs="Calibri" w:eastAsia="Calibri" w:hAnsi="Calibri"/>
                <w:b/>
                <w:bCs/>
                <w:color w:val="FFFFFF"/>
                <w:sz w:val="19"/>
                <w:szCs w:val="19"/>
              </w:rPr>
              <w:t xml:space="preserve">License / Source</w:t>
            </w:r>
          </w:p>
        </w:tc>
        <w:tc>
          <w:tcPr>
            <w:tcW w:type="dxa" w:w="1800"/>
            <w:shd w:fill="0A1F44" w:color="auto" w:val="clear"/>
            <w:tcMar>
              <w:top w:type="dxa" w:w="80"/>
              <w:left w:type="dxa" w:w="100"/>
              <w:bottom w:type="dxa" w:w="80"/>
              <w:right w:type="dxa" w:w="100"/>
            </w:tcMar>
            <w:vAlign w:val="center"/>
          </w:tcPr>
          <w:p>
            <w:pPr>
              <w:jc w:val="left"/>
            </w:pPr>
            <w:r>
              <w:rPr>
                <w:rFonts w:ascii="Calibri" w:cs="Calibri" w:eastAsia="Calibri" w:hAnsi="Calibri"/>
                <w:b/>
                <w:bCs/>
                <w:color w:val="FFFFFF"/>
                <w:sz w:val="19"/>
                <w:szCs w:val="19"/>
              </w:rPr>
              <w:t xml:space="preserve">Deployment Target</w:t>
            </w:r>
          </w:p>
        </w:tc>
      </w:tr>
      <w:tr>
        <w:tc>
          <w:tcPr>
            <w:tcW w:type="dxa" w:w="2500"/>
            <w:shd w:fill="F2F2F2"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262626"/>
                <w:sz w:val="19"/>
                <w:szCs w:val="19"/>
              </w:rPr>
              <w:t xml:space="preserve">Model routing</w:t>
            </w:r>
          </w:p>
        </w:tc>
        <w:tc>
          <w:tcPr>
            <w:tcW w:type="dxa" w:w="3100"/>
            <w:shd w:fill="F2F2F2"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262626"/>
                <w:sz w:val="19"/>
                <w:szCs w:val="19"/>
              </w:rPr>
              <w:t xml:space="preserve">Fine-tuned Granite router + rules engine</w:t>
            </w:r>
          </w:p>
        </w:tc>
        <w:tc>
          <w:tcPr>
            <w:tcW w:type="dxa" w:w="2100"/>
            <w:shd w:fill="F2F2F2"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262626"/>
                <w:sz w:val="19"/>
                <w:szCs w:val="19"/>
              </w:rPr>
              <w:t xml:space="preserve">Apache-2.0 (Granite) + i3-built</w:t>
            </w:r>
          </w:p>
        </w:tc>
        <w:tc>
          <w:tcPr>
            <w:tcW w:type="dxa" w:w="1800"/>
            <w:shd w:fill="F2F2F2"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262626"/>
                <w:sz w:val="19"/>
                <w:szCs w:val="19"/>
              </w:rPr>
              <w:t xml:space="preserve">RHOAI / vLLM</w:t>
            </w:r>
          </w:p>
        </w:tc>
      </w:tr>
      <w:tr>
        <w:tc>
          <w:tcPr>
            <w:tcW w:type="dxa" w:w="2500"/>
            <w:tcMar>
              <w:top w:type="dxa" w:w="80"/>
              <w:left w:type="dxa" w:w="100"/>
              <w:bottom w:type="dxa" w:w="80"/>
              <w:right w:type="dxa" w:w="100"/>
            </w:tcMar>
            <w:vAlign w:val="center"/>
          </w:tcPr>
          <w:p>
            <w:pPr>
              <w:jc w:val="left"/>
            </w:pPr>
            <w:r>
              <w:rPr>
                <w:rFonts w:ascii="Calibri" w:cs="Calibri" w:eastAsia="Calibri" w:hAnsi="Calibri"/>
                <w:b w:val="false"/>
                <w:bCs w:val="false"/>
                <w:color w:val="262626"/>
                <w:sz w:val="19"/>
                <w:szCs w:val="19"/>
              </w:rPr>
              <w:t xml:space="preserve">Model serving</w:t>
            </w:r>
          </w:p>
        </w:tc>
        <w:tc>
          <w:tcPr>
            <w:tcW w:type="dxa" w:w="3100"/>
            <w:tcMar>
              <w:top w:type="dxa" w:w="80"/>
              <w:left w:type="dxa" w:w="100"/>
              <w:bottom w:type="dxa" w:w="80"/>
              <w:right w:type="dxa" w:w="100"/>
            </w:tcMar>
            <w:vAlign w:val="center"/>
          </w:tcPr>
          <w:p>
            <w:pPr>
              <w:jc w:val="left"/>
            </w:pPr>
            <w:r>
              <w:rPr>
                <w:rFonts w:ascii="Calibri" w:cs="Calibri" w:eastAsia="Calibri" w:hAnsi="Calibri"/>
                <w:b w:val="false"/>
                <w:bCs w:val="false"/>
                <w:color w:val="262626"/>
                <w:sz w:val="19"/>
                <w:szCs w:val="19"/>
              </w:rPr>
              <w:t xml:space="preserve">vLLM multi-model runtime</w:t>
            </w:r>
          </w:p>
        </w:tc>
        <w:tc>
          <w:tcPr>
            <w:tcW w:type="dxa" w:w="2100"/>
            <w:tcMar>
              <w:top w:type="dxa" w:w="80"/>
              <w:left w:type="dxa" w:w="100"/>
              <w:bottom w:type="dxa" w:w="80"/>
              <w:right w:type="dxa" w:w="100"/>
            </w:tcMar>
            <w:vAlign w:val="center"/>
          </w:tcPr>
          <w:p>
            <w:pPr>
              <w:jc w:val="left"/>
            </w:pPr>
            <w:r>
              <w:rPr>
                <w:rFonts w:ascii="Calibri" w:cs="Calibri" w:eastAsia="Calibri" w:hAnsi="Calibri"/>
                <w:b w:val="false"/>
                <w:bCs w:val="false"/>
                <w:color w:val="262626"/>
                <w:sz w:val="19"/>
                <w:szCs w:val="19"/>
              </w:rPr>
              <w:t xml:space="preserve">Apache-2.0</w:t>
            </w:r>
          </w:p>
        </w:tc>
        <w:tc>
          <w:tcPr>
            <w:tcW w:type="dxa" w:w="1800"/>
            <w:tcMar>
              <w:top w:type="dxa" w:w="80"/>
              <w:left w:type="dxa" w:w="100"/>
              <w:bottom w:type="dxa" w:w="80"/>
              <w:right w:type="dxa" w:w="100"/>
            </w:tcMar>
            <w:vAlign w:val="center"/>
          </w:tcPr>
          <w:p>
            <w:pPr>
              <w:jc w:val="left"/>
            </w:pPr>
            <w:r>
              <w:rPr>
                <w:rFonts w:ascii="Calibri" w:cs="Calibri" w:eastAsia="Calibri" w:hAnsi="Calibri"/>
                <w:b w:val="false"/>
                <w:bCs w:val="false"/>
                <w:color w:val="262626"/>
                <w:sz w:val="19"/>
                <w:szCs w:val="19"/>
              </w:rPr>
              <w:t xml:space="preserve">RHOAI on Power11/Spyre</w:t>
            </w:r>
          </w:p>
        </w:tc>
      </w:tr>
      <w:tr>
        <w:tc>
          <w:tcPr>
            <w:tcW w:type="dxa" w:w="2500"/>
            <w:shd w:fill="F2F2F2"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262626"/>
                <w:sz w:val="19"/>
                <w:szCs w:val="19"/>
              </w:rPr>
              <w:t xml:space="preserve">Agent orchestration</w:t>
            </w:r>
          </w:p>
        </w:tc>
        <w:tc>
          <w:tcPr>
            <w:tcW w:type="dxa" w:w="3100"/>
            <w:shd w:fill="F2F2F2"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262626"/>
                <w:sz w:val="19"/>
                <w:szCs w:val="19"/>
              </w:rPr>
              <w:t xml:space="preserve">Dapr Agents / Dapr Workflows</w:t>
            </w:r>
          </w:p>
        </w:tc>
        <w:tc>
          <w:tcPr>
            <w:tcW w:type="dxa" w:w="2100"/>
            <w:shd w:fill="F2F2F2"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262626"/>
                <w:sz w:val="19"/>
                <w:szCs w:val="19"/>
              </w:rPr>
              <w:t xml:space="preserve">Apache-2.0</w:t>
            </w:r>
          </w:p>
        </w:tc>
        <w:tc>
          <w:tcPr>
            <w:tcW w:type="dxa" w:w="1800"/>
            <w:shd w:fill="F2F2F2"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262626"/>
                <w:sz w:val="19"/>
                <w:szCs w:val="19"/>
              </w:rPr>
              <w:t xml:space="preserve">Kubernetes-native, RHOAI</w:t>
            </w:r>
          </w:p>
        </w:tc>
      </w:tr>
      <w:tr>
        <w:tc>
          <w:tcPr>
            <w:tcW w:type="dxa" w:w="2500"/>
            <w:tcMar>
              <w:top w:type="dxa" w:w="80"/>
              <w:left w:type="dxa" w:w="100"/>
              <w:bottom w:type="dxa" w:w="80"/>
              <w:right w:type="dxa" w:w="100"/>
            </w:tcMar>
            <w:vAlign w:val="center"/>
          </w:tcPr>
          <w:p>
            <w:pPr>
              <w:jc w:val="left"/>
            </w:pPr>
            <w:r>
              <w:rPr>
                <w:rFonts w:ascii="Calibri" w:cs="Calibri" w:eastAsia="Calibri" w:hAnsi="Calibri"/>
                <w:b w:val="false"/>
                <w:bCs w:val="false"/>
                <w:color w:val="262626"/>
                <w:sz w:val="19"/>
                <w:szCs w:val="19"/>
              </w:rPr>
              <w:t xml:space="preserve">Messaging</w:t>
            </w:r>
          </w:p>
        </w:tc>
        <w:tc>
          <w:tcPr>
            <w:tcW w:type="dxa" w:w="3100"/>
            <w:tcMar>
              <w:top w:type="dxa" w:w="80"/>
              <w:left w:type="dxa" w:w="100"/>
              <w:bottom w:type="dxa" w:w="80"/>
              <w:right w:type="dxa" w:w="100"/>
            </w:tcMar>
            <w:vAlign w:val="center"/>
          </w:tcPr>
          <w:p>
            <w:pPr>
              <w:jc w:val="left"/>
            </w:pPr>
            <w:r>
              <w:rPr>
                <w:rFonts w:ascii="Calibri" w:cs="Calibri" w:eastAsia="Calibri" w:hAnsi="Calibri"/>
                <w:b w:val="false"/>
                <w:bCs w:val="false"/>
                <w:color w:val="262626"/>
                <w:sz w:val="19"/>
                <w:szCs w:val="19"/>
              </w:rPr>
              <w:t xml:space="preserve">Dapr Pub/Sub (Kafka/Redis Streams)</w:t>
            </w:r>
          </w:p>
        </w:tc>
        <w:tc>
          <w:tcPr>
            <w:tcW w:type="dxa" w:w="2100"/>
            <w:tcMar>
              <w:top w:type="dxa" w:w="80"/>
              <w:left w:type="dxa" w:w="100"/>
              <w:bottom w:type="dxa" w:w="80"/>
              <w:right w:type="dxa" w:w="100"/>
            </w:tcMar>
            <w:vAlign w:val="center"/>
          </w:tcPr>
          <w:p>
            <w:pPr>
              <w:jc w:val="left"/>
            </w:pPr>
            <w:r>
              <w:rPr>
                <w:rFonts w:ascii="Calibri" w:cs="Calibri" w:eastAsia="Calibri" w:hAnsi="Calibri"/>
                <w:b w:val="false"/>
                <w:bCs w:val="false"/>
                <w:color w:val="262626"/>
                <w:sz w:val="19"/>
                <w:szCs w:val="19"/>
              </w:rPr>
              <w:t xml:space="preserve">Apache-2.0 / open-source</w:t>
            </w:r>
          </w:p>
        </w:tc>
        <w:tc>
          <w:tcPr>
            <w:tcW w:type="dxa" w:w="1800"/>
            <w:tcMar>
              <w:top w:type="dxa" w:w="80"/>
              <w:left w:type="dxa" w:w="100"/>
              <w:bottom w:type="dxa" w:w="80"/>
              <w:right w:type="dxa" w:w="100"/>
            </w:tcMar>
            <w:vAlign w:val="center"/>
          </w:tcPr>
          <w:p>
            <w:pPr>
              <w:jc w:val="left"/>
            </w:pPr>
            <w:r>
              <w:rPr>
                <w:rFonts w:ascii="Calibri" w:cs="Calibri" w:eastAsia="Calibri" w:hAnsi="Calibri"/>
                <w:b w:val="false"/>
                <w:bCs w:val="false"/>
                <w:color w:val="262626"/>
                <w:sz w:val="19"/>
                <w:szCs w:val="19"/>
              </w:rPr>
              <w:t xml:space="preserve">RHOAI cluster</w:t>
            </w:r>
          </w:p>
        </w:tc>
      </w:tr>
      <w:tr>
        <w:tc>
          <w:tcPr>
            <w:tcW w:type="dxa" w:w="2500"/>
            <w:shd w:fill="F2F2F2"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262626"/>
                <w:sz w:val="19"/>
                <w:szCs w:val="19"/>
              </w:rPr>
              <w:t xml:space="preserve">Sandboxed execution</w:t>
            </w:r>
          </w:p>
        </w:tc>
        <w:tc>
          <w:tcPr>
            <w:tcW w:type="dxa" w:w="3100"/>
            <w:shd w:fill="F2F2F2"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262626"/>
                <w:sz w:val="19"/>
                <w:szCs w:val="19"/>
              </w:rPr>
              <w:t xml:space="preserve">gVisor / Kata Containers</w:t>
            </w:r>
          </w:p>
        </w:tc>
        <w:tc>
          <w:tcPr>
            <w:tcW w:type="dxa" w:w="2100"/>
            <w:shd w:fill="F2F2F2"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262626"/>
                <w:sz w:val="19"/>
                <w:szCs w:val="19"/>
              </w:rPr>
              <w:t xml:space="preserve">Apache-2.0</w:t>
            </w:r>
          </w:p>
        </w:tc>
        <w:tc>
          <w:tcPr>
            <w:tcW w:type="dxa" w:w="1800"/>
            <w:shd w:fill="F2F2F2"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262626"/>
                <w:sz w:val="19"/>
                <w:szCs w:val="19"/>
              </w:rPr>
              <w:t xml:space="preserve">RHOAI, tenant-scoped</w:t>
            </w:r>
          </w:p>
        </w:tc>
      </w:tr>
      <w:tr>
        <w:tc>
          <w:tcPr>
            <w:tcW w:type="dxa" w:w="2500"/>
            <w:tcMar>
              <w:top w:type="dxa" w:w="80"/>
              <w:left w:type="dxa" w:w="100"/>
              <w:bottom w:type="dxa" w:w="80"/>
              <w:right w:type="dxa" w:w="100"/>
            </w:tcMar>
            <w:vAlign w:val="center"/>
          </w:tcPr>
          <w:p>
            <w:pPr>
              <w:jc w:val="left"/>
            </w:pPr>
            <w:r>
              <w:rPr>
                <w:rFonts w:ascii="Calibri" w:cs="Calibri" w:eastAsia="Calibri" w:hAnsi="Calibri"/>
                <w:b w:val="false"/>
                <w:bCs w:val="false"/>
                <w:color w:val="262626"/>
                <w:sz w:val="19"/>
                <w:szCs w:val="19"/>
              </w:rPr>
              <w:t xml:space="preserve">CodeAct execution pattern</w:t>
            </w:r>
          </w:p>
        </w:tc>
        <w:tc>
          <w:tcPr>
            <w:tcW w:type="dxa" w:w="3100"/>
            <w:tcMar>
              <w:top w:type="dxa" w:w="80"/>
              <w:left w:type="dxa" w:w="100"/>
              <w:bottom w:type="dxa" w:w="80"/>
              <w:right w:type="dxa" w:w="100"/>
            </w:tcMar>
            <w:vAlign w:val="center"/>
          </w:tcPr>
          <w:p>
            <w:pPr>
              <w:jc w:val="left"/>
            </w:pPr>
            <w:r>
              <w:rPr>
                <w:rFonts w:ascii="Calibri" w:cs="Calibri" w:eastAsia="Calibri" w:hAnsi="Calibri"/>
                <w:b w:val="false"/>
                <w:bCs w:val="false"/>
                <w:color w:val="262626"/>
                <w:sz w:val="19"/>
                <w:szCs w:val="19"/>
              </w:rPr>
              <w:t xml:space="preserve">Xerus-style Python execution agent</w:t>
            </w:r>
          </w:p>
        </w:tc>
        <w:tc>
          <w:tcPr>
            <w:tcW w:type="dxa" w:w="2100"/>
            <w:tcMar>
              <w:top w:type="dxa" w:w="80"/>
              <w:left w:type="dxa" w:w="100"/>
              <w:bottom w:type="dxa" w:w="80"/>
              <w:right w:type="dxa" w:w="100"/>
            </w:tcMar>
            <w:vAlign w:val="center"/>
          </w:tcPr>
          <w:p>
            <w:pPr>
              <w:jc w:val="left"/>
            </w:pPr>
            <w:r>
              <w:rPr>
                <w:rFonts w:ascii="Calibri" w:cs="Calibri" w:eastAsia="Calibri" w:hAnsi="Calibri"/>
                <w:b w:val="false"/>
                <w:bCs w:val="false"/>
                <w:color w:val="262626"/>
                <w:sz w:val="19"/>
                <w:szCs w:val="19"/>
              </w:rPr>
              <w:t xml:space="preserve">Open-source reference pattern</w:t>
            </w:r>
          </w:p>
        </w:tc>
        <w:tc>
          <w:tcPr>
            <w:tcW w:type="dxa" w:w="1800"/>
            <w:tcMar>
              <w:top w:type="dxa" w:w="80"/>
              <w:left w:type="dxa" w:w="100"/>
              <w:bottom w:type="dxa" w:w="80"/>
              <w:right w:type="dxa" w:w="100"/>
            </w:tcMar>
            <w:vAlign w:val="center"/>
          </w:tcPr>
          <w:p>
            <w:pPr>
              <w:jc w:val="left"/>
            </w:pPr>
            <w:r>
              <w:rPr>
                <w:rFonts w:ascii="Calibri" w:cs="Calibri" w:eastAsia="Calibri" w:hAnsi="Calibri"/>
                <w:b w:val="false"/>
                <w:bCs w:val="false"/>
                <w:color w:val="262626"/>
                <w:sz w:val="19"/>
                <w:szCs w:val="19"/>
              </w:rPr>
              <w:t xml:space="preserve">Sandbox runtime</w:t>
            </w:r>
          </w:p>
        </w:tc>
      </w:tr>
      <w:tr>
        <w:tc>
          <w:tcPr>
            <w:tcW w:type="dxa" w:w="2500"/>
            <w:shd w:fill="F2F2F2"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262626"/>
                <w:sz w:val="19"/>
                <w:szCs w:val="19"/>
              </w:rPr>
              <w:t xml:space="preserve">Memory storage</w:t>
            </w:r>
          </w:p>
        </w:tc>
        <w:tc>
          <w:tcPr>
            <w:tcW w:type="dxa" w:w="3100"/>
            <w:shd w:fill="F2F2F2"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262626"/>
                <w:sz w:val="19"/>
                <w:szCs w:val="19"/>
              </w:rPr>
              <w:t xml:space="preserve">Markdown/YAML memory files, git-versioned</w:t>
            </w:r>
          </w:p>
        </w:tc>
        <w:tc>
          <w:tcPr>
            <w:tcW w:type="dxa" w:w="2100"/>
            <w:shd w:fill="F2F2F2"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262626"/>
                <w:sz w:val="19"/>
                <w:szCs w:val="19"/>
              </w:rPr>
              <w:t xml:space="preserve">i3-built</w:t>
            </w:r>
          </w:p>
        </w:tc>
        <w:tc>
          <w:tcPr>
            <w:tcW w:type="dxa" w:w="1800"/>
            <w:shd w:fill="F2F2F2"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262626"/>
                <w:sz w:val="19"/>
                <w:szCs w:val="19"/>
              </w:rPr>
              <w:t xml:space="preserve">Ceph-backed PV, per tenant</w:t>
            </w:r>
          </w:p>
        </w:tc>
      </w:tr>
      <w:tr>
        <w:tc>
          <w:tcPr>
            <w:tcW w:type="dxa" w:w="2500"/>
            <w:tcMar>
              <w:top w:type="dxa" w:w="80"/>
              <w:left w:type="dxa" w:w="100"/>
              <w:bottom w:type="dxa" w:w="80"/>
              <w:right w:type="dxa" w:w="100"/>
            </w:tcMar>
            <w:vAlign w:val="center"/>
          </w:tcPr>
          <w:p>
            <w:pPr>
              <w:jc w:val="left"/>
            </w:pPr>
            <w:r>
              <w:rPr>
                <w:rFonts w:ascii="Calibri" w:cs="Calibri" w:eastAsia="Calibri" w:hAnsi="Calibri"/>
                <w:b w:val="false"/>
                <w:bCs w:val="false"/>
                <w:color w:val="262626"/>
                <w:sz w:val="19"/>
                <w:szCs w:val="19"/>
              </w:rPr>
              <w:t xml:space="preserve">Retrieval augmentation</w:t>
            </w:r>
          </w:p>
        </w:tc>
        <w:tc>
          <w:tcPr>
            <w:tcW w:type="dxa" w:w="3100"/>
            <w:tcMar>
              <w:top w:type="dxa" w:w="80"/>
              <w:left w:type="dxa" w:w="100"/>
              <w:bottom w:type="dxa" w:w="80"/>
              <w:right w:type="dxa" w:w="100"/>
            </w:tcMar>
            <w:vAlign w:val="center"/>
          </w:tcPr>
          <w:p>
            <w:pPr>
              <w:jc w:val="left"/>
            </w:pPr>
            <w:r>
              <w:rPr>
                <w:rFonts w:ascii="Calibri" w:cs="Calibri" w:eastAsia="Calibri" w:hAnsi="Calibri"/>
                <w:b w:val="false"/>
                <w:bCs w:val="false"/>
                <w:color w:val="262626"/>
                <w:sz w:val="19"/>
                <w:szCs w:val="19"/>
              </w:rPr>
              <w:t xml:space="preserve">Milvus or pgvector</w:t>
            </w:r>
          </w:p>
        </w:tc>
        <w:tc>
          <w:tcPr>
            <w:tcW w:type="dxa" w:w="2100"/>
            <w:tcMar>
              <w:top w:type="dxa" w:w="80"/>
              <w:left w:type="dxa" w:w="100"/>
              <w:bottom w:type="dxa" w:w="80"/>
              <w:right w:type="dxa" w:w="100"/>
            </w:tcMar>
            <w:vAlign w:val="center"/>
          </w:tcPr>
          <w:p>
            <w:pPr>
              <w:jc w:val="left"/>
            </w:pPr>
            <w:r>
              <w:rPr>
                <w:rFonts w:ascii="Calibri" w:cs="Calibri" w:eastAsia="Calibri" w:hAnsi="Calibri"/>
                <w:b w:val="false"/>
                <w:bCs w:val="false"/>
                <w:color w:val="262626"/>
                <w:sz w:val="19"/>
                <w:szCs w:val="19"/>
              </w:rPr>
              <w:t xml:space="preserve">Apache-2.0 / PostgreSQL license</w:t>
            </w:r>
          </w:p>
        </w:tc>
        <w:tc>
          <w:tcPr>
            <w:tcW w:type="dxa" w:w="1800"/>
            <w:tcMar>
              <w:top w:type="dxa" w:w="80"/>
              <w:left w:type="dxa" w:w="100"/>
              <w:bottom w:type="dxa" w:w="80"/>
              <w:right w:type="dxa" w:w="100"/>
            </w:tcMar>
            <w:vAlign w:val="center"/>
          </w:tcPr>
          <w:p>
            <w:pPr>
              <w:jc w:val="left"/>
            </w:pPr>
            <w:r>
              <w:rPr>
                <w:rFonts w:ascii="Calibri" w:cs="Calibri" w:eastAsia="Calibri" w:hAnsi="Calibri"/>
                <w:b w:val="false"/>
                <w:bCs w:val="false"/>
                <w:color w:val="262626"/>
                <w:sz w:val="19"/>
                <w:szCs w:val="19"/>
              </w:rPr>
              <w:t xml:space="preserve">RHOAI</w:t>
            </w:r>
          </w:p>
        </w:tc>
      </w:tr>
      <w:tr>
        <w:tc>
          <w:tcPr>
            <w:tcW w:type="dxa" w:w="2500"/>
            <w:shd w:fill="F2F2F2"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262626"/>
                <w:sz w:val="19"/>
                <w:szCs w:val="19"/>
              </w:rPr>
              <w:t xml:space="preserve">Tool integration</w:t>
            </w:r>
          </w:p>
        </w:tc>
        <w:tc>
          <w:tcPr>
            <w:tcW w:type="dxa" w:w="3100"/>
            <w:shd w:fill="F2F2F2"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262626"/>
                <w:sz w:val="19"/>
                <w:szCs w:val="19"/>
              </w:rPr>
              <w:t xml:space="preserve">Model Context Protocol (MCP) servers</w:t>
            </w:r>
          </w:p>
        </w:tc>
        <w:tc>
          <w:tcPr>
            <w:tcW w:type="dxa" w:w="2100"/>
            <w:shd w:fill="F2F2F2"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262626"/>
                <w:sz w:val="19"/>
                <w:szCs w:val="19"/>
              </w:rPr>
              <w:t xml:space="preserve">Open specification + i3-built servers</w:t>
            </w:r>
          </w:p>
        </w:tc>
        <w:tc>
          <w:tcPr>
            <w:tcW w:type="dxa" w:w="1800"/>
            <w:shd w:fill="F2F2F2"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262626"/>
                <w:sz w:val="19"/>
                <w:szCs w:val="19"/>
              </w:rPr>
              <w:t xml:space="preserve">RHOAI, containerised</w:t>
            </w:r>
          </w:p>
        </w:tc>
      </w:tr>
      <w:tr>
        <w:tc>
          <w:tcPr>
            <w:tcW w:type="dxa" w:w="2500"/>
            <w:tcMar>
              <w:top w:type="dxa" w:w="80"/>
              <w:left w:type="dxa" w:w="100"/>
              <w:bottom w:type="dxa" w:w="80"/>
              <w:right w:type="dxa" w:w="100"/>
            </w:tcMar>
            <w:vAlign w:val="center"/>
          </w:tcPr>
          <w:p>
            <w:pPr>
              <w:jc w:val="left"/>
            </w:pPr>
            <w:r>
              <w:rPr>
                <w:rFonts w:ascii="Calibri" w:cs="Calibri" w:eastAsia="Calibri" w:hAnsi="Calibri"/>
                <w:b w:val="false"/>
                <w:bCs w:val="false"/>
                <w:color w:val="262626"/>
                <w:sz w:val="19"/>
                <w:szCs w:val="19"/>
              </w:rPr>
              <w:t xml:space="preserve">Secrets management</w:t>
            </w:r>
          </w:p>
        </w:tc>
        <w:tc>
          <w:tcPr>
            <w:tcW w:type="dxa" w:w="3100"/>
            <w:tcMar>
              <w:top w:type="dxa" w:w="80"/>
              <w:left w:type="dxa" w:w="100"/>
              <w:bottom w:type="dxa" w:w="80"/>
              <w:right w:type="dxa" w:w="100"/>
            </w:tcMar>
            <w:vAlign w:val="center"/>
          </w:tcPr>
          <w:p>
            <w:pPr>
              <w:jc w:val="left"/>
            </w:pPr>
            <w:r>
              <w:rPr>
                <w:rFonts w:ascii="Calibri" w:cs="Calibri" w:eastAsia="Calibri" w:hAnsi="Calibri"/>
                <w:b w:val="false"/>
                <w:bCs w:val="false"/>
                <w:color w:val="262626"/>
                <w:sz w:val="19"/>
                <w:szCs w:val="19"/>
              </w:rPr>
              <w:t xml:space="preserve">HashiCorp Vault / OpenShift Secrets</w:t>
            </w:r>
          </w:p>
        </w:tc>
        <w:tc>
          <w:tcPr>
            <w:tcW w:type="dxa" w:w="2100"/>
            <w:tcMar>
              <w:top w:type="dxa" w:w="80"/>
              <w:left w:type="dxa" w:w="100"/>
              <w:bottom w:type="dxa" w:w="80"/>
              <w:right w:type="dxa" w:w="100"/>
            </w:tcMar>
            <w:vAlign w:val="center"/>
          </w:tcPr>
          <w:p>
            <w:pPr>
              <w:jc w:val="left"/>
            </w:pPr>
            <w:r>
              <w:rPr>
                <w:rFonts w:ascii="Calibri" w:cs="Calibri" w:eastAsia="Calibri" w:hAnsi="Calibri"/>
                <w:b w:val="false"/>
                <w:bCs w:val="false"/>
                <w:color w:val="262626"/>
                <w:sz w:val="19"/>
                <w:szCs w:val="19"/>
              </w:rPr>
              <w:t xml:space="preserve">MPL-2.0 / Red Hat</w:t>
            </w:r>
          </w:p>
        </w:tc>
        <w:tc>
          <w:tcPr>
            <w:tcW w:type="dxa" w:w="1800"/>
            <w:tcMar>
              <w:top w:type="dxa" w:w="80"/>
              <w:left w:type="dxa" w:w="100"/>
              <w:bottom w:type="dxa" w:w="80"/>
              <w:right w:type="dxa" w:w="100"/>
            </w:tcMar>
            <w:vAlign w:val="center"/>
          </w:tcPr>
          <w:p>
            <w:pPr>
              <w:jc w:val="left"/>
            </w:pPr>
            <w:r>
              <w:rPr>
                <w:rFonts w:ascii="Calibri" w:cs="Calibri" w:eastAsia="Calibri" w:hAnsi="Calibri"/>
                <w:b w:val="false"/>
                <w:bCs w:val="false"/>
                <w:color w:val="262626"/>
                <w:sz w:val="19"/>
                <w:szCs w:val="19"/>
              </w:rPr>
              <w:t xml:space="preserve">RHOAI cluster</w:t>
            </w:r>
          </w:p>
        </w:tc>
      </w:tr>
      <w:tr>
        <w:tc>
          <w:tcPr>
            <w:tcW w:type="dxa" w:w="2500"/>
            <w:shd w:fill="F2F2F2"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262626"/>
                <w:sz w:val="19"/>
                <w:szCs w:val="19"/>
              </w:rPr>
              <w:t xml:space="preserve">Action registry</w:t>
            </w:r>
          </w:p>
        </w:tc>
        <w:tc>
          <w:tcPr>
            <w:tcW w:type="dxa" w:w="3100"/>
            <w:shd w:fill="F2F2F2"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262626"/>
                <w:sz w:val="19"/>
                <w:szCs w:val="19"/>
              </w:rPr>
              <w:t xml:space="preserve">PostgreSQL-backed registry + approval UI</w:t>
            </w:r>
          </w:p>
        </w:tc>
        <w:tc>
          <w:tcPr>
            <w:tcW w:type="dxa" w:w="2100"/>
            <w:shd w:fill="F2F2F2"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262626"/>
                <w:sz w:val="19"/>
                <w:szCs w:val="19"/>
              </w:rPr>
              <w:t xml:space="preserve">i3-built</w:t>
            </w:r>
          </w:p>
        </w:tc>
        <w:tc>
          <w:tcPr>
            <w:tcW w:type="dxa" w:w="1800"/>
            <w:shd w:fill="F2F2F2"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262626"/>
                <w:sz w:val="19"/>
                <w:szCs w:val="19"/>
              </w:rPr>
              <w:t xml:space="preserve">RHOAI</w:t>
            </w:r>
          </w:p>
        </w:tc>
      </w:tr>
      <w:tr>
        <w:tc>
          <w:tcPr>
            <w:tcW w:type="dxa" w:w="2500"/>
            <w:tcMar>
              <w:top w:type="dxa" w:w="80"/>
              <w:left w:type="dxa" w:w="100"/>
              <w:bottom w:type="dxa" w:w="80"/>
              <w:right w:type="dxa" w:w="100"/>
            </w:tcMar>
            <w:vAlign w:val="center"/>
          </w:tcPr>
          <w:p>
            <w:pPr>
              <w:jc w:val="left"/>
            </w:pPr>
            <w:r>
              <w:rPr>
                <w:rFonts w:ascii="Calibri" w:cs="Calibri" w:eastAsia="Calibri" w:hAnsi="Calibri"/>
                <w:b w:val="false"/>
                <w:bCs w:val="false"/>
                <w:color w:val="262626"/>
                <w:sz w:val="19"/>
                <w:szCs w:val="19"/>
              </w:rPr>
              <w:t xml:space="preserve">Policy enforcement</w:t>
            </w:r>
          </w:p>
        </w:tc>
        <w:tc>
          <w:tcPr>
            <w:tcW w:type="dxa" w:w="3100"/>
            <w:tcMar>
              <w:top w:type="dxa" w:w="80"/>
              <w:left w:type="dxa" w:w="100"/>
              <w:bottom w:type="dxa" w:w="80"/>
              <w:right w:type="dxa" w:w="100"/>
            </w:tcMar>
            <w:vAlign w:val="center"/>
          </w:tcPr>
          <w:p>
            <w:pPr>
              <w:jc w:val="left"/>
            </w:pPr>
            <w:r>
              <w:rPr>
                <w:rFonts w:ascii="Calibri" w:cs="Calibri" w:eastAsia="Calibri" w:hAnsi="Calibri"/>
                <w:b w:val="false"/>
                <w:bCs w:val="false"/>
                <w:color w:val="262626"/>
                <w:sz w:val="19"/>
                <w:szCs w:val="19"/>
              </w:rPr>
              <w:t xml:space="preserve">Sovereign Core runtime policy hooks</w:t>
            </w:r>
          </w:p>
        </w:tc>
        <w:tc>
          <w:tcPr>
            <w:tcW w:type="dxa" w:w="2100"/>
            <w:tcMar>
              <w:top w:type="dxa" w:w="80"/>
              <w:left w:type="dxa" w:w="100"/>
              <w:bottom w:type="dxa" w:w="80"/>
              <w:right w:type="dxa" w:w="100"/>
            </w:tcMar>
            <w:vAlign w:val="center"/>
          </w:tcPr>
          <w:p>
            <w:pPr>
              <w:jc w:val="left"/>
            </w:pPr>
            <w:r>
              <w:rPr>
                <w:rFonts w:ascii="Calibri" w:cs="Calibri" w:eastAsia="Calibri" w:hAnsi="Calibri"/>
                <w:b w:val="false"/>
                <w:bCs w:val="false"/>
                <w:color w:val="262626"/>
                <w:sz w:val="19"/>
                <w:szCs w:val="19"/>
              </w:rPr>
              <w:t xml:space="preserve">IBM (where licensed)</w:t>
            </w:r>
          </w:p>
        </w:tc>
        <w:tc>
          <w:tcPr>
            <w:tcW w:type="dxa" w:w="1800"/>
            <w:tcMar>
              <w:top w:type="dxa" w:w="80"/>
              <w:left w:type="dxa" w:w="100"/>
              <w:bottom w:type="dxa" w:w="80"/>
              <w:right w:type="dxa" w:w="100"/>
            </w:tcMar>
            <w:vAlign w:val="center"/>
          </w:tcPr>
          <w:p>
            <w:pPr>
              <w:jc w:val="left"/>
            </w:pPr>
            <w:r>
              <w:rPr>
                <w:rFonts w:ascii="Calibri" w:cs="Calibri" w:eastAsia="Calibri" w:hAnsi="Calibri"/>
                <w:b w:val="false"/>
                <w:bCs w:val="false"/>
                <w:color w:val="262626"/>
                <w:sz w:val="19"/>
                <w:szCs w:val="19"/>
              </w:rPr>
              <w:t xml:space="preserve">Sovereign Core layer</w:t>
            </w:r>
          </w:p>
        </w:tc>
      </w:tr>
      <w:tr>
        <w:tc>
          <w:tcPr>
            <w:tcW w:type="dxa" w:w="2500"/>
            <w:shd w:fill="F2F2F2"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262626"/>
                <w:sz w:val="19"/>
                <w:szCs w:val="19"/>
              </w:rPr>
              <w:t xml:space="preserve">Safety/guardrails</w:t>
            </w:r>
          </w:p>
        </w:tc>
        <w:tc>
          <w:tcPr>
            <w:tcW w:type="dxa" w:w="3100"/>
            <w:shd w:fill="F2F2F2"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262626"/>
                <w:sz w:val="19"/>
                <w:szCs w:val="19"/>
              </w:rPr>
              <w:t xml:space="preserve">Granite Guardian</w:t>
            </w:r>
          </w:p>
        </w:tc>
        <w:tc>
          <w:tcPr>
            <w:tcW w:type="dxa" w:w="2100"/>
            <w:shd w:fill="F2F2F2"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262626"/>
                <w:sz w:val="19"/>
                <w:szCs w:val="19"/>
              </w:rPr>
              <w:t xml:space="preserve">Apache-2.0</w:t>
            </w:r>
          </w:p>
        </w:tc>
        <w:tc>
          <w:tcPr>
            <w:tcW w:type="dxa" w:w="1800"/>
            <w:shd w:fill="F2F2F2"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262626"/>
                <w:sz w:val="19"/>
                <w:szCs w:val="19"/>
              </w:rPr>
              <w:t xml:space="preserve">RHOAI / vLLM</w:t>
            </w:r>
          </w:p>
        </w:tc>
      </w:tr>
      <w:tr>
        <w:tc>
          <w:tcPr>
            <w:tcW w:type="dxa" w:w="2500"/>
            <w:tcMar>
              <w:top w:type="dxa" w:w="80"/>
              <w:left w:type="dxa" w:w="100"/>
              <w:bottom w:type="dxa" w:w="80"/>
              <w:right w:type="dxa" w:w="100"/>
            </w:tcMar>
            <w:vAlign w:val="center"/>
          </w:tcPr>
          <w:p>
            <w:pPr>
              <w:jc w:val="left"/>
            </w:pPr>
            <w:r>
              <w:rPr>
                <w:rFonts w:ascii="Calibri" w:cs="Calibri" w:eastAsia="Calibri" w:hAnsi="Calibri"/>
                <w:b w:val="false"/>
                <w:bCs w:val="false"/>
                <w:color w:val="262626"/>
                <w:sz w:val="19"/>
                <w:szCs w:val="19"/>
              </w:rPr>
              <w:t xml:space="preserve">Observability</w:t>
            </w:r>
          </w:p>
        </w:tc>
        <w:tc>
          <w:tcPr>
            <w:tcW w:type="dxa" w:w="3100"/>
            <w:tcMar>
              <w:top w:type="dxa" w:w="80"/>
              <w:left w:type="dxa" w:w="100"/>
              <w:bottom w:type="dxa" w:w="80"/>
              <w:right w:type="dxa" w:w="100"/>
            </w:tcMar>
            <w:vAlign w:val="center"/>
          </w:tcPr>
          <w:p>
            <w:pPr>
              <w:jc w:val="left"/>
            </w:pPr>
            <w:r>
              <w:rPr>
                <w:rFonts w:ascii="Calibri" w:cs="Calibri" w:eastAsia="Calibri" w:hAnsi="Calibri"/>
                <w:b w:val="false"/>
                <w:bCs w:val="false"/>
                <w:color w:val="262626"/>
                <w:sz w:val="19"/>
                <w:szCs w:val="19"/>
              </w:rPr>
              <w:t xml:space="preserve">OpenTelemetry + Prometheus/Grafana</w:t>
            </w:r>
          </w:p>
        </w:tc>
        <w:tc>
          <w:tcPr>
            <w:tcW w:type="dxa" w:w="2100"/>
            <w:tcMar>
              <w:top w:type="dxa" w:w="80"/>
              <w:left w:type="dxa" w:w="100"/>
              <w:bottom w:type="dxa" w:w="80"/>
              <w:right w:type="dxa" w:w="100"/>
            </w:tcMar>
            <w:vAlign w:val="center"/>
          </w:tcPr>
          <w:p>
            <w:pPr>
              <w:jc w:val="left"/>
            </w:pPr>
            <w:r>
              <w:rPr>
                <w:rFonts w:ascii="Calibri" w:cs="Calibri" w:eastAsia="Calibri" w:hAnsi="Calibri"/>
                <w:b w:val="false"/>
                <w:bCs w:val="false"/>
                <w:color w:val="262626"/>
                <w:sz w:val="19"/>
                <w:szCs w:val="19"/>
              </w:rPr>
              <w:t xml:space="preserve">Apache-2.0</w:t>
            </w:r>
          </w:p>
        </w:tc>
        <w:tc>
          <w:tcPr>
            <w:tcW w:type="dxa" w:w="1800"/>
            <w:tcMar>
              <w:top w:type="dxa" w:w="80"/>
              <w:left w:type="dxa" w:w="100"/>
              <w:bottom w:type="dxa" w:w="80"/>
              <w:right w:type="dxa" w:w="100"/>
            </w:tcMar>
            <w:vAlign w:val="center"/>
          </w:tcPr>
          <w:p>
            <w:pPr>
              <w:jc w:val="left"/>
            </w:pPr>
            <w:r>
              <w:rPr>
                <w:rFonts w:ascii="Calibri" w:cs="Calibri" w:eastAsia="Calibri" w:hAnsi="Calibri"/>
                <w:b w:val="false"/>
                <w:bCs w:val="false"/>
                <w:color w:val="262626"/>
                <w:sz w:val="19"/>
                <w:szCs w:val="19"/>
              </w:rPr>
              <w:t xml:space="preserve">RHOAI cluster</w:t>
            </w:r>
          </w:p>
        </w:tc>
      </w:tr>
      <w:tr>
        <w:tc>
          <w:tcPr>
            <w:tcW w:type="dxa" w:w="2500"/>
            <w:shd w:fill="F2F2F2"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262626"/>
                <w:sz w:val="19"/>
                <w:szCs w:val="19"/>
              </w:rPr>
              <w:t xml:space="preserve">Evaluation harness</w:t>
            </w:r>
          </w:p>
        </w:tc>
        <w:tc>
          <w:tcPr>
            <w:tcW w:type="dxa" w:w="3100"/>
            <w:shd w:fill="F2F2F2"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262626"/>
                <w:sz w:val="19"/>
                <w:szCs w:val="19"/>
              </w:rPr>
              <w:t xml:space="preserve">promptfoo-style CI evaluation pipeline</w:t>
            </w:r>
          </w:p>
        </w:tc>
        <w:tc>
          <w:tcPr>
            <w:tcW w:type="dxa" w:w="2100"/>
            <w:shd w:fill="F2F2F2"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262626"/>
                <w:sz w:val="19"/>
                <w:szCs w:val="19"/>
              </w:rPr>
              <w:t xml:space="preserve">MIT / i3-built</w:t>
            </w:r>
          </w:p>
        </w:tc>
        <w:tc>
          <w:tcPr>
            <w:tcW w:type="dxa" w:w="1800"/>
            <w:shd w:fill="F2F2F2"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262626"/>
                <w:sz w:val="19"/>
                <w:szCs w:val="19"/>
              </w:rPr>
              <w:t xml:space="preserve">CI/CD, pre-production</w:t>
            </w:r>
          </w:p>
        </w:tc>
      </w:tr>
    </w:tbl>
    <w:p>
      <w:r>
        <w:br w:type="page"/>
      </w:r>
    </w:p>
    <w:p>
      <w:pPr>
        <w:pStyle w:val="Heading1"/>
        <w:pBdr>
          <w:bottom w:val="single" w:color="C9A227" w:sz="12" w:space="4"/>
        </w:pBdr>
        <w:spacing w:after="200" w:before="400"/>
      </w:pPr>
      <w:r>
        <w:rPr>
          <w:rFonts w:ascii="Calibri" w:cs="Calibri" w:eastAsia="Calibri" w:hAnsi="Calibri"/>
          <w:b/>
          <w:bCs/>
          <w:color w:val="0A1F44"/>
          <w:sz w:val="30"/>
          <w:szCs w:val="30"/>
        </w:rPr>
        <w:t xml:space="preserve">7. Mapping to i3-SAA Appliance Tiers</w:t>
      </w:r>
    </w:p>
    <w:p>
      <w:pPr>
        <w:spacing w:after="160" w:line="276"/>
      </w:pPr>
      <w:r>
        <w:rPr>
          <w:rFonts w:ascii="Calibri" w:cs="Calibri" w:eastAsia="Calibri" w:hAnsi="Calibri"/>
          <w:color w:val="262626"/>
          <w:sz w:val="21"/>
          <w:szCs w:val="21"/>
        </w:rPr>
        <w:t xml:space="preserve">Consistent with the Master Proposal's principle that every tier runs the same certified software image at different hardware footprints (Section 5 of the Master Proposal), i3-AR ships as one product across all tiers — what changes is which components are active and at what scale.</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600"/>
        <w:gridCol w:w="4700"/>
        <w:gridCol w:w="2200"/>
      </w:tblGrid>
      <w:tr>
        <w:trPr>
          <w:tblHeader/>
        </w:trPr>
        <w:tc>
          <w:tcPr>
            <w:tcW w:type="dxa" w:w="2600"/>
            <w:shd w:fill="0A1F44" w:color="auto" w:val="clear"/>
            <w:tcMar>
              <w:top w:type="dxa" w:w="80"/>
              <w:left w:type="dxa" w:w="100"/>
              <w:bottom w:type="dxa" w:w="80"/>
              <w:right w:type="dxa" w:w="100"/>
            </w:tcMar>
            <w:vAlign w:val="center"/>
          </w:tcPr>
          <w:p>
            <w:pPr>
              <w:jc w:val="left"/>
            </w:pPr>
            <w:r>
              <w:rPr>
                <w:rFonts w:ascii="Calibri" w:cs="Calibri" w:eastAsia="Calibri" w:hAnsi="Calibri"/>
                <w:b/>
                <w:bCs/>
                <w:color w:val="FFFFFF"/>
                <w:sz w:val="19"/>
                <w:szCs w:val="19"/>
              </w:rPr>
              <w:t xml:space="preserve">i3-SAA Tier</w:t>
            </w:r>
          </w:p>
        </w:tc>
        <w:tc>
          <w:tcPr>
            <w:tcW w:type="dxa" w:w="4700"/>
            <w:shd w:fill="0A1F44" w:color="auto" w:val="clear"/>
            <w:tcMar>
              <w:top w:type="dxa" w:w="80"/>
              <w:left w:type="dxa" w:w="100"/>
              <w:bottom w:type="dxa" w:w="80"/>
              <w:right w:type="dxa" w:w="100"/>
            </w:tcMar>
            <w:vAlign w:val="center"/>
          </w:tcPr>
          <w:p>
            <w:pPr>
              <w:jc w:val="left"/>
            </w:pPr>
            <w:r>
              <w:rPr>
                <w:rFonts w:ascii="Calibri" w:cs="Calibri" w:eastAsia="Calibri" w:hAnsi="Calibri"/>
                <w:b/>
                <w:bCs/>
                <w:color w:val="FFFFFF"/>
                <w:sz w:val="19"/>
                <w:szCs w:val="19"/>
              </w:rPr>
              <w:t xml:space="preserve">i3-AR Components Active</w:t>
            </w:r>
          </w:p>
        </w:tc>
        <w:tc>
          <w:tcPr>
            <w:tcW w:type="dxa" w:w="2200"/>
            <w:shd w:fill="0A1F44" w:color="auto" w:val="clear"/>
            <w:tcMar>
              <w:top w:type="dxa" w:w="80"/>
              <w:left w:type="dxa" w:w="100"/>
              <w:bottom w:type="dxa" w:w="80"/>
              <w:right w:type="dxa" w:w="100"/>
            </w:tcMar>
            <w:vAlign w:val="center"/>
          </w:tcPr>
          <w:p>
            <w:pPr>
              <w:jc w:val="left"/>
            </w:pPr>
            <w:r>
              <w:rPr>
                <w:rFonts w:ascii="Calibri" w:cs="Calibri" w:eastAsia="Calibri" w:hAnsi="Calibri"/>
                <w:b/>
                <w:bCs/>
                <w:color w:val="FFFFFF"/>
                <w:sz w:val="19"/>
                <w:szCs w:val="19"/>
              </w:rPr>
              <w:t xml:space="preserve">Notes</w:t>
            </w:r>
          </w:p>
        </w:tc>
      </w:tr>
      <w:tr>
        <w:tc>
          <w:tcPr>
            <w:tcW w:type="dxa" w:w="2600"/>
            <w:shd w:fill="F2F2F2"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262626"/>
                <w:sz w:val="19"/>
                <w:szCs w:val="19"/>
              </w:rPr>
              <w:t xml:space="preserve">Edge</w:t>
            </w:r>
          </w:p>
        </w:tc>
        <w:tc>
          <w:tcPr>
            <w:tcW w:type="dxa" w:w="4700"/>
            <w:shd w:fill="F2F2F2"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262626"/>
                <w:sz w:val="19"/>
                <w:szCs w:val="19"/>
              </w:rPr>
              <w:t xml:space="preserve">Router (single-model bias), Agent framework (Ask/Plan modes only), Memory, MCP (1–2 connectors)</w:t>
            </w:r>
          </w:p>
        </w:tc>
        <w:tc>
          <w:tcPr>
            <w:tcW w:type="dxa" w:w="2200"/>
            <w:shd w:fill="F2F2F2"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262626"/>
                <w:sz w:val="19"/>
                <w:szCs w:val="19"/>
              </w:rPr>
              <w:t xml:space="preserve">Agent mode and subagent spawning deferred until Departmental tier; no local burst path</w:t>
            </w:r>
          </w:p>
        </w:tc>
      </w:tr>
      <w:tr>
        <w:tc>
          <w:tcPr>
            <w:tcW w:type="dxa" w:w="2600"/>
            <w:tcMar>
              <w:top w:type="dxa" w:w="80"/>
              <w:left w:type="dxa" w:w="100"/>
              <w:bottom w:type="dxa" w:w="80"/>
              <w:right w:type="dxa" w:w="100"/>
            </w:tcMar>
            <w:vAlign w:val="center"/>
          </w:tcPr>
          <w:p>
            <w:pPr>
              <w:jc w:val="left"/>
            </w:pPr>
            <w:r>
              <w:rPr>
                <w:rFonts w:ascii="Calibri" w:cs="Calibri" w:eastAsia="Calibri" w:hAnsi="Calibri"/>
                <w:b w:val="false"/>
                <w:bCs w:val="false"/>
                <w:color w:val="262626"/>
                <w:sz w:val="19"/>
                <w:szCs w:val="19"/>
              </w:rPr>
              <w:t xml:space="preserve">Departmental</w:t>
            </w:r>
          </w:p>
        </w:tc>
        <w:tc>
          <w:tcPr>
            <w:tcW w:type="dxa" w:w="4700"/>
            <w:tcMar>
              <w:top w:type="dxa" w:w="80"/>
              <w:left w:type="dxa" w:w="100"/>
              <w:bottom w:type="dxa" w:w="80"/>
              <w:right w:type="dxa" w:w="100"/>
            </w:tcMar>
            <w:vAlign w:val="center"/>
          </w:tcPr>
          <w:p>
            <w:pPr>
              <w:jc w:val="left"/>
            </w:pPr>
            <w:r>
              <w:rPr>
                <w:rFonts w:ascii="Calibri" w:cs="Calibri" w:eastAsia="Calibri" w:hAnsi="Calibri"/>
                <w:b w:val="false"/>
                <w:bCs w:val="false"/>
                <w:color w:val="262626"/>
                <w:sz w:val="19"/>
                <w:szCs w:val="19"/>
              </w:rPr>
              <w:t xml:space="preserve">Full router, full agent framework incl. subagents, sandboxed runtime, memory, MCP, action registry (moderate action set)</w:t>
            </w:r>
          </w:p>
        </w:tc>
        <w:tc>
          <w:tcPr>
            <w:tcW w:type="dxa" w:w="2200"/>
            <w:tcMar>
              <w:top w:type="dxa" w:w="80"/>
              <w:left w:type="dxa" w:w="100"/>
              <w:bottom w:type="dxa" w:w="80"/>
              <w:right w:type="dxa" w:w="100"/>
            </w:tcMar>
            <w:vAlign w:val="center"/>
          </w:tcPr>
          <w:p>
            <w:pPr>
              <w:jc w:val="left"/>
            </w:pPr>
            <w:r>
              <w:rPr>
                <w:rFonts w:ascii="Calibri" w:cs="Calibri" w:eastAsia="Calibri" w:hAnsi="Calibri"/>
                <w:b w:val="false"/>
                <w:bCs w:val="false"/>
                <w:color w:val="262626"/>
                <w:sz w:val="19"/>
                <w:szCs w:val="19"/>
              </w:rPr>
              <w:t xml:space="preserve">Reference tier for Phase 1 pilots per Master Proposal Section 14</w:t>
            </w:r>
          </w:p>
        </w:tc>
      </w:tr>
      <w:tr>
        <w:tc>
          <w:tcPr>
            <w:tcW w:type="dxa" w:w="2600"/>
            <w:shd w:fill="F2F2F2"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262626"/>
                <w:sz w:val="19"/>
                <w:szCs w:val="19"/>
              </w:rPr>
              <w:t xml:space="preserve">Enterprise</w:t>
            </w:r>
          </w:p>
        </w:tc>
        <w:tc>
          <w:tcPr>
            <w:tcW w:type="dxa" w:w="4700"/>
            <w:shd w:fill="F2F2F2"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262626"/>
                <w:sz w:val="19"/>
                <w:szCs w:val="19"/>
              </w:rPr>
              <w:t xml:space="preserve">Full stack + multi-tenant action registry, full evaluation harness, cost governance dashboards</w:t>
            </w:r>
          </w:p>
        </w:tc>
        <w:tc>
          <w:tcPr>
            <w:tcW w:type="dxa" w:w="2200"/>
            <w:shd w:fill="F2F2F2"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262626"/>
                <w:sz w:val="19"/>
                <w:szCs w:val="19"/>
              </w:rPr>
              <w:t xml:space="preserve">24/7 SLA-bound operations per Master Proposal Section 5</w:t>
            </w:r>
          </w:p>
        </w:tc>
      </w:tr>
      <w:tr>
        <w:tc>
          <w:tcPr>
            <w:tcW w:type="dxa" w:w="2600"/>
            <w:tcMar>
              <w:top w:type="dxa" w:w="80"/>
              <w:left w:type="dxa" w:w="100"/>
              <w:bottom w:type="dxa" w:w="80"/>
              <w:right w:type="dxa" w:w="100"/>
            </w:tcMar>
            <w:vAlign w:val="center"/>
          </w:tcPr>
          <w:p>
            <w:pPr>
              <w:jc w:val="left"/>
            </w:pPr>
            <w:r>
              <w:rPr>
                <w:rFonts w:ascii="Calibri" w:cs="Calibri" w:eastAsia="Calibri" w:hAnsi="Calibri"/>
                <w:b w:val="false"/>
                <w:bCs w:val="false"/>
                <w:color w:val="262626"/>
                <w:sz w:val="19"/>
                <w:szCs w:val="19"/>
              </w:rPr>
              <w:t xml:space="preserve">Sovereign Cloud-in-a-Box</w:t>
            </w:r>
          </w:p>
        </w:tc>
        <w:tc>
          <w:tcPr>
            <w:tcW w:type="dxa" w:w="4700"/>
            <w:tcMar>
              <w:top w:type="dxa" w:w="80"/>
              <w:left w:type="dxa" w:w="100"/>
              <w:bottom w:type="dxa" w:w="80"/>
              <w:right w:type="dxa" w:w="100"/>
            </w:tcMar>
            <w:vAlign w:val="center"/>
          </w:tcPr>
          <w:p>
            <w:pPr>
              <w:jc w:val="left"/>
            </w:pPr>
            <w:r>
              <w:rPr>
                <w:rFonts w:ascii="Calibri" w:cs="Calibri" w:eastAsia="Calibri" w:hAnsi="Calibri"/>
                <w:b w:val="false"/>
                <w:bCs w:val="false"/>
                <w:color w:val="262626"/>
                <w:sz w:val="19"/>
                <w:szCs w:val="19"/>
              </w:rPr>
              <w:t xml:space="preserve">Full stack, multi-tenant isolation on every component (registry, memory, MCP credentials scoped per agency)</w:t>
            </w:r>
          </w:p>
        </w:tc>
        <w:tc>
          <w:tcPr>
            <w:tcW w:type="dxa" w:w="2200"/>
            <w:tcMar>
              <w:top w:type="dxa" w:w="80"/>
              <w:left w:type="dxa" w:w="100"/>
              <w:bottom w:type="dxa" w:w="80"/>
              <w:right w:type="dxa" w:w="100"/>
            </w:tcMar>
            <w:vAlign w:val="center"/>
          </w:tcPr>
          <w:p>
            <w:pPr>
              <w:jc w:val="left"/>
            </w:pPr>
            <w:r>
              <w:rPr>
                <w:rFonts w:ascii="Calibri" w:cs="Calibri" w:eastAsia="Calibri" w:hAnsi="Calibri"/>
                <w:b w:val="false"/>
                <w:bCs w:val="false"/>
                <w:color w:val="262626"/>
                <w:sz w:val="19"/>
                <w:szCs w:val="19"/>
              </w:rPr>
              <w:t xml:space="preserve">Requires Sovereign Core policy stack for cross-tenant enforcement</w:t>
            </w:r>
          </w:p>
        </w:tc>
      </w:tr>
    </w:tbl>
    <w:p>
      <w:pPr>
        <w:pStyle w:val="Heading1"/>
        <w:pBdr>
          <w:bottom w:val="single" w:color="C9A227" w:sz="12" w:space="4"/>
        </w:pBdr>
        <w:spacing w:after="200" w:before="400"/>
      </w:pPr>
      <w:r>
        <w:rPr>
          <w:rFonts w:ascii="Calibri" w:cs="Calibri" w:eastAsia="Calibri" w:hAnsi="Calibri"/>
          <w:b/>
          <w:bCs/>
          <w:color w:val="0A1F44"/>
          <w:sz w:val="30"/>
          <w:szCs w:val="30"/>
        </w:rPr>
        <w:t xml:space="preserve">8. Implementation Roadmap</w:t>
      </w:r>
    </w:p>
    <w:p>
      <w:pPr>
        <w:spacing w:after="160" w:line="276"/>
      </w:pPr>
      <w:r>
        <w:rPr>
          <w:rFonts w:ascii="Calibri" w:cs="Calibri" w:eastAsia="Calibri" w:hAnsi="Calibri"/>
          <w:color w:val="262626"/>
          <w:sz w:val="21"/>
          <w:szCs w:val="21"/>
        </w:rPr>
        <w:t xml:space="preserve">Sequenced to land inside the Master Proposal's existing Month 0–12 plan (Section 14), so i3-AR is ready in time for the Phase 1 Departmental reference appliance rather than becoming a second, competing timeline.</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800"/>
        <w:gridCol w:w="7700"/>
      </w:tblGrid>
      <w:tr>
        <w:trPr>
          <w:tblHeader/>
        </w:trPr>
        <w:tc>
          <w:tcPr>
            <w:tcW w:type="dxa" w:w="1800"/>
            <w:shd w:fill="0A1F44" w:color="auto" w:val="clear"/>
            <w:tcMar>
              <w:top w:type="dxa" w:w="80"/>
              <w:left w:type="dxa" w:w="100"/>
              <w:bottom w:type="dxa" w:w="80"/>
              <w:right w:type="dxa" w:w="100"/>
            </w:tcMar>
            <w:vAlign w:val="center"/>
          </w:tcPr>
          <w:p>
            <w:pPr>
              <w:jc w:val="left"/>
            </w:pPr>
            <w:r>
              <w:rPr>
                <w:rFonts w:ascii="Calibri" w:cs="Calibri" w:eastAsia="Calibri" w:hAnsi="Calibri"/>
                <w:b/>
                <w:bCs/>
                <w:color w:val="FFFFFF"/>
                <w:sz w:val="19"/>
                <w:szCs w:val="19"/>
              </w:rPr>
              <w:t xml:space="preserve">Window</w:t>
            </w:r>
          </w:p>
        </w:tc>
        <w:tc>
          <w:tcPr>
            <w:tcW w:type="dxa" w:w="7700"/>
            <w:shd w:fill="0A1F44" w:color="auto" w:val="clear"/>
            <w:tcMar>
              <w:top w:type="dxa" w:w="80"/>
              <w:left w:type="dxa" w:w="100"/>
              <w:bottom w:type="dxa" w:w="80"/>
              <w:right w:type="dxa" w:w="100"/>
            </w:tcMar>
            <w:vAlign w:val="center"/>
          </w:tcPr>
          <w:p>
            <w:pPr>
              <w:jc w:val="left"/>
            </w:pPr>
            <w:r>
              <w:rPr>
                <w:rFonts w:ascii="Calibri" w:cs="Calibri" w:eastAsia="Calibri" w:hAnsi="Calibri"/>
                <w:b/>
                <w:bCs/>
                <w:color w:val="FFFFFF"/>
                <w:sz w:val="19"/>
                <w:szCs w:val="19"/>
              </w:rPr>
              <w:t xml:space="preserve">i3-AR Milestone</w:t>
            </w:r>
          </w:p>
        </w:tc>
      </w:tr>
      <w:tr>
        <w:tc>
          <w:tcPr>
            <w:tcW w:type="dxa" w:w="1800"/>
            <w:shd w:fill="F2F2F2"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262626"/>
                <w:sz w:val="19"/>
                <w:szCs w:val="19"/>
              </w:rPr>
              <w:t xml:space="preserve">Month 0–2</w:t>
            </w:r>
          </w:p>
        </w:tc>
        <w:tc>
          <w:tcPr>
            <w:tcW w:type="dxa" w:w="7700"/>
            <w:shd w:fill="F2F2F2"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262626"/>
                <w:sz w:val="19"/>
                <w:szCs w:val="19"/>
              </w:rPr>
              <w:t xml:space="preserve">Stand up model router and vLLM multi-model serving on the reference ROKS/RHOAI AI Lab; select and pin the Dapr Agents version for the agent framework</w:t>
            </w:r>
          </w:p>
        </w:tc>
      </w:tr>
      <w:tr>
        <w:tc>
          <w:tcPr>
            <w:tcW w:type="dxa" w:w="1800"/>
            <w:tcMar>
              <w:top w:type="dxa" w:w="80"/>
              <w:left w:type="dxa" w:w="100"/>
              <w:bottom w:type="dxa" w:w="80"/>
              <w:right w:type="dxa" w:w="100"/>
            </w:tcMar>
            <w:vAlign w:val="center"/>
          </w:tcPr>
          <w:p>
            <w:pPr>
              <w:jc w:val="left"/>
            </w:pPr>
            <w:r>
              <w:rPr>
                <w:rFonts w:ascii="Calibri" w:cs="Calibri" w:eastAsia="Calibri" w:hAnsi="Calibri"/>
                <w:b w:val="false"/>
                <w:bCs w:val="false"/>
                <w:color w:val="262626"/>
                <w:sz w:val="19"/>
                <w:szCs w:val="19"/>
              </w:rPr>
              <w:t xml:space="preserve">Month 2–4</w:t>
            </w:r>
          </w:p>
        </w:tc>
        <w:tc>
          <w:tcPr>
            <w:tcW w:type="dxa" w:w="7700"/>
            <w:tcMar>
              <w:top w:type="dxa" w:w="80"/>
              <w:left w:type="dxa" w:w="100"/>
              <w:bottom w:type="dxa" w:w="80"/>
              <w:right w:type="dxa" w:w="100"/>
            </w:tcMar>
            <w:vAlign w:val="center"/>
          </w:tcPr>
          <w:p>
            <w:pPr>
              <w:jc w:val="left"/>
            </w:pPr>
            <w:r>
              <w:rPr>
                <w:rFonts w:ascii="Calibri" w:cs="Calibri" w:eastAsia="Calibri" w:hAnsi="Calibri"/>
                <w:b w:val="false"/>
                <w:bCs w:val="false"/>
                <w:color w:val="262626"/>
                <w:sz w:val="19"/>
                <w:szCs w:val="19"/>
              </w:rPr>
              <w:t xml:space="preserve">Build sandboxed execution runtime and MCP servers for the first two pilot accounts' core systems; implement the memory-file system</w:t>
            </w:r>
          </w:p>
        </w:tc>
      </w:tr>
      <w:tr>
        <w:tc>
          <w:tcPr>
            <w:tcW w:type="dxa" w:w="1800"/>
            <w:shd w:fill="F2F2F2"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262626"/>
                <w:sz w:val="19"/>
                <w:szCs w:val="19"/>
              </w:rPr>
              <w:t xml:space="preserve">Month 4–6</w:t>
            </w:r>
          </w:p>
        </w:tc>
        <w:tc>
          <w:tcPr>
            <w:tcW w:type="dxa" w:w="7700"/>
            <w:shd w:fill="F2F2F2"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262626"/>
                <w:sz w:val="19"/>
                <w:szCs w:val="19"/>
              </w:rPr>
              <w:t xml:space="preserve">Stand up the action registry and approval-workflow UI for FinGranite and GovGranite; wire Granite Guardian into the release path</w:t>
            </w:r>
          </w:p>
        </w:tc>
      </w:tr>
      <w:tr>
        <w:tc>
          <w:tcPr>
            <w:tcW w:type="dxa" w:w="1800"/>
            <w:tcMar>
              <w:top w:type="dxa" w:w="80"/>
              <w:left w:type="dxa" w:w="100"/>
              <w:bottom w:type="dxa" w:w="80"/>
              <w:right w:type="dxa" w:w="100"/>
            </w:tcMar>
            <w:vAlign w:val="center"/>
          </w:tcPr>
          <w:p>
            <w:pPr>
              <w:jc w:val="left"/>
            </w:pPr>
            <w:r>
              <w:rPr>
                <w:rFonts w:ascii="Calibri" w:cs="Calibri" w:eastAsia="Calibri" w:hAnsi="Calibri"/>
                <w:b w:val="false"/>
                <w:bCs w:val="false"/>
                <w:color w:val="262626"/>
                <w:sz w:val="19"/>
                <w:szCs w:val="19"/>
              </w:rPr>
              <w:t xml:space="preserve">Month 6–9</w:t>
            </w:r>
          </w:p>
        </w:tc>
        <w:tc>
          <w:tcPr>
            <w:tcW w:type="dxa" w:w="7700"/>
            <w:tcMar>
              <w:top w:type="dxa" w:w="80"/>
              <w:left w:type="dxa" w:w="100"/>
              <w:bottom w:type="dxa" w:w="80"/>
              <w:right w:type="dxa" w:w="100"/>
            </w:tcMar>
            <w:vAlign w:val="center"/>
          </w:tcPr>
          <w:p>
            <w:pPr>
              <w:jc w:val="left"/>
            </w:pPr>
            <w:r>
              <w:rPr>
                <w:rFonts w:ascii="Calibri" w:cs="Calibri" w:eastAsia="Calibri" w:hAnsi="Calibri"/>
                <w:b w:val="false"/>
                <w:bCs w:val="false"/>
                <w:color w:val="262626"/>
                <w:sz w:val="19"/>
                <w:szCs w:val="19"/>
              </w:rPr>
              <w:t xml:space="preserve">Add cost-governance dashboards and the CI evaluation harness; expand MCP connector library ahead of Edge-tier certification</w:t>
            </w:r>
          </w:p>
        </w:tc>
      </w:tr>
      <w:tr>
        <w:tc>
          <w:tcPr>
            <w:tcW w:type="dxa" w:w="1800"/>
            <w:shd w:fill="F2F2F2"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262626"/>
                <w:sz w:val="19"/>
                <w:szCs w:val="19"/>
              </w:rPr>
              <w:t xml:space="preserve">Month 9–12</w:t>
            </w:r>
          </w:p>
        </w:tc>
        <w:tc>
          <w:tcPr>
            <w:tcW w:type="dxa" w:w="7700"/>
            <w:shd w:fill="F2F2F2"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262626"/>
                <w:sz w:val="19"/>
                <w:szCs w:val="19"/>
              </w:rPr>
              <w:t xml:space="preserve">Harden multi-tenant isolation on registry/memory/MCP for the Sovereign Cloud-in-a-Box tier; publish i3-AR as a named internal product alongside the first reference case studies</w:t>
            </w:r>
          </w:p>
        </w:tc>
      </w:tr>
    </w:tbl>
    <w:p>
      <w:pPr>
        <w:pStyle w:val="Heading1"/>
        <w:pBdr>
          <w:bottom w:val="single" w:color="C9A227" w:sz="12" w:space="4"/>
        </w:pBdr>
        <w:spacing w:after="200" w:before="400"/>
      </w:pPr>
      <w:r>
        <w:rPr>
          <w:rFonts w:ascii="Calibri" w:cs="Calibri" w:eastAsia="Calibri" w:hAnsi="Calibri"/>
          <w:b/>
          <w:bCs/>
          <w:color w:val="0A1F44"/>
          <w:sz w:val="30"/>
          <w:szCs w:val="30"/>
        </w:rPr>
        <w:t xml:space="preserve">9. Risks &amp; Mitigations Specific to the i3-AR Layer</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900"/>
        <w:gridCol w:w="5600"/>
      </w:tblGrid>
      <w:tr>
        <w:trPr>
          <w:tblHeader/>
        </w:trPr>
        <w:tc>
          <w:tcPr>
            <w:tcW w:type="dxa" w:w="3900"/>
            <w:shd w:fill="0A1F44" w:color="auto" w:val="clear"/>
            <w:tcMar>
              <w:top w:type="dxa" w:w="80"/>
              <w:left w:type="dxa" w:w="100"/>
              <w:bottom w:type="dxa" w:w="80"/>
              <w:right w:type="dxa" w:w="100"/>
            </w:tcMar>
            <w:vAlign w:val="center"/>
          </w:tcPr>
          <w:p>
            <w:pPr>
              <w:jc w:val="left"/>
            </w:pPr>
            <w:r>
              <w:rPr>
                <w:rFonts w:ascii="Calibri" w:cs="Calibri" w:eastAsia="Calibri" w:hAnsi="Calibri"/>
                <w:b/>
                <w:bCs/>
                <w:color w:val="FFFFFF"/>
                <w:sz w:val="19"/>
                <w:szCs w:val="19"/>
              </w:rPr>
              <w:t xml:space="preserve">Risk</w:t>
            </w:r>
          </w:p>
        </w:tc>
        <w:tc>
          <w:tcPr>
            <w:tcW w:type="dxa" w:w="5600"/>
            <w:shd w:fill="0A1F44" w:color="auto" w:val="clear"/>
            <w:tcMar>
              <w:top w:type="dxa" w:w="80"/>
              <w:left w:type="dxa" w:w="100"/>
              <w:bottom w:type="dxa" w:w="80"/>
              <w:right w:type="dxa" w:w="100"/>
            </w:tcMar>
            <w:vAlign w:val="center"/>
          </w:tcPr>
          <w:p>
            <w:pPr>
              <w:jc w:val="left"/>
            </w:pPr>
            <w:r>
              <w:rPr>
                <w:rFonts w:ascii="Calibri" w:cs="Calibri" w:eastAsia="Calibri" w:hAnsi="Calibri"/>
                <w:b/>
                <w:bCs/>
                <w:color w:val="FFFFFF"/>
                <w:sz w:val="19"/>
                <w:szCs w:val="19"/>
              </w:rPr>
              <w:t xml:space="preserve">Mitigation</w:t>
            </w:r>
          </w:p>
        </w:tc>
      </w:tr>
      <w:tr>
        <w:tc>
          <w:tcPr>
            <w:tcW w:type="dxa" w:w="3900"/>
            <w:shd w:fill="F2F2F2"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262626"/>
                <w:sz w:val="19"/>
                <w:szCs w:val="19"/>
              </w:rPr>
              <w:t xml:space="preserve">Router misclassifies a regulated task to an under-qualified model</w:t>
            </w:r>
          </w:p>
        </w:tc>
        <w:tc>
          <w:tcPr>
            <w:tcW w:type="dxa" w:w="5600"/>
            <w:shd w:fill="F2F2F2"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262626"/>
                <w:sz w:val="19"/>
                <w:szCs w:val="19"/>
              </w:rPr>
              <w:t xml:space="preserve">Deterministic rules override the learned router for named regulated task types (e.g., KYC/AML always routes to FinGranite, never to a general model)</w:t>
            </w:r>
          </w:p>
        </w:tc>
      </w:tr>
      <w:tr>
        <w:tc>
          <w:tcPr>
            <w:tcW w:type="dxa" w:w="3900"/>
            <w:tcMar>
              <w:top w:type="dxa" w:w="80"/>
              <w:left w:type="dxa" w:w="100"/>
              <w:bottom w:type="dxa" w:w="80"/>
              <w:right w:type="dxa" w:w="100"/>
            </w:tcMar>
            <w:vAlign w:val="center"/>
          </w:tcPr>
          <w:p>
            <w:pPr>
              <w:jc w:val="left"/>
            </w:pPr>
            <w:r>
              <w:rPr>
                <w:rFonts w:ascii="Calibri" w:cs="Calibri" w:eastAsia="Calibri" w:hAnsi="Calibri"/>
                <w:b w:val="false"/>
                <w:bCs w:val="false"/>
                <w:color w:val="262626"/>
                <w:sz w:val="19"/>
                <w:szCs w:val="19"/>
              </w:rPr>
              <w:t xml:space="preserve">Agent autonomy outpaces trust during early pilots</w:t>
            </w:r>
          </w:p>
        </w:tc>
        <w:tc>
          <w:tcPr>
            <w:tcW w:type="dxa" w:w="5600"/>
            <w:tcMar>
              <w:top w:type="dxa" w:w="80"/>
              <w:left w:type="dxa" w:w="100"/>
              <w:bottom w:type="dxa" w:w="80"/>
              <w:right w:type="dxa" w:w="100"/>
            </w:tcMar>
            <w:vAlign w:val="center"/>
          </w:tcPr>
          <w:p>
            <w:pPr>
              <w:jc w:val="left"/>
            </w:pPr>
            <w:r>
              <w:rPr>
                <w:rFonts w:ascii="Calibri" w:cs="Calibri" w:eastAsia="Calibri" w:hAnsi="Calibri"/>
                <w:b w:val="false"/>
                <w:bCs w:val="false"/>
                <w:color w:val="262626"/>
                <w:sz w:val="19"/>
                <w:szCs w:val="19"/>
              </w:rPr>
              <w:t xml:space="preserve">Hard default to Ask/Plan modes for all new deployments; Agent mode enabled only after a defined trust-building period, per Section 5.2</w:t>
            </w:r>
          </w:p>
        </w:tc>
      </w:tr>
      <w:tr>
        <w:tc>
          <w:tcPr>
            <w:tcW w:type="dxa" w:w="3900"/>
            <w:shd w:fill="F2F2F2"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262626"/>
                <w:sz w:val="19"/>
                <w:szCs w:val="19"/>
              </w:rPr>
              <w:t xml:space="preserve">Sandboxed execution escape or resource exhaustion</w:t>
            </w:r>
          </w:p>
        </w:tc>
        <w:tc>
          <w:tcPr>
            <w:tcW w:type="dxa" w:w="5600"/>
            <w:shd w:fill="F2F2F2"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262626"/>
                <w:sz w:val="19"/>
                <w:szCs w:val="19"/>
              </w:rPr>
              <w:t xml:space="preserve">Kernel-level isolation (gVisor/Kata) plus per-tenant Kubernetes ResourceQuotas, enforced additionally by Sovereign Core where licensed</w:t>
            </w:r>
          </w:p>
        </w:tc>
      </w:tr>
      <w:tr>
        <w:tc>
          <w:tcPr>
            <w:tcW w:type="dxa" w:w="3900"/>
            <w:tcMar>
              <w:top w:type="dxa" w:w="80"/>
              <w:left w:type="dxa" w:w="100"/>
              <w:bottom w:type="dxa" w:w="80"/>
              <w:right w:type="dxa" w:w="100"/>
            </w:tcMar>
            <w:vAlign w:val="center"/>
          </w:tcPr>
          <w:p>
            <w:pPr>
              <w:jc w:val="left"/>
            </w:pPr>
            <w:r>
              <w:rPr>
                <w:rFonts w:ascii="Calibri" w:cs="Calibri" w:eastAsia="Calibri" w:hAnsi="Calibri"/>
                <w:b w:val="false"/>
                <w:bCs w:val="false"/>
                <w:color w:val="262626"/>
                <w:sz w:val="19"/>
                <w:szCs w:val="19"/>
              </w:rPr>
              <w:t xml:space="preserve">Memory files accumulate sensitive data beyond DPIA scope</w:t>
            </w:r>
          </w:p>
        </w:tc>
        <w:tc>
          <w:tcPr>
            <w:tcW w:type="dxa" w:w="5600"/>
            <w:tcMar>
              <w:top w:type="dxa" w:w="80"/>
              <w:left w:type="dxa" w:w="100"/>
              <w:bottom w:type="dxa" w:w="80"/>
              <w:right w:type="dxa" w:w="100"/>
            </w:tcMar>
            <w:vAlign w:val="center"/>
          </w:tcPr>
          <w:p>
            <w:pPr>
              <w:jc w:val="left"/>
            </w:pPr>
            <w:r>
              <w:rPr>
                <w:rFonts w:ascii="Calibri" w:cs="Calibri" w:eastAsia="Calibri" w:hAnsi="Calibri"/>
                <w:b w:val="false"/>
                <w:bCs w:val="false"/>
                <w:color w:val="262626"/>
                <w:sz w:val="19"/>
                <w:szCs w:val="19"/>
              </w:rPr>
              <w:t xml:space="preserve">Memory writes for sensitive categories pass through the same approval gate as any other state-changing action; memory is included in every deployment's DPIA</w:t>
            </w:r>
          </w:p>
        </w:tc>
      </w:tr>
      <w:tr>
        <w:tc>
          <w:tcPr>
            <w:tcW w:type="dxa" w:w="3900"/>
            <w:shd w:fill="F2F2F2"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262626"/>
                <w:sz w:val="19"/>
                <w:szCs w:val="19"/>
              </w:rPr>
              <w:t xml:space="preserve">MCP connector sprawl / unvetted third-party servers</w:t>
            </w:r>
          </w:p>
        </w:tc>
        <w:tc>
          <w:tcPr>
            <w:tcW w:type="dxa" w:w="5600"/>
            <w:shd w:fill="F2F2F2"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262626"/>
                <w:sz w:val="19"/>
                <w:szCs w:val="19"/>
              </w:rPr>
              <w:t xml:space="preserve">All MCP servers — first-party and third-party — pass the same evaluation gate before being enabled in production</w:t>
            </w:r>
          </w:p>
        </w:tc>
      </w:tr>
      <w:tr>
        <w:tc>
          <w:tcPr>
            <w:tcW w:type="dxa" w:w="3900"/>
            <w:tcMar>
              <w:top w:type="dxa" w:w="80"/>
              <w:left w:type="dxa" w:w="100"/>
              <w:bottom w:type="dxa" w:w="80"/>
              <w:right w:type="dxa" w:w="100"/>
            </w:tcMar>
            <w:vAlign w:val="center"/>
          </w:tcPr>
          <w:p>
            <w:pPr>
              <w:jc w:val="left"/>
            </w:pPr>
            <w:r>
              <w:rPr>
                <w:rFonts w:ascii="Calibri" w:cs="Calibri" w:eastAsia="Calibri" w:hAnsi="Calibri"/>
                <w:b w:val="false"/>
                <w:bCs w:val="false"/>
                <w:color w:val="262626"/>
                <w:sz w:val="19"/>
                <w:szCs w:val="19"/>
              </w:rPr>
              <w:t xml:space="preserve">Cost overrun from unmetered agent/tool calls</w:t>
            </w:r>
          </w:p>
        </w:tc>
        <w:tc>
          <w:tcPr>
            <w:tcW w:type="dxa" w:w="5600"/>
            <w:tcMar>
              <w:top w:type="dxa" w:w="80"/>
              <w:left w:type="dxa" w:w="100"/>
              <w:bottom w:type="dxa" w:w="80"/>
              <w:right w:type="dxa" w:w="100"/>
            </w:tcMar>
            <w:vAlign w:val="center"/>
          </w:tcPr>
          <w:p>
            <w:pPr>
              <w:jc w:val="left"/>
            </w:pPr>
            <w:r>
              <w:rPr>
                <w:rFonts w:ascii="Calibri" w:cs="Calibri" w:eastAsia="Calibri" w:hAnsi="Calibri"/>
                <w:b w:val="false"/>
                <w:bCs w:val="false"/>
                <w:color w:val="262626"/>
                <w:sz w:val="19"/>
                <w:szCs w:val="19"/>
              </w:rPr>
              <w:t xml:space="preserve">Real-time token and compute budgeting in the router, with automatic downgrade or approval-required thresholds</w:t>
            </w:r>
          </w:p>
        </w:tc>
      </w:tr>
    </w:tbl>
    <w:p>
      <w:pPr>
        <w:pStyle w:val="Heading1"/>
        <w:pBdr>
          <w:bottom w:val="single" w:color="C9A227" w:sz="12" w:space="4"/>
        </w:pBdr>
        <w:spacing w:after="200" w:before="400"/>
      </w:pPr>
      <w:r>
        <w:rPr>
          <w:rFonts w:ascii="Calibri" w:cs="Calibri" w:eastAsia="Calibri" w:hAnsi="Calibri"/>
          <w:b/>
          <w:bCs/>
          <w:color w:val="0A1F44"/>
          <w:sz w:val="30"/>
          <w:szCs w:val="30"/>
        </w:rPr>
        <w:t xml:space="preserve">10. Recommendation</w:t>
      </w:r>
    </w:p>
    <w:p>
      <w:pPr>
        <w:spacing w:after="160" w:line="276"/>
      </w:pPr>
      <w:r>
        <w:rPr>
          <w:rFonts w:ascii="Calibri" w:cs="Calibri" w:eastAsia="Calibri" w:hAnsi="Calibri"/>
          <w:color w:val="262626"/>
          <w:sz w:val="21"/>
          <w:szCs w:val="21"/>
        </w:rPr>
        <w:t xml:space="preserve">Approve i3-AR as a named internal software product, developed on the same 0–12 month timeline as the Master Proposal's Departmental reference appliance rather than as a follow-on project. The router, agent framework, sandboxed runtime and memory system should be built first (Month 0–4), since every vertical pack and every delivery motion depends on them; the action registry, evaluation harness and cost-governance dashboards can follow in parallel with the first paid pilots (Month 4–9).</w:t>
      </w:r>
    </w:p>
    <w:p>
      <w:pPr>
        <w:spacing w:after="160" w:line="276"/>
      </w:pPr>
      <w:r>
        <w:rPr>
          <w:rFonts w:ascii="Calibri" w:cs="Calibri" w:eastAsia="Calibri" w:hAnsi="Calibri"/>
          <w:color w:val="262626"/>
          <w:sz w:val="21"/>
          <w:szCs w:val="21"/>
        </w:rPr>
        <w:t xml:space="preserve">Because every component specified above is either Apache-2.0/open-source or i3-built, i3-AR also becomes defensible intellectual property in its own right — extending the Master Proposal's moat argument (Section 10) beyond the vertical model library to include the orchestration layer that makes those models usable as a product.</w:t>
      </w:r>
    </w:p>
    <w:p>
      <w:pPr>
        <w:spacing w:after="160" w:line="276"/>
      </w:pPr>
      <w:r>
        <w:rPr>
          <w:rFonts w:ascii="Calibri" w:cs="Calibri" w:eastAsia="Calibri" w:hAnsi="Calibri"/>
          <w:color w:val="262626"/>
          <w:sz w:val="21"/>
          <w:szCs w:val="21"/>
        </w:rPr>
        <w:t xml:space="preserve"/>
      </w:r>
    </w:p>
    <w:p>
      <w:pPr>
        <w:pBdr>
          <w:top w:val="single" w:color="C9A227" w:sz="6" w:space="8"/>
        </w:pBdr>
        <w:spacing w:before="400"/>
      </w:pPr>
      <w:r>
        <w:rPr>
          <w:rFonts w:ascii="Calibri" w:cs="Calibri" w:eastAsia="Calibri" w:hAnsi="Calibri"/>
          <w:i/>
          <w:iCs/>
          <w:color w:val="595959"/>
          <w:sz w:val="17"/>
          <w:szCs w:val="17"/>
        </w:rPr>
        <w:t xml:space="preserve">This document is an internal technical specification prepared to accompany i3-SAA-MP-2026-09. Technology selections are indicative engineering recommendations for planning purposes and should be validated against IBM, Red Hat and Anthropic partner terms, and against final customer requirements, before procurement or production commitments are made.</w:t>
      </w:r>
    </w:p>
    <w:sectPr>
      <w:headerReference w:type="default" r:id="rId7"/>
      <w:footerReference w:type="default" r:id="rId8"/>
      <w:pgSz w:w="12240" w:h="15840" w:orient="portrait"/>
      <w:pgMar w:top="1260" w:right="1260" w:bottom="126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95959"/>
        <w:sz w:val="16"/>
        <w:szCs w:val="16"/>
      </w:rPr>
      <w:t xml:space="preserve">Page </w:t>
    </w:r>
    <w:r>
      <w:rPr>
        <w:rFonts w:ascii="Calibri" w:cs="Calibri" w:eastAsia="Calibri" w:hAnsi="Calibri"/>
        <w:color w:val="595959"/>
        <w:sz w:val="16"/>
        <w:szCs w:val="16"/>
      </w:rPr>
      <w:fldChar w:fldCharType="begin"/>
      <w:instrText xml:space="preserve">PAGE</w:instrText>
      <w:fldChar w:fldCharType="separate"/>
      <w:fldChar w:fldCharType="end"/>
    </w:r>
    <w:r>
      <w:rPr>
        <w:rFonts w:ascii="Calibri" w:cs="Calibri" w:eastAsia="Calibri" w:hAnsi="Calibri"/>
        <w:color w:val="595959"/>
        <w:sz w:val="16"/>
        <w:szCs w:val="16"/>
      </w:rPr>
      <w:t xml:space="preserve"> of </w:t>
    </w:r>
    <w:r>
      <w:rPr>
        <w:rFonts w:ascii="Calibri" w:cs="Calibri" w:eastAsia="Calibri" w:hAnsi="Calibri"/>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A227" w:sz="6" w:space="4"/>
      </w:pBdr>
      <w:tabs>
        <w:tab w:val="right" w:pos="9700"/>
      </w:tabs>
    </w:pPr>
    <w:r>
      <w:rPr>
        <w:rFonts w:ascii="Calibri" w:cs="Calibri" w:eastAsia="Calibri" w:hAnsi="Calibri"/>
        <w:color w:val="595959"/>
        <w:sz w:val="16"/>
        <w:szCs w:val="16"/>
      </w:rPr>
      <w:t xml:space="preserve">i3 Technologies — i3-SAA Additional Software Capabilities</w:t>
    </w:r>
    <w:r>
      <w:rPr>
        <w:rFonts w:ascii="Calibri" w:cs="Calibri" w:eastAsia="Calibri" w:hAnsi="Calibri"/>
        <w:color w:val="595959"/>
        <w:sz w:val="16"/>
        <w:szCs w:val="16"/>
      </w:rPr>
      <w:t xml:space="preserve">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lvl w:ilvl="1" w15:tentative="1">
      <w:start w:val="1"/>
      <w:numFmt w:val="bullet"/>
      <w:lvlText w:val="○"/>
      <w:lvlJc w:val="left"/>
      <w:pPr>
        <w:ind w:left="7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2026-09-14T14:05:19.520Z</dcterms:created>
  <dcterms:modified xsi:type="dcterms:W3CDTF">2026-09-14T14:05:19.530Z</dcterms:modified>
</cp:coreProperties>
</file>

<file path=docProps/custom.xml><?xml version="1.0" encoding="utf-8"?>
<Properties xmlns="http://schemas.openxmlformats.org/officeDocument/2006/custom-properties" xmlns:vt="http://schemas.openxmlformats.org/officeDocument/2006/docPropsVTypes"/>
</file>