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F3864"/>
          <w:sz w:val="52"/>
          <w:szCs w:val="52"/>
        </w:rPr>
        <w:t xml:space="preserve">FORD-ASILI 2027</w:t>
      </w:r>
    </w:p>
    <w:p>
      <w:pPr>
        <w:spacing w:after="60"/>
        <w:jc w:val="center"/>
      </w:pPr>
      <w:r>
        <w:rPr>
          <w:b/>
          <w:bCs/>
          <w:color w:val="2E5395"/>
          <w:sz w:val="34"/>
          <w:szCs w:val="34"/>
        </w:rPr>
        <w:t xml:space="preserve">WARD-FIRST DIGITAL PARTY BLUEPRINT</w:t>
      </w:r>
    </w:p>
    <w:p>
      <w:pPr>
        <w:spacing w:after="40"/>
        <w:jc w:val="center"/>
      </w:pPr>
      <w:r>
        <w:rPr>
          <w:i/>
          <w:iCs/>
          <w:color w:val="9C6A16"/>
          <w:sz w:val="24"/>
          <w:szCs w:val="24"/>
        </w:rPr>
        <w:t xml:space="preserve">Haki na Ukweli — Justice and Truth</w:t>
      </w:r>
    </w:p>
    <w:p>
      <w:pPr>
        <w:spacing w:after="500"/>
      </w:pPr>
    </w:p>
    <w:p>
      <w:pPr>
        <w:spacing w:after="30"/>
        <w:jc w:val="center"/>
      </w:pPr>
      <w:r>
        <w:rPr>
          <w:color w:val="595959"/>
          <w:sz w:val="22"/>
          <w:szCs w:val="22"/>
        </w:rPr>
        <w:t xml:space="preserve">PMaaS-Integrated Electronic Primaries, Agentic-AI Communications and</w:t>
      </w:r>
    </w:p>
    <w:p>
      <w:pPr>
        <w:spacing w:after="30"/>
        <w:jc w:val="center"/>
      </w:pPr>
      <w:r>
        <w:rPr>
          <w:color w:val="595959"/>
          <w:sz w:val="22"/>
          <w:szCs w:val="22"/>
        </w:rPr>
        <w:t xml:space="preserve">Blockchain-Verifiable Nominations Architecture</w:t>
      </w:r>
    </w:p>
    <w:p>
      <w:pPr>
        <w:spacing w:after="700"/>
      </w:pPr>
    </w:p>
    <w:tbl>
      <w:tblPr>
        <w:tblW w:type="dxa" w:w="7200"/>
        <w:jc w:val="center"/>
        <w:tblBorders>
          <w:top w:val="single" w:color="1F3864" w:sz="4"/>
          <w:left w:val="single" w:color="1F3864" w:sz="4"/>
          <w:bottom w:val="single" w:color="1F3864" w:sz="4"/>
          <w:right w:val="single" w:color="1F3864" w:sz="4"/>
          <w:insideH w:val="single" w:color="BFBFBF" w:sz="2"/>
          <w:insideV w:val="single" w:color="auto" w:sz="4"/>
        </w:tblBorders>
      </w:tblPr>
      <w:tblGrid>
        <w:gridCol w:w="100"/>
        <w:gridCol w:w="100"/>
      </w:tblGrid>
      <w:tr>
        <w:tc>
          <w:tcPr>
            <w:tcW w:type="dxa" w:w="2200"/>
            <w:shd w:fill="EDF1F7" w:val="clear"/>
            <w:tcMar>
              <w:top w:type="dxa" w:w="90"/>
              <w:left w:type="dxa" w:w="110"/>
              <w:bottom w:type="dxa" w:w="90"/>
              <w:right w:type="dxa" w:w="110"/>
            </w:tcMar>
            <w:vAlign w:val="center"/>
          </w:tcPr>
          <w:p>
            <w:r>
              <w:rPr>
                <w:b/>
                <w:bCs/>
                <w:color w:val="1F3864"/>
                <w:sz w:val="19"/>
                <w:szCs w:val="19"/>
              </w:rPr>
              <w:t xml:space="preserve">Scope</w:t>
            </w:r>
          </w:p>
        </w:tc>
        <w:tc>
          <w:tcPr>
            <w:tcW w:type="dxa" w:w="5000"/>
            <w:shd w:fill="EDF1F7" w:val="clear"/>
            <w:tcMar>
              <w:top w:type="dxa" w:w="90"/>
              <w:left w:type="dxa" w:w="110"/>
              <w:bottom w:type="dxa" w:w="90"/>
              <w:right w:type="dxa" w:w="110"/>
            </w:tcMar>
            <w:vAlign w:val="center"/>
          </w:tcPr>
          <w:p>
            <w:r>
              <w:rPr>
                <w:b w:val="false"/>
                <w:bCs w:val="false"/>
                <w:color w:val="1A1A1A"/>
                <w:sz w:val="19"/>
                <w:szCs w:val="19"/>
              </w:rPr>
              <w:t xml:space="preserve">Ward-anchored party architecture, digital primaries, USSD access, OTT civic media, and lawful ward/county accountability platform</w:t>
            </w:r>
          </w:p>
        </w:tc>
      </w:tr>
      <w:tr>
        <w:tc>
          <w:tcPr>
            <w:tcW w:type="dxa" w:w="2200"/>
            <w:shd w:fill="FFFFFF" w:val="clear"/>
            <w:tcMar>
              <w:top w:type="dxa" w:w="90"/>
              <w:left w:type="dxa" w:w="110"/>
              <w:bottom w:type="dxa" w:w="90"/>
              <w:right w:type="dxa" w:w="110"/>
            </w:tcMar>
            <w:vAlign w:val="center"/>
          </w:tcPr>
          <w:p>
            <w:r>
              <w:rPr>
                <w:b/>
                <w:bCs/>
                <w:color w:val="1F3864"/>
                <w:sz w:val="19"/>
                <w:szCs w:val="19"/>
              </w:rPr>
              <w:t xml:space="preserve">Electoral posture</w:t>
            </w:r>
          </w:p>
        </w:tc>
        <w:tc>
          <w:tcPr>
            <w:tcW w:type="dxa" w:w="5000"/>
            <w:shd w:fill="FFFFFF" w:val="clear"/>
            <w:tcMar>
              <w:top w:type="dxa" w:w="90"/>
              <w:left w:type="dxa" w:w="110"/>
              <w:bottom w:type="dxa" w:w="90"/>
              <w:right w:type="dxa" w:w="110"/>
            </w:tcMar>
            <w:vAlign w:val="center"/>
          </w:tcPr>
          <w:p>
            <w:r>
              <w:rPr>
                <w:b w:val="false"/>
                <w:bCs w:val="false"/>
                <w:color w:val="1A1A1A"/>
                <w:sz w:val="19"/>
                <w:szCs w:val="19"/>
              </w:rPr>
              <w:t xml:space="preserve">No presidential candidate. Governor-focused county strategy. Ward (MCA) majority as the core national objective.</w:t>
            </w:r>
          </w:p>
        </w:tc>
      </w:tr>
      <w:tr>
        <w:tc>
          <w:tcPr>
            <w:tcW w:type="dxa" w:w="2200"/>
            <w:shd w:fill="EDF1F7" w:val="clear"/>
            <w:tcMar>
              <w:top w:type="dxa" w:w="90"/>
              <w:left w:type="dxa" w:w="110"/>
              <w:bottom w:type="dxa" w:w="90"/>
              <w:right w:type="dxa" w:w="110"/>
            </w:tcMar>
            <w:vAlign w:val="center"/>
          </w:tcPr>
          <w:p>
            <w:r>
              <w:rPr>
                <w:b/>
                <w:bCs/>
                <w:color w:val="1F3864"/>
                <w:sz w:val="19"/>
                <w:szCs w:val="19"/>
              </w:rPr>
              <w:t xml:space="preserve">Prepared for</w:t>
            </w:r>
          </w:p>
        </w:tc>
        <w:tc>
          <w:tcPr>
            <w:tcW w:type="dxa" w:w="5000"/>
            <w:shd w:fill="EDF1F7" w:val="clear"/>
            <w:tcMar>
              <w:top w:type="dxa" w:w="90"/>
              <w:left w:type="dxa" w:w="110"/>
              <w:bottom w:type="dxa" w:w="90"/>
              <w:right w:type="dxa" w:w="110"/>
            </w:tcMar>
            <w:vAlign w:val="center"/>
          </w:tcPr>
          <w:p>
            <w:r>
              <w:rPr>
                <w:b w:val="false"/>
                <w:bCs w:val="false"/>
                <w:color w:val="1A1A1A"/>
                <w:sz w:val="19"/>
                <w:szCs w:val="19"/>
              </w:rPr>
              <w:t xml:space="preserve">FORD-Asili National Executive Committee, in partnership with i3 Technologies Limited</w:t>
            </w:r>
          </w:p>
        </w:tc>
      </w:tr>
      <w:tr>
        <w:tc>
          <w:tcPr>
            <w:tcW w:type="dxa" w:w="2200"/>
            <w:shd w:fill="FFFFFF" w:val="clear"/>
            <w:tcMar>
              <w:top w:type="dxa" w:w="90"/>
              <w:left w:type="dxa" w:w="110"/>
              <w:bottom w:type="dxa" w:w="90"/>
              <w:right w:type="dxa" w:w="110"/>
            </w:tcMar>
            <w:vAlign w:val="center"/>
          </w:tcPr>
          <w:p>
            <w:r>
              <w:rPr>
                <w:b/>
                <w:bCs/>
                <w:color w:val="1F3864"/>
                <w:sz w:val="19"/>
                <w:szCs w:val="19"/>
              </w:rPr>
              <w:t xml:space="preserve">Prepared by</w:t>
            </w:r>
          </w:p>
        </w:tc>
        <w:tc>
          <w:tcPr>
            <w:tcW w:type="dxa" w:w="5000"/>
            <w:shd w:fill="FFFFFF" w:val="clear"/>
            <w:tcMar>
              <w:top w:type="dxa" w:w="90"/>
              <w:left w:type="dxa" w:w="110"/>
              <w:bottom w:type="dxa" w:w="90"/>
              <w:right w:type="dxa" w:w="110"/>
            </w:tcMar>
            <w:vAlign w:val="center"/>
          </w:tcPr>
          <w:p>
            <w:r>
              <w:rPr>
                <w:b w:val="false"/>
                <w:bCs w:val="false"/>
                <w:color w:val="1A1A1A"/>
                <w:sz w:val="19"/>
                <w:szCs w:val="19"/>
              </w:rPr>
              <w:t xml:space="preserve">Technology Solutions Architecture &amp; Political Strategy Desk</w:t>
            </w:r>
          </w:p>
        </w:tc>
      </w:tr>
      <w:tr>
        <w:tc>
          <w:tcPr>
            <w:tcW w:type="dxa" w:w="2200"/>
            <w:shd w:fill="EDF1F7" w:val="clear"/>
            <w:tcMar>
              <w:top w:type="dxa" w:w="90"/>
              <w:left w:type="dxa" w:w="110"/>
              <w:bottom w:type="dxa" w:w="90"/>
              <w:right w:type="dxa" w:w="110"/>
            </w:tcMar>
            <w:vAlign w:val="center"/>
          </w:tcPr>
          <w:p>
            <w:r>
              <w:rPr>
                <w:b/>
                <w:bCs/>
                <w:color w:val="1F3864"/>
                <w:sz w:val="19"/>
                <w:szCs w:val="19"/>
              </w:rPr>
              <w:t xml:space="preserve">Date</w:t>
            </w:r>
          </w:p>
        </w:tc>
        <w:tc>
          <w:tcPr>
            <w:tcW w:type="dxa" w:w="5000"/>
            <w:shd w:fill="EDF1F7" w:val="clear"/>
            <w:tcMar>
              <w:top w:type="dxa" w:w="90"/>
              <w:left w:type="dxa" w:w="110"/>
              <w:bottom w:type="dxa" w:w="90"/>
              <w:right w:type="dxa" w:w="110"/>
            </w:tcMar>
            <w:vAlign w:val="center"/>
          </w:tcPr>
          <w:p>
            <w:r>
              <w:rPr>
                <w:b w:val="false"/>
                <w:bCs w:val="false"/>
                <w:color w:val="1A1A1A"/>
                <w:sz w:val="19"/>
                <w:szCs w:val="19"/>
              </w:rPr>
              <w:t xml:space="preserve">11 September 2026</w:t>
            </w:r>
          </w:p>
        </w:tc>
      </w:tr>
      <w:tr>
        <w:tc>
          <w:tcPr>
            <w:tcW w:type="dxa" w:w="2200"/>
            <w:shd w:fill="FFFFFF" w:val="clear"/>
            <w:tcMar>
              <w:top w:type="dxa" w:w="90"/>
              <w:left w:type="dxa" w:w="110"/>
              <w:bottom w:type="dxa" w:w="90"/>
              <w:right w:type="dxa" w:w="110"/>
            </w:tcMar>
            <w:vAlign w:val="center"/>
          </w:tcPr>
          <w:p>
            <w:r>
              <w:rPr>
                <w:b/>
                <w:bCs/>
                <w:color w:val="1F3864"/>
                <w:sz w:val="19"/>
                <w:szCs w:val="19"/>
              </w:rPr>
              <w:t xml:space="preserve">Classification</w:t>
            </w:r>
          </w:p>
        </w:tc>
        <w:tc>
          <w:tcPr>
            <w:tcW w:type="dxa" w:w="5000"/>
            <w:shd w:fill="FFFFFF" w:val="clear"/>
            <w:tcMar>
              <w:top w:type="dxa" w:w="90"/>
              <w:left w:type="dxa" w:w="110"/>
              <w:bottom w:type="dxa" w:w="90"/>
              <w:right w:type="dxa" w:w="110"/>
            </w:tcMar>
            <w:vAlign w:val="center"/>
          </w:tcPr>
          <w:p>
            <w:r>
              <w:rPr>
                <w:b w:val="false"/>
                <w:bCs w:val="false"/>
                <w:color w:val="1A1A1A"/>
                <w:sz w:val="19"/>
                <w:szCs w:val="19"/>
              </w:rPr>
              <w:t xml:space="preserve">Strategic &amp; Confidential — Governance and Technical Planning Document</w:t>
            </w:r>
          </w:p>
        </w:tc>
      </w:tr>
    </w:tbl>
    <w:p>
      <w:pPr>
        <w:spacing w:after="700"/>
      </w:pPr>
    </w:p>
    <w:tbl>
      <w:tblPr>
        <w:tblW w:type="pct" w:w="100%"/>
        <w:tblBorders>
          <w:top w:val="single" w:color="9C2B2B" w:sz="4"/>
          <w:left w:val="single" w:color="9C2B2B" w:sz="24"/>
          <w:bottom w:val="single" w:color="9C2B2B" w:sz="4"/>
          <w:right w:val="single" w:color="9C2B2B" w:sz="4"/>
          <w:insideH w:val="single" w:color="auto" w:sz="4"/>
          <w:insideV w:val="single" w:color="auto" w:sz="4"/>
        </w:tblBorders>
      </w:tblPr>
      <w:tblGrid>
        <w:gridCol w:w="100"/>
      </w:tblGrid>
      <w:tr>
        <w:tc>
          <w:tcPr>
            <w:shd w:fill="EDF1F7" w:val="clear"/>
            <w:tcMar>
              <w:top w:type="dxa" w:w="160"/>
              <w:left w:type="dxa" w:w="220"/>
              <w:bottom w:type="dxa" w:w="160"/>
              <w:right w:type="dxa" w:w="220"/>
            </w:tcMar>
          </w:tcPr>
          <w:p>
            <w:pPr>
              <w:spacing w:after="60"/>
            </w:pPr>
            <w:r>
              <w:rPr>
                <w:b/>
                <w:bCs/>
                <w:color w:val="9C2B2B"/>
                <w:sz w:val="21"/>
                <w:szCs w:val="21"/>
              </w:rPr>
              <w:t xml:space="preserve">Scope note</w:t>
            </w:r>
          </w:p>
          <w:p>
            <w:pPr>
              <w:spacing w:after="0" w:line="270"/>
            </w:pPr>
            <w:r>
              <w:rPr>
                <w:color w:val="262626"/>
                <w:sz w:val="20"/>
                <w:szCs w:val="20"/>
              </w:rPr>
              <w:t xml:space="preserve">This blueprint is designed to operate entirely within Kenya's Political Parties Act, Elections Act, the Party Primaries and Party Lists Regulations, the Data Protection Act (2019), and ORPP/IEBC directions. It relies exclusively on lawfully obtainable data — the party's own consenting membership, public IEBC/ORPP/candidate records, and public budget and procurement documents. It does not use, and this office declines to build on, any voter, school, chieftaincy, religious or official database obtained outside a lawful public source or the data subject's consent.</w:t>
            </w:r>
          </w:p>
        </w:tc>
      </w:tr>
    </w:tbl>
    <w:p>
      <w:pPr>
        <w:sectPr>
          <w:pgSz w:w="12240" w:h="15840" w:orient="portrait"/>
          <w:pgMar w:top="1080" w:right="1080" w:bottom="1080" w:left="108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Executive Summary</w:t>
      </w:r>
    </w:p>
    <w:p>
      <w:pPr>
        <w:spacing w:after="160" w:line="276"/>
      </w:pPr>
      <w:r>
        <w:rPr>
          <w:color w:val="1A1A1A"/>
          <w:sz w:val="21"/>
          <w:szCs w:val="21"/>
        </w:rPr>
        <w:t xml:space="preserve">FORD-Asili's 2027 opportunity is structural, not cosmetic: a fully registered party with an authentic second-liberation identity, no coalition debts, no incumbents to protect and — critically — no presidential ambition to fund or defend. Removing the presidential and coalition questions from the table frees the party to build a single-purpose machine: win the ward. This blueprint treats the ward, not the coalition and not the presidency, as the unit of Kenyan politics, and designs every system — recruitment, nomination, communication, accountability and media — around that unit.</w:t>
      </w:r>
    </w:p>
    <w:p>
      <w:pPr>
        <w:spacing w:after="160" w:line="276"/>
      </w:pPr>
      <w:r>
        <w:rPr>
          <w:color w:val="1A1A1A"/>
          <w:sz w:val="21"/>
          <w:szCs w:val="21"/>
        </w:rPr>
        <w:t xml:space="preserve">The objective is precise: contest and win a majority of MCA seats nationally, build a competitive slate of Members of the National Assembly, and target Governor seats in counties with genuine organisational depth. Senators and Women Representatives are organised as co-equal county-apex leadership working in lock-step with the Governor, not as separate silos.</w:t>
      </w:r>
    </w:p>
    <w:p>
      <w:pPr>
        <w:spacing w:after="160" w:line="276"/>
      </w:pPr>
      <w:r>
        <w:rPr>
          <w:color w:val="1A1A1A"/>
          <w:sz w:val="21"/>
          <w:szCs w:val="21"/>
        </w:rPr>
        <w:t xml:space="preserve">Three integrated systems make this possible at low cost:</w:t>
      </w:r>
    </w:p>
    <w:p>
      <w:pPr>
        <w:pStyle w:val="ListParagraph"/>
        <w:numPr>
          <w:ilvl w:val="0"/>
          <w:numId w:val="2"/>
        </w:numPr>
        <w:spacing w:after="90" w:line="270"/>
      </w:pPr>
      <w:r>
        <w:rPr>
          <w:color w:val="1A1A1A"/>
          <w:sz w:val="21"/>
          <w:szCs w:val="21"/>
        </w:rPr>
        <w:t xml:space="preserve">A PMaaS-integrated digital primaries and nomination system — agentic AI for candidate support and logistics, a permissioned blockchain for tamper-evident vote and result integrity, and USSD as the universal access layer so the system works on any phone, in any ward, with or without data.</w:t>
      </w:r>
    </w:p>
    <w:p>
      <w:pPr>
        <w:pStyle w:val="ListParagraph"/>
        <w:numPr>
          <w:ilvl w:val="0"/>
          <w:numId w:val="2"/>
        </w:numPr>
        <w:spacing w:after="90" w:line="270"/>
      </w:pPr>
      <w:r>
        <w:rPr>
          <w:color w:val="1A1A1A"/>
          <w:sz w:val="21"/>
          <w:szCs w:val="21"/>
        </w:rPr>
        <w:t xml:space="preserve">A national real-time collaboration portal with role-based hierarchy (Ward → Constituency → County → National) that lets 1,450+ ward teams coordinate securely without expensive physical infrastructure.</w:t>
      </w:r>
    </w:p>
    <w:p>
      <w:pPr>
        <w:pStyle w:val="ListParagraph"/>
        <w:numPr>
          <w:ilvl w:val="0"/>
          <w:numId w:val="2"/>
        </w:numPr>
        <w:spacing w:after="90" w:line="270"/>
      </w:pPr>
      <w:r>
        <w:rPr>
          <w:color w:val="1A1A1A"/>
          <w:sz w:val="21"/>
          <w:szCs w:val="21"/>
        </w:rPr>
        <w:t xml:space="preserve">An OTT civic-media and training network — free-to-air streaming that sells policy on substance, delivers civic and vocational training (AI/IT literacy, nursing-support skills, languages), and runs a lawfully sourced, evidence-graded ward-to-county public-expenditure accountability platform.</w:t>
      </w:r>
    </w:p>
    <w:p>
      <w:pPr>
        <w:spacing w:after="160" w:line="276"/>
      </w:pPr>
      <w:r>
        <w:rPr>
          <w:color w:val="1A1A1A"/>
          <w:sz w:val="21"/>
          <w:szCs w:val="21"/>
        </w:rPr>
        <w:t xml:space="preserve">A single non-negotiable design rule runs through every system in this document: every data source must be lawful and consented, every AI-generated claim about public money must be sourced and verifiable before publication, and every primary-election result must be independently auditable. This is what converts "Haki na Ukweli" from a slogan into an operating standard — and it is also what keeps the party, its officials and its technology partner out of legal jeopardy under the Data Protection Act, the Elections Act and defamation law.</w:t>
      </w:r>
    </w:p>
    <w:p>
      <w:pPr>
        <w:spacing w:after="160"/>
      </w:pPr>
    </w:p>
    <w:p>
      <w:pPr>
        <w:pStyle w:val="Heading1"/>
        <w:pBdr>
          <w:bottom w:val="single" w:color="1F3864" w:sz="6" w:space="4"/>
        </w:pBdr>
        <w:spacing w:after="160" w:before="360"/>
      </w:pPr>
      <w:r>
        <w:rPr>
          <w:b/>
          <w:bCs/>
          <w:color w:val="1F3864"/>
          <w:sz w:val="30"/>
          <w:szCs w:val="30"/>
        </w:rPr>
        <w:t xml:space="preserve">2. Strategic Foundation: The Ward as the Unit of Politics</w:t>
      </w:r>
    </w:p>
    <w:p>
      <w:pPr>
        <w:pStyle w:val="Heading2"/>
        <w:spacing w:after="120" w:before="280"/>
      </w:pPr>
      <w:r>
        <w:rPr>
          <w:b/>
          <w:bCs/>
          <w:color w:val="2E5395"/>
          <w:sz w:val="24"/>
          <w:szCs w:val="24"/>
        </w:rPr>
        <w:t xml:space="preserve">2.1 Why ward-first, coalition-never, president-never</w:t>
      </w:r>
    </w:p>
    <w:p>
      <w:pPr>
        <w:spacing w:after="160" w:line="276"/>
      </w:pPr>
      <w:r>
        <w:rPr>
          <w:color w:val="1A1A1A"/>
          <w:sz w:val="21"/>
          <w:szCs w:val="21"/>
        </w:rPr>
        <w:t xml:space="preserve">Kenya's 2027 cycle is defined by opposition fragmentation, a large unclaimed Gen-Z bloc, and declining trust in "project parties" built around a presidential ticket. FORD-Asili cannot out-fund a presidential campaign and should not try. Its comparative advantage is structural cheapness and moral distance from the patronage economy — an advantage that only survives if the party refuses the coalition-bargaining and presidential-slot temptations that dissolved it after 1992.</w:t>
      </w:r>
    </w:p>
    <w:p>
      <w:pPr>
        <w:spacing w:after="160" w:line="276"/>
      </w:pPr>
      <w:r>
        <w:rPr>
          <w:color w:val="1A1A1A"/>
          <w:sz w:val="21"/>
          <w:szCs w:val="21"/>
        </w:rPr>
        <w:t xml:space="preserve">A ward-first posture also matches the numbers: 1,450 MCA seats nationally against 47 Governor, 47 Senator, 47 Women Representative and 290 MNA seats. The ward is where the largest number of winnable seats exists, where nomination cost is lowest, and where a first-time, digitally organised, youth-inclusive candidate has the clearest path to victory against incumbents with thin ward-level machinery of their own.</w:t>
      </w:r>
    </w:p>
    <w:p>
      <w:pPr>
        <w:pStyle w:val="Heading2"/>
        <w:spacing w:after="120" w:before="280"/>
      </w:pPr>
      <w:r>
        <w:rPr>
          <w:b/>
          <w:bCs/>
          <w:color w:val="2E5395"/>
          <w:sz w:val="24"/>
          <w:szCs w:val="24"/>
        </w:rPr>
        <w:t xml:space="preserve">2.2 Strategic pillars</w:t>
      </w:r>
    </w:p>
    <w:p>
      <w:pPr>
        <w:pStyle w:val="ListParagraph"/>
        <w:numPr>
          <w:ilvl w:val="0"/>
          <w:numId w:val="3"/>
        </w:numPr>
        <w:spacing w:after="90" w:line="270"/>
      </w:pPr>
      <w:r>
        <w:rPr>
          <w:color w:val="1A1A1A"/>
          <w:sz w:val="21"/>
          <w:szCs w:val="21"/>
        </w:rPr>
        <w:t xml:space="preserve">No presidential candidate in 2027 — protects the party from coalition entanglement, frees the entire budget for ward and county organising, and keeps the brand distinct from "kingmaker" politics.</w:t>
      </w:r>
    </w:p>
    <w:p>
      <w:pPr>
        <w:pStyle w:val="ListParagraph"/>
        <w:numPr>
          <w:ilvl w:val="0"/>
          <w:numId w:val="3"/>
        </w:numPr>
        <w:spacing w:after="90" w:line="270"/>
      </w:pPr>
      <w:r>
        <w:rPr>
          <w:color w:val="1A1A1A"/>
          <w:sz w:val="21"/>
          <w:szCs w:val="21"/>
        </w:rPr>
        <w:t xml:space="preserve">Governor as the county-level electoral priority, contested selectively in counties where ward organisation is already strong — a Governor win anchors Political Parties Fund eligibility and gives the party executive standing in at least one county.</w:t>
      </w:r>
    </w:p>
    <w:p>
      <w:pPr>
        <w:pStyle w:val="ListParagraph"/>
        <w:numPr>
          <w:ilvl w:val="0"/>
          <w:numId w:val="3"/>
        </w:numPr>
        <w:spacing w:after="90" w:line="270"/>
      </w:pPr>
      <w:r>
        <w:rPr>
          <w:color w:val="1A1A1A"/>
          <w:sz w:val="21"/>
          <w:szCs w:val="21"/>
        </w:rPr>
        <w:t xml:space="preserve">MCA majority as the primary national KPI — measured in seats won, not candidates fielded.</w:t>
      </w:r>
    </w:p>
    <w:p>
      <w:pPr>
        <w:pStyle w:val="ListParagraph"/>
        <w:numPr>
          <w:ilvl w:val="0"/>
          <w:numId w:val="3"/>
        </w:numPr>
        <w:spacing w:after="90" w:line="270"/>
      </w:pPr>
      <w:r>
        <w:rPr>
          <w:color w:val="1A1A1A"/>
          <w:sz w:val="21"/>
          <w:szCs w:val="21"/>
        </w:rPr>
        <w:t xml:space="preserve">Ward as the organisational base unit — every other structure (constituency, county, national) exists to service ward teams, not the reverse.</w:t>
      </w:r>
    </w:p>
    <w:p>
      <w:pPr>
        <w:pStyle w:val="ListParagraph"/>
        <w:numPr>
          <w:ilvl w:val="0"/>
          <w:numId w:val="3"/>
        </w:numPr>
        <w:spacing w:after="90" w:line="270"/>
      </w:pPr>
      <w:r>
        <w:rPr>
          <w:color w:val="1A1A1A"/>
          <w:sz w:val="21"/>
          <w:szCs w:val="21"/>
        </w:rPr>
        <w:t xml:space="preserve">Zero nomination fee for MCA and for verified Gen-Z candidates at any level, formalised in certified nomination rules before the ORPP deadline — never announced informally.</w:t>
      </w:r>
    </w:p>
    <w:p>
      <w:pPr>
        <w:spacing w:after="160"/>
      </w:pPr>
    </w:p>
    <w:p>
      <w:pPr>
        <w:pStyle w:val="Heading1"/>
        <w:pBdr>
          <w:bottom w:val="single" w:color="1F3864" w:sz="6" w:space="4"/>
        </w:pBdr>
        <w:spacing w:after="160" w:before="360"/>
      </w:pPr>
      <w:r>
        <w:rPr>
          <w:b/>
          <w:bCs/>
          <w:color w:val="1F3864"/>
          <w:sz w:val="30"/>
          <w:szCs w:val="30"/>
        </w:rPr>
        <w:t xml:space="preserve">3. Party Architecture: Ward Base, County Apex, National Coordination</w:t>
      </w:r>
    </w:p>
    <w:p>
      <w:pPr>
        <w:pStyle w:val="Heading2"/>
        <w:spacing w:after="120" w:before="280"/>
      </w:pPr>
      <w:r>
        <w:rPr>
          <w:b/>
          <w:bCs/>
          <w:color w:val="2E5395"/>
          <w:sz w:val="24"/>
          <w:szCs w:val="24"/>
        </w:rPr>
        <w:t xml:space="preserve">3.1 The structural model</w:t>
      </w:r>
    </w:p>
    <w:p>
      <w:pPr>
        <w:spacing w:after="160" w:line="276"/>
      </w:pPr>
      <w:r>
        <w:rPr>
          <w:color w:val="1A1A1A"/>
          <w:sz w:val="21"/>
          <w:szCs w:val="21"/>
        </w:rPr>
        <w:t xml:space="preserve">The party is organised as an inverted pyramid with the ward at the base and a three-way county apex at the top, connected by a standing national digital coordination layer rather than a large permanent secretariat.</w:t>
      </w:r>
    </w:p>
    <w:p>
      <w:pPr>
        <w:pStyle w:val="Heading3"/>
        <w:spacing w:after="100" w:before="200"/>
      </w:pPr>
      <w:r>
        <w:rPr>
          <w:b/>
          <w:bCs/>
          <w:color w:val="9C6A16"/>
          <w:sz w:val="21"/>
          <w:szCs w:val="21"/>
        </w:rPr>
        <w:t xml:space="preserve">Ward level — the base unit</w:t>
      </w:r>
    </w:p>
    <w:p>
      <w:pPr>
        <w:pStyle w:val="ListParagraph"/>
        <w:numPr>
          <w:ilvl w:val="0"/>
          <w:numId w:val="3"/>
        </w:numPr>
        <w:spacing w:after="90" w:line="270"/>
      </w:pPr>
      <w:r>
        <w:rPr>
          <w:color w:val="1A1A1A"/>
          <w:sz w:val="21"/>
          <w:szCs w:val="21"/>
        </w:rPr>
        <w:t xml:space="preserve">MCA candidate/officeholder as ward political lead.</w:t>
      </w:r>
    </w:p>
    <w:p>
      <w:pPr>
        <w:pStyle w:val="ListParagraph"/>
        <w:numPr>
          <w:ilvl w:val="0"/>
          <w:numId w:val="3"/>
        </w:numPr>
        <w:spacing w:after="90" w:line="270"/>
      </w:pPr>
      <w:r>
        <w:rPr>
          <w:color w:val="1A1A1A"/>
          <w:sz w:val="21"/>
          <w:szCs w:val="21"/>
        </w:rPr>
        <w:t xml:space="preserve">Ward Digital Organiser — manages the ward's membership register, WhatsApp/USSD coordination, and the ward accountability dossier.</w:t>
      </w:r>
    </w:p>
    <w:p>
      <w:pPr>
        <w:pStyle w:val="ListParagraph"/>
        <w:numPr>
          <w:ilvl w:val="0"/>
          <w:numId w:val="3"/>
        </w:numPr>
        <w:spacing w:after="90" w:line="270"/>
      </w:pPr>
      <w:r>
        <w:rPr>
          <w:color w:val="1A1A1A"/>
          <w:sz w:val="21"/>
          <w:szCs w:val="21"/>
        </w:rPr>
        <w:t xml:space="preserve">Ward activist network — volunteers who verify local project data, support candidate logistics, and staff the primary-day process.</w:t>
      </w:r>
    </w:p>
    <w:p>
      <w:pPr>
        <w:pStyle w:val="Heading3"/>
        <w:spacing w:after="100" w:before="200"/>
      </w:pPr>
      <w:r>
        <w:rPr>
          <w:b/>
          <w:bCs/>
          <w:color w:val="9C6A16"/>
          <w:sz w:val="21"/>
          <w:szCs w:val="21"/>
        </w:rPr>
        <w:t xml:space="preserve">Constituency level</w:t>
      </w:r>
    </w:p>
    <w:p>
      <w:pPr>
        <w:pStyle w:val="ListParagraph"/>
        <w:numPr>
          <w:ilvl w:val="0"/>
          <w:numId w:val="3"/>
        </w:numPr>
        <w:spacing w:after="90" w:line="270"/>
      </w:pPr>
      <w:r>
        <w:rPr>
          <w:color w:val="1A1A1A"/>
          <w:sz w:val="21"/>
          <w:szCs w:val="21"/>
        </w:rPr>
        <w:t xml:space="preserve">MNA (or MNA aspirant) as constituency political lead, coordinating the wards inside the constituency.</w:t>
      </w:r>
    </w:p>
    <w:p>
      <w:pPr>
        <w:pStyle w:val="ListParagraph"/>
        <w:numPr>
          <w:ilvl w:val="0"/>
          <w:numId w:val="3"/>
        </w:numPr>
        <w:spacing w:after="90" w:line="270"/>
      </w:pPr>
      <w:r>
        <w:rPr>
          <w:color w:val="1A1A1A"/>
          <w:sz w:val="21"/>
          <w:szCs w:val="21"/>
        </w:rPr>
        <w:t xml:space="preserve">Constituency Coordinator — a part-time/volunteer digital-first role, using the national portal to roll up ward reporting.</w:t>
      </w:r>
    </w:p>
    <w:p>
      <w:pPr>
        <w:pStyle w:val="Heading3"/>
        <w:spacing w:after="100" w:before="200"/>
      </w:pPr>
      <w:r>
        <w:rPr>
          <w:b/>
          <w:bCs/>
          <w:color w:val="9C6A16"/>
          <w:sz w:val="21"/>
          <w:szCs w:val="21"/>
        </w:rPr>
        <w:t xml:space="preserve">County apex — three co-equal seats</w:t>
      </w:r>
    </w:p>
    <w:p>
      <w:pPr>
        <w:spacing w:after="160" w:line="276"/>
      </w:pPr>
      <w:r>
        <w:rPr>
          <w:color w:val="1A1A1A"/>
          <w:sz w:val="21"/>
          <w:szCs w:val="21"/>
        </w:rPr>
        <w:t xml:space="preserve">Governor, Senator and Woman Representative sit as a co-equal county leadership triangle — none subordinate to another — jointly accountable for county strategy, resource allocation between wards, and representation of the county's MCA slate. MNAs form the connective layer between this apex and the ward/constituency base, feeding into and drawing from the same national digital network as every other party member.</w:t>
      </w:r>
    </w:p>
    <w:p>
      <w:pPr>
        <w:pStyle w:val="Heading3"/>
        <w:spacing w:after="100" w:before="200"/>
      </w:pPr>
      <w:r>
        <w:rPr>
          <w:b/>
          <w:bCs/>
          <w:color w:val="9C6A16"/>
          <w:sz w:val="21"/>
          <w:szCs w:val="21"/>
        </w:rPr>
        <w:t xml:space="preserve">National level</w:t>
      </w:r>
    </w:p>
    <w:p>
      <w:pPr>
        <w:pStyle w:val="ListParagraph"/>
        <w:numPr>
          <w:ilvl w:val="0"/>
          <w:numId w:val="3"/>
        </w:numPr>
        <w:spacing w:after="90" w:line="270"/>
      </w:pPr>
      <w:r>
        <w:rPr>
          <w:color w:val="1A1A1A"/>
          <w:sz w:val="21"/>
          <w:szCs w:val="21"/>
        </w:rPr>
        <w:t xml:space="preserve">A small National Secretariat (governance, legal/compliance, finance, technology, communications) — headcount kept low by design; routine work is digitised.</w:t>
      </w:r>
    </w:p>
    <w:p>
      <w:pPr>
        <w:pStyle w:val="ListParagraph"/>
        <w:numPr>
          <w:ilvl w:val="0"/>
          <w:numId w:val="3"/>
        </w:numPr>
        <w:spacing w:after="90" w:line="270"/>
      </w:pPr>
      <w:r>
        <w:rPr>
          <w:color w:val="1A1A1A"/>
          <w:sz w:val="21"/>
          <w:szCs w:val="21"/>
        </w:rPr>
        <w:t xml:space="preserve">An independent National Elections Board, separate from the NEC, to certify and run digital primaries and adjudicate disputes.</w:t>
      </w:r>
    </w:p>
    <w:p>
      <w:pPr>
        <w:pStyle w:val="ListParagraph"/>
        <w:numPr>
          <w:ilvl w:val="0"/>
          <w:numId w:val="3"/>
        </w:numPr>
        <w:spacing w:after="90" w:line="270"/>
      </w:pPr>
      <w:r>
        <w:rPr>
          <w:color w:val="1A1A1A"/>
          <w:sz w:val="21"/>
          <w:szCs w:val="21"/>
        </w:rPr>
        <w:t xml:space="preserve">A Compliance &amp; Ethics Committee and a Data Protection Officer function, both with published mandates.</w:t>
      </w:r>
    </w:p>
    <w:p>
      <w:pPr>
        <w:pStyle w:val="Heading2"/>
        <w:spacing w:after="120" w:before="280"/>
      </w:pPr>
      <w:r>
        <w:rPr>
          <w:b/>
          <w:bCs/>
          <w:color w:val="2E5395"/>
          <w:sz w:val="24"/>
          <w:szCs w:val="24"/>
        </w:rPr>
        <w:t xml:space="preserve">3.2 Governance register</w:t>
      </w:r>
    </w:p>
    <w:p>
      <w:pPr>
        <w:spacing w:after="160" w:line="276"/>
      </w:pPr>
      <w:r>
        <w:rPr>
          <w:color w:val="1A1A1A"/>
          <w:sz w:val="21"/>
          <w:szCs w:val="21"/>
        </w:rPr>
        <w:t xml:space="preserve">Every office — from Ward Digital Organiser to Governor-apex — is entered in a public Party Governance Register: office, mandate, term, appointing authority, conflict-of-interest declaration, and contact channel. This is what makes the ward-first structure auditable rather than personality-dependent, and it is the same discipline recommended across the OSINT assessments reviewed for this blueprint.</w:t>
      </w:r>
    </w:p>
    <w:p>
      <w:pPr>
        <w:spacing w:after="160"/>
      </w:pPr>
    </w:p>
    <w:p>
      <w:r>
        <w:br w:type="page"/>
      </w:r>
    </w:p>
    <w:p>
      <w:pPr>
        <w:pStyle w:val="Heading1"/>
        <w:pBdr>
          <w:bottom w:val="single" w:color="1F3864" w:sz="6" w:space="4"/>
        </w:pBdr>
        <w:spacing w:after="160" w:before="360"/>
      </w:pPr>
      <w:r>
        <w:rPr>
          <w:b/>
          <w:bCs/>
          <w:color w:val="1F3864"/>
          <w:sz w:val="30"/>
          <w:szCs w:val="30"/>
        </w:rPr>
        <w:t xml:space="preserve">4. PMaaS-Integrated Digital Primaries &amp; Nomination System</w:t>
      </w:r>
    </w:p>
    <w:p>
      <w:pPr>
        <w:spacing w:after="200" w:line="300"/>
      </w:pPr>
      <w:r>
        <w:rPr>
          <w:i/>
          <w:iCs/>
          <w:color w:val="595959"/>
          <w:sz w:val="22"/>
          <w:szCs w:val="22"/>
        </w:rPr>
        <w:t xml:space="preserve">A controlled election-management system for the party's own nominations — not a public opinion app, and not a system that bypasses IEBC/ORPP legal gates.</w:t>
      </w:r>
    </w:p>
    <w:p>
      <w:pPr>
        <w:pStyle w:val="Heading2"/>
        <w:spacing w:after="120" w:before="280"/>
      </w:pPr>
      <w:r>
        <w:rPr>
          <w:b/>
          <w:bCs/>
          <w:color w:val="2E5395"/>
          <w:sz w:val="24"/>
          <w:szCs w:val="24"/>
        </w:rPr>
        <w:t xml:space="preserve">4.1 Legal gates this system is built to satisfy</w:t>
      </w:r>
    </w:p>
    <w:p>
      <w:pPr>
        <w:pStyle w:val="ListParagraph"/>
        <w:numPr>
          <w:ilvl w:val="0"/>
          <w:numId w:val="3"/>
        </w:numPr>
        <w:spacing w:after="90" w:line="270"/>
      </w:pPr>
      <w:r>
        <w:rPr>
          <w:color w:val="1A1A1A"/>
          <w:sz w:val="21"/>
          <w:szCs w:val="21"/>
        </w:rPr>
        <w:t xml:space="preserve">Certified nomination rules submitted to ORPP and IEBC ahead of the statutory timetable, with the zero-fee MCA/Gen-Z policy written into the rules themselves — never announced informally, to avoid the exact contradiction risk flagged in the party's own historical fee schedule.</w:t>
      </w:r>
    </w:p>
    <w:p>
      <w:pPr>
        <w:pStyle w:val="ListParagraph"/>
        <w:numPr>
          <w:ilvl w:val="0"/>
          <w:numId w:val="3"/>
        </w:numPr>
        <w:spacing w:after="90" w:line="270"/>
      </w:pPr>
      <w:r>
        <w:rPr>
          <w:color w:val="1A1A1A"/>
          <w:sz w:val="21"/>
          <w:szCs w:val="21"/>
        </w:rPr>
        <w:t xml:space="preserve">A certified membership register as the sole source of the primary-day voter roll — no parallel or unofficial list is ever used to determine who may vote in a primary.</w:t>
      </w:r>
    </w:p>
    <w:p>
      <w:pPr>
        <w:pStyle w:val="ListParagraph"/>
        <w:numPr>
          <w:ilvl w:val="0"/>
          <w:numId w:val="3"/>
        </w:numPr>
        <w:spacing w:after="90" w:line="270"/>
      </w:pPr>
      <w:r>
        <w:rPr>
          <w:color w:val="1A1A1A"/>
          <w:sz w:val="21"/>
          <w:szCs w:val="21"/>
        </w:rPr>
        <w:t xml:space="preserve">A published dispute window, evidence-preservation process and an independent National Elections Board with terms of reference separate from the NEC.</w:t>
      </w:r>
    </w:p>
    <w:p>
      <w:pPr>
        <w:pStyle w:val="ListParagraph"/>
        <w:numPr>
          <w:ilvl w:val="0"/>
          <w:numId w:val="3"/>
        </w:numPr>
        <w:spacing w:after="90" w:line="270"/>
      </w:pPr>
      <w:r>
        <w:rPr>
          <w:color w:val="1A1A1A"/>
          <w:sz w:val="21"/>
          <w:szCs w:val="21"/>
        </w:rPr>
        <w:t xml:space="preserve">Full compliance with the Data Protection Act 2019: consent-based registration, a Data Protection Officer function, breach response plan, and a defined retention/deletion schedule.</w:t>
      </w:r>
    </w:p>
    <w:p>
      <w:pPr>
        <w:pStyle w:val="Heading2"/>
        <w:spacing w:after="120" w:before="280"/>
      </w:pPr>
      <w:r>
        <w:rPr>
          <w:b/>
          <w:bCs/>
          <w:color w:val="2E5395"/>
          <w:sz w:val="24"/>
          <w:szCs w:val="24"/>
        </w:rPr>
        <w:t xml:space="preserve">4.2 System architecture — five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F3864" w:val="clear"/>
            <w:tcMar>
              <w:top w:type="dxa" w:w="90"/>
              <w:left w:type="dxa" w:w="110"/>
              <w:bottom w:type="dxa" w:w="90"/>
              <w:right w:type="dxa" w:w="110"/>
            </w:tcMar>
            <w:vAlign w:val="center"/>
          </w:tcPr>
          <w:p>
            <w:r>
              <w:rPr>
                <w:b/>
                <w:bCs/>
                <w:color w:val="FFFFFF"/>
                <w:sz w:val="19"/>
                <w:szCs w:val="19"/>
              </w:rPr>
              <w:t xml:space="preserve">Layer</w:t>
            </w:r>
          </w:p>
        </w:tc>
        <w:tc>
          <w:tcPr>
            <w:tcW w:type="dxa" w:w="4200"/>
            <w:shd w:fill="1F3864" w:val="clear"/>
            <w:tcMar>
              <w:top w:type="dxa" w:w="90"/>
              <w:left w:type="dxa" w:w="110"/>
              <w:bottom w:type="dxa" w:w="90"/>
              <w:right w:type="dxa" w:w="110"/>
            </w:tcMar>
            <w:vAlign w:val="center"/>
          </w:tcPr>
          <w:p>
            <w:r>
              <w:rPr>
                <w:b/>
                <w:bCs/>
                <w:color w:val="FFFFFF"/>
                <w:sz w:val="19"/>
                <w:szCs w:val="19"/>
              </w:rPr>
              <w:t xml:space="preserve">Function</w:t>
            </w:r>
          </w:p>
        </w:tc>
        <w:tc>
          <w:tcPr>
            <w:tcW w:type="dxa" w:w="2750"/>
            <w:shd w:fill="1F3864" w:val="clear"/>
            <w:tcMar>
              <w:top w:type="dxa" w:w="90"/>
              <w:left w:type="dxa" w:w="110"/>
              <w:bottom w:type="dxa" w:w="90"/>
              <w:right w:type="dxa" w:w="110"/>
            </w:tcMar>
            <w:vAlign w:val="center"/>
          </w:tcPr>
          <w:p>
            <w:r>
              <w:rPr>
                <w:b/>
                <w:bCs/>
                <w:color w:val="FFFFFF"/>
                <w:sz w:val="19"/>
                <w:szCs w:val="19"/>
              </w:rPr>
              <w:t xml:space="preserve">Core technology</w:t>
            </w:r>
          </w:p>
        </w:tc>
      </w:tr>
      <w:tr>
        <w:tc>
          <w:tcPr>
            <w:tcW w:type="dxa" w:w="2400"/>
            <w:tcMar>
              <w:top w:type="dxa" w:w="90"/>
              <w:left w:type="dxa" w:w="110"/>
              <w:bottom w:type="dxa" w:w="90"/>
              <w:right w:type="dxa" w:w="110"/>
            </w:tcMar>
            <w:vAlign w:val="center"/>
          </w:tcPr>
          <w:p>
            <w:r>
              <w:rPr>
                <w:b w:val="false"/>
                <w:bCs w:val="false"/>
                <w:color w:val="1A1A1A"/>
                <w:sz w:val="19"/>
                <w:szCs w:val="19"/>
              </w:rPr>
              <w:t xml:space="preserve">Identity &amp; Membership</w:t>
            </w:r>
          </w:p>
        </w:tc>
        <w:tc>
          <w:tcPr>
            <w:tcW w:type="dxa" w:w="4200"/>
            <w:tcMar>
              <w:top w:type="dxa" w:w="90"/>
              <w:left w:type="dxa" w:w="110"/>
              <w:bottom w:type="dxa" w:w="90"/>
              <w:right w:type="dxa" w:w="110"/>
            </w:tcMar>
            <w:vAlign w:val="center"/>
          </w:tcPr>
          <w:p>
            <w:r>
              <w:rPr>
                <w:b w:val="false"/>
                <w:bCs w:val="false"/>
                <w:color w:val="1A1A1A"/>
                <w:sz w:val="19"/>
                <w:szCs w:val="19"/>
              </w:rPr>
              <w:t xml:space="preserve">Consent-based registration, deduplication, ward mapping, ID/phone verification, renewal and audit trail</w:t>
            </w:r>
          </w:p>
        </w:tc>
        <w:tc>
          <w:tcPr>
            <w:tcW w:type="dxa" w:w="2750"/>
            <w:tcMar>
              <w:top w:type="dxa" w:w="90"/>
              <w:left w:type="dxa" w:w="110"/>
              <w:bottom w:type="dxa" w:w="90"/>
              <w:right w:type="dxa" w:w="110"/>
            </w:tcMar>
            <w:vAlign w:val="center"/>
          </w:tcPr>
          <w:p>
            <w:r>
              <w:rPr>
                <w:b w:val="false"/>
                <w:bCs w:val="false"/>
                <w:color w:val="1A1A1A"/>
                <w:sz w:val="19"/>
                <w:szCs w:val="19"/>
              </w:rPr>
              <w:t xml:space="preserve">Party CRM + verification workflow, ORPP-standard checks</w:t>
            </w:r>
          </w:p>
        </w:tc>
      </w:tr>
      <w:tr>
        <w:tc>
          <w:tcPr>
            <w:tcW w:type="dxa" w:w="2400"/>
            <w:shd w:fill="F4F6FA" w:val="clear"/>
            <w:tcMar>
              <w:top w:type="dxa" w:w="90"/>
              <w:left w:type="dxa" w:w="110"/>
              <w:bottom w:type="dxa" w:w="90"/>
              <w:right w:type="dxa" w:w="110"/>
            </w:tcMar>
            <w:vAlign w:val="center"/>
          </w:tcPr>
          <w:p>
            <w:r>
              <w:rPr>
                <w:b w:val="false"/>
                <w:bCs w:val="false"/>
                <w:color w:val="1A1A1A"/>
                <w:sz w:val="19"/>
                <w:szCs w:val="19"/>
              </w:rPr>
              <w:t xml:space="preserve">Candidate Portal</w:t>
            </w:r>
          </w:p>
        </w:tc>
        <w:tc>
          <w:tcPr>
            <w:tcW w:type="dxa" w:w="4200"/>
            <w:shd w:fill="F4F6FA" w:val="clear"/>
            <w:tcMar>
              <w:top w:type="dxa" w:w="90"/>
              <w:left w:type="dxa" w:w="110"/>
              <w:bottom w:type="dxa" w:w="90"/>
              <w:right w:type="dxa" w:w="110"/>
            </w:tcMar>
            <w:vAlign w:val="center"/>
          </w:tcPr>
          <w:p>
            <w:r>
              <w:rPr>
                <w:b w:val="false"/>
                <w:bCs w:val="false"/>
                <w:color w:val="1A1A1A"/>
                <w:sz w:val="19"/>
                <w:szCs w:val="19"/>
              </w:rPr>
              <w:t xml:space="preserve">Eligibility checklist, document upload, nomination application, fee handling (where applicable), the 1,000-member (or tiered) recruitment tracker</w:t>
            </w:r>
          </w:p>
        </w:tc>
        <w:tc>
          <w:tcPr>
            <w:tcW w:type="dxa" w:w="2750"/>
            <w:shd w:fill="F4F6FA" w:val="clear"/>
            <w:tcMar>
              <w:top w:type="dxa" w:w="90"/>
              <w:left w:type="dxa" w:w="110"/>
              <w:bottom w:type="dxa" w:w="90"/>
              <w:right w:type="dxa" w:w="110"/>
            </w:tcMar>
            <w:vAlign w:val="center"/>
          </w:tcPr>
          <w:p>
            <w:r>
              <w:rPr>
                <w:b w:val="false"/>
                <w:bCs w:val="false"/>
                <w:color w:val="1A1A1A"/>
                <w:sz w:val="19"/>
                <w:szCs w:val="19"/>
              </w:rPr>
              <w:t xml:space="preserve">Web + mobile app, agentic-AI intake assistant</w:t>
            </w:r>
          </w:p>
        </w:tc>
      </w:tr>
      <w:tr>
        <w:tc>
          <w:tcPr>
            <w:tcW w:type="dxa" w:w="2400"/>
            <w:tcMar>
              <w:top w:type="dxa" w:w="90"/>
              <w:left w:type="dxa" w:w="110"/>
              <w:bottom w:type="dxa" w:w="90"/>
              <w:right w:type="dxa" w:w="110"/>
            </w:tcMar>
            <w:vAlign w:val="center"/>
          </w:tcPr>
          <w:p>
            <w:r>
              <w:rPr>
                <w:b w:val="false"/>
                <w:bCs w:val="false"/>
                <w:color w:val="1A1A1A"/>
                <w:sz w:val="19"/>
                <w:szCs w:val="19"/>
              </w:rPr>
              <w:t xml:space="preserve">Primary Election Engine</w:t>
            </w:r>
          </w:p>
        </w:tc>
        <w:tc>
          <w:tcPr>
            <w:tcW w:type="dxa" w:w="4200"/>
            <w:tcMar>
              <w:top w:type="dxa" w:w="90"/>
              <w:left w:type="dxa" w:w="110"/>
              <w:bottom w:type="dxa" w:w="90"/>
              <w:right w:type="dxa" w:w="110"/>
            </w:tcMar>
            <w:vAlign w:val="center"/>
          </w:tcPr>
          <w:p>
            <w:r>
              <w:rPr>
                <w:b w:val="false"/>
                <w:bCs w:val="false"/>
                <w:color w:val="1A1A1A"/>
                <w:sz w:val="19"/>
                <w:szCs w:val="19"/>
              </w:rPr>
              <w:t xml:space="preserve">Certified-register import, secret-ballot digital voting, result aggregation, dispute workflow</w:t>
            </w:r>
          </w:p>
        </w:tc>
        <w:tc>
          <w:tcPr>
            <w:tcW w:type="dxa" w:w="2750"/>
            <w:tcMar>
              <w:top w:type="dxa" w:w="90"/>
              <w:left w:type="dxa" w:w="110"/>
              <w:bottom w:type="dxa" w:w="90"/>
              <w:right w:type="dxa" w:w="110"/>
            </w:tcMar>
            <w:vAlign w:val="center"/>
          </w:tcPr>
          <w:p>
            <w:r>
              <w:rPr>
                <w:b w:val="false"/>
                <w:bCs w:val="false"/>
                <w:color w:val="1A1A1A"/>
                <w:sz w:val="19"/>
                <w:szCs w:val="19"/>
              </w:rPr>
              <w:t xml:space="preserve">Permissioned blockchain ledger + independently audited vote application</w:t>
            </w:r>
          </w:p>
        </w:tc>
      </w:tr>
      <w:tr>
        <w:tc>
          <w:tcPr>
            <w:tcW w:type="dxa" w:w="2400"/>
            <w:shd w:fill="F4F6FA" w:val="clear"/>
            <w:tcMar>
              <w:top w:type="dxa" w:w="90"/>
              <w:left w:type="dxa" w:w="110"/>
              <w:bottom w:type="dxa" w:w="90"/>
              <w:right w:type="dxa" w:w="110"/>
            </w:tcMar>
            <w:vAlign w:val="center"/>
          </w:tcPr>
          <w:p>
            <w:r>
              <w:rPr>
                <w:b w:val="false"/>
                <w:bCs w:val="false"/>
                <w:color w:val="1A1A1A"/>
                <w:sz w:val="19"/>
                <w:szCs w:val="19"/>
              </w:rPr>
              <w:t xml:space="preserve">Access Layer</w:t>
            </w:r>
          </w:p>
        </w:tc>
        <w:tc>
          <w:tcPr>
            <w:tcW w:type="dxa" w:w="4200"/>
            <w:shd w:fill="F4F6FA" w:val="clear"/>
            <w:tcMar>
              <w:top w:type="dxa" w:w="90"/>
              <w:left w:type="dxa" w:w="110"/>
              <w:bottom w:type="dxa" w:w="90"/>
              <w:right w:type="dxa" w:w="110"/>
            </w:tcMar>
            <w:vAlign w:val="center"/>
          </w:tcPr>
          <w:p>
            <w:r>
              <w:rPr>
                <w:b w:val="false"/>
                <w:bCs w:val="false"/>
                <w:color w:val="1A1A1A"/>
                <w:sz w:val="19"/>
                <w:szCs w:val="19"/>
              </w:rPr>
              <w:t xml:space="preserve">Universal reach regardless of device or connectivity</w:t>
            </w:r>
          </w:p>
        </w:tc>
        <w:tc>
          <w:tcPr>
            <w:tcW w:type="dxa" w:w="2750"/>
            <w:shd w:fill="F4F6FA" w:val="clear"/>
            <w:tcMar>
              <w:top w:type="dxa" w:w="90"/>
              <w:left w:type="dxa" w:w="110"/>
              <w:bottom w:type="dxa" w:w="90"/>
              <w:right w:type="dxa" w:w="110"/>
            </w:tcMar>
            <w:vAlign w:val="center"/>
          </w:tcPr>
          <w:p>
            <w:r>
              <w:rPr>
                <w:b w:val="false"/>
                <w:bCs w:val="false"/>
                <w:color w:val="1A1A1A"/>
                <w:sz w:val="19"/>
                <w:szCs w:val="19"/>
              </w:rPr>
              <w:t xml:space="preserve">USSD (*XXX#) as primary channel; web/app as secondary; offline paper fallback</w:t>
            </w:r>
          </w:p>
        </w:tc>
      </w:tr>
      <w:tr>
        <w:tc>
          <w:tcPr>
            <w:tcW w:type="dxa" w:w="2400"/>
            <w:tcMar>
              <w:top w:type="dxa" w:w="90"/>
              <w:left w:type="dxa" w:w="110"/>
              <w:bottom w:type="dxa" w:w="90"/>
              <w:right w:type="dxa" w:w="110"/>
            </w:tcMar>
            <w:vAlign w:val="center"/>
          </w:tcPr>
          <w:p>
            <w:r>
              <w:rPr>
                <w:b w:val="false"/>
                <w:bCs w:val="false"/>
                <w:color w:val="1A1A1A"/>
                <w:sz w:val="19"/>
                <w:szCs w:val="19"/>
              </w:rPr>
              <w:t xml:space="preserve">Audit &amp; Oversight</w:t>
            </w:r>
          </w:p>
        </w:tc>
        <w:tc>
          <w:tcPr>
            <w:tcW w:type="dxa" w:w="4200"/>
            <w:tcMar>
              <w:top w:type="dxa" w:w="90"/>
              <w:left w:type="dxa" w:w="110"/>
              <w:bottom w:type="dxa" w:w="90"/>
              <w:right w:type="dxa" w:w="110"/>
            </w:tcMar>
            <w:vAlign w:val="center"/>
          </w:tcPr>
          <w:p>
            <w:r>
              <w:rPr>
                <w:b w:val="false"/>
                <w:bCs w:val="false"/>
                <w:color w:val="1A1A1A"/>
                <w:sz w:val="19"/>
                <w:szCs w:val="19"/>
              </w:rPr>
              <w:t xml:space="preserve">Independent verification that turnout, aggregation and results match the ledger</w:t>
            </w:r>
          </w:p>
        </w:tc>
        <w:tc>
          <w:tcPr>
            <w:tcW w:type="dxa" w:w="2750"/>
            <w:tcMar>
              <w:top w:type="dxa" w:w="90"/>
              <w:left w:type="dxa" w:w="110"/>
              <w:bottom w:type="dxa" w:w="90"/>
              <w:right w:type="dxa" w:w="110"/>
            </w:tcMar>
            <w:vAlign w:val="center"/>
          </w:tcPr>
          <w:p>
            <w:r>
              <w:rPr>
                <w:b w:val="false"/>
                <w:bCs w:val="false"/>
                <w:color w:val="1A1A1A"/>
                <w:sz w:val="19"/>
                <w:szCs w:val="19"/>
              </w:rPr>
              <w:t xml:space="preserve">Cryptographic hash-chain, published Merkle roots, third-party security audit</w:t>
            </w:r>
          </w:p>
        </w:tc>
      </w:tr>
    </w:tbl>
    <w:p>
      <w:pPr>
        <w:pStyle w:val="Heading2"/>
        <w:spacing w:after="120" w:before="280"/>
      </w:pPr>
      <w:r>
        <w:rPr>
          <w:b/>
          <w:bCs/>
          <w:color w:val="2E5395"/>
          <w:sz w:val="24"/>
          <w:szCs w:val="24"/>
        </w:rPr>
        <w:t xml:space="preserve">4.3 The blockchain layer — what it is for, and what it is not</w:t>
      </w:r>
    </w:p>
    <w:p>
      <w:pPr>
        <w:spacing w:after="160" w:line="276"/>
      </w:pPr>
      <w:r>
        <w:rPr>
          <w:color w:val="1A1A1A"/>
          <w:sz w:val="21"/>
          <w:szCs w:val="21"/>
        </w:rPr>
        <w:t xml:space="preserve">The blockchain component is scoped narrowly and deliberately: it is a tamper-evident, independently verifiable audit ledger for the primaries process — not a public cryptocurrency, and not a claim that "blockchain alone secures the election." Concretely:</w:t>
      </w:r>
    </w:p>
    <w:p>
      <w:pPr>
        <w:pStyle w:val="ListParagraph"/>
        <w:numPr>
          <w:ilvl w:val="0"/>
          <w:numId w:val="3"/>
        </w:numPr>
        <w:spacing w:after="90" w:line="270"/>
      </w:pPr>
      <w:r>
        <w:rPr>
          <w:color w:val="1A1A1A"/>
          <w:sz w:val="21"/>
          <w:szCs w:val="21"/>
        </w:rPr>
        <w:t xml:space="preserve">A permissioned ledger (party-operated validator nodes plus at least one independent, externally hosted validator for cross-checking) records hashed, anonymised transaction events: registration confirmation, ballot cast confirmation (not the ballot content), and result tallies per polling unit.</w:t>
      </w:r>
    </w:p>
    <w:p>
      <w:pPr>
        <w:pStyle w:val="ListParagraph"/>
        <w:numPr>
          <w:ilvl w:val="0"/>
          <w:numId w:val="3"/>
        </w:numPr>
        <w:spacing w:after="90" w:line="270"/>
      </w:pPr>
      <w:r>
        <w:rPr>
          <w:color w:val="1A1A1A"/>
          <w:sz w:val="21"/>
          <w:szCs w:val="21"/>
        </w:rPr>
        <w:t xml:space="preserve">Ballot secrecy is preserved by separating voter identity verification (handled in the membership layer) from the ballot record itself — the chain never links a voter identity to a specific choice.</w:t>
      </w:r>
    </w:p>
    <w:p>
      <w:pPr>
        <w:pStyle w:val="ListParagraph"/>
        <w:numPr>
          <w:ilvl w:val="0"/>
          <w:numId w:val="3"/>
        </w:numPr>
        <w:spacing w:after="90" w:line="270"/>
      </w:pPr>
      <w:r>
        <w:rPr>
          <w:color w:val="1A1A1A"/>
          <w:sz w:val="21"/>
          <w:szCs w:val="21"/>
        </w:rPr>
        <w:t xml:space="preserve">Every ward's turnout, rejected-ballot count and aggregated result is published with its ledger hash so any candidate, agent or member can independently verify the count was not altered after the fact.</w:t>
      </w:r>
    </w:p>
    <w:p>
      <w:pPr>
        <w:pStyle w:val="ListParagraph"/>
        <w:numPr>
          <w:ilvl w:val="0"/>
          <w:numId w:val="3"/>
        </w:numPr>
        <w:spacing w:after="90" w:line="270"/>
      </w:pPr>
      <w:r>
        <w:rPr>
          <w:color w:val="1A1A1A"/>
          <w:sz w:val="21"/>
          <w:szCs w:val="21"/>
        </w:rPr>
        <w:t xml:space="preserve">A parallel offline/manual fallback (paper ballot or SMS-based confirmation) is pre-built for every ward, activated automatically if connectivity fails — never treated as an afterthought.</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DF1F7" w:val="clear"/>
            <w:tcMar>
              <w:top w:type="dxa" w:w="160"/>
              <w:left w:type="dxa" w:w="220"/>
              <w:bottom w:type="dxa" w:w="160"/>
              <w:right w:type="dxa" w:w="220"/>
            </w:tcMar>
          </w:tcPr>
          <w:p>
            <w:pPr>
              <w:spacing w:after="60"/>
            </w:pPr>
            <w:r>
              <w:rPr>
                <w:b/>
                <w:bCs/>
                <w:color w:val="1F3864"/>
                <w:sz w:val="21"/>
                <w:szCs w:val="21"/>
              </w:rPr>
              <w:t xml:space="preserve">Design principle</w:t>
            </w:r>
          </w:p>
          <w:p>
            <w:pPr>
              <w:spacing w:after="0" w:line="270"/>
            </w:pPr>
            <w:r>
              <w:rPr>
                <w:color w:val="262626"/>
                <w:sz w:val="20"/>
                <w:szCs w:val="20"/>
              </w:rPr>
              <w:t xml:space="preserve">Security comes from governance, authentication, ballot secrecy, auditability and dispute procedure — the blockchain provides tamper evidence and public verifiability on top of that governance, not a replacement for it. The system must be independently penetration-tested and certified before its first live use, with results published.</w:t>
            </w:r>
          </w:p>
        </w:tc>
      </w:tr>
    </w:tbl>
    <w:p>
      <w:pPr>
        <w:pStyle w:val="Heading2"/>
        <w:spacing w:after="120" w:before="280"/>
      </w:pPr>
      <w:r>
        <w:rPr>
          <w:b/>
          <w:bCs/>
          <w:color w:val="2E5395"/>
          <w:sz w:val="24"/>
          <w:szCs w:val="24"/>
        </w:rPr>
        <w:t xml:space="preserve">4.4 Candidate experience via USSD</w:t>
      </w:r>
    </w:p>
    <w:p>
      <w:pPr>
        <w:spacing w:after="160" w:line="276"/>
      </w:pPr>
      <w:r>
        <w:rPr>
          <w:color w:val="1A1A1A"/>
          <w:sz w:val="21"/>
          <w:szCs w:val="21"/>
        </w:rPr>
        <w:t xml:space="preserve">Because a significant share of ward-level aspirants and voters use feature phones or limited data, USSD is the default channel, not a fallback:</w:t>
      </w:r>
    </w:p>
    <w:p>
      <w:pPr>
        <w:pStyle w:val="ListParagraph"/>
        <w:numPr>
          <w:ilvl w:val="0"/>
          <w:numId w:val="3"/>
        </w:numPr>
        <w:spacing w:after="90" w:line="270"/>
      </w:pPr>
      <w:r>
        <w:rPr>
          <w:color w:val="1A1A1A"/>
          <w:sz w:val="21"/>
          <w:szCs w:val="21"/>
        </w:rPr>
        <w:t xml:space="preserve">Member registration and verification via *XXX#, no smartphone or data bundle required.</w:t>
      </w:r>
    </w:p>
    <w:p>
      <w:pPr>
        <w:pStyle w:val="ListParagraph"/>
        <w:numPr>
          <w:ilvl w:val="0"/>
          <w:numId w:val="3"/>
        </w:numPr>
        <w:spacing w:after="90" w:line="270"/>
      </w:pPr>
      <w:r>
        <w:rPr>
          <w:color w:val="1A1A1A"/>
          <w:sz w:val="21"/>
          <w:szCs w:val="21"/>
        </w:rPr>
        <w:t xml:space="preserve">Candidate nomination-fee status, 1,000-member tracker progress, and primary-day voting all available through the same USSD menu.</w:t>
      </w:r>
    </w:p>
    <w:p>
      <w:pPr>
        <w:pStyle w:val="ListParagraph"/>
        <w:numPr>
          <w:ilvl w:val="0"/>
          <w:numId w:val="3"/>
        </w:numPr>
        <w:spacing w:after="90" w:line="270"/>
      </w:pPr>
      <w:r>
        <w:rPr>
          <w:color w:val="1A1A1A"/>
          <w:sz w:val="21"/>
          <w:szCs w:val="21"/>
        </w:rPr>
        <w:t xml:space="preserve">SMS confirmation receipts for every USSD transaction, each carrying a verifiable ledger reference number the member can quote if they wish to raise a dispute.</w:t>
      </w:r>
    </w:p>
    <w:p>
      <w:pPr>
        <w:spacing w:after="160"/>
      </w:pPr>
    </w:p>
    <w:p>
      <w:pPr>
        <w:pStyle w:val="Heading1"/>
        <w:pBdr>
          <w:bottom w:val="single" w:color="1F3864" w:sz="6" w:space="4"/>
        </w:pBdr>
        <w:spacing w:after="160" w:before="360"/>
      </w:pPr>
      <w:r>
        <w:rPr>
          <w:b/>
          <w:bCs/>
          <w:color w:val="1F3864"/>
          <w:sz w:val="30"/>
          <w:szCs w:val="30"/>
        </w:rPr>
        <w:t xml:space="preserve">5. National Real-Time Collaboration Portal</w:t>
      </w:r>
    </w:p>
    <w:p>
      <w:pPr>
        <w:spacing w:after="160" w:line="276"/>
      </w:pPr>
      <w:r>
        <w:rPr>
          <w:color w:val="1A1A1A"/>
          <w:sz w:val="21"/>
          <w:szCs w:val="21"/>
        </w:rPr>
        <w:t xml:space="preserve">A single secure portal connects Ward Digital Organisers, Constituency Coordinators, the County apex (Governor/Senator/Woman Rep), MNAs and the National Secretariat — replacing the cost of a large physical head-office network.</w:t>
      </w:r>
    </w:p>
    <w:p>
      <w:pPr>
        <w:pStyle w:val="Heading2"/>
        <w:spacing w:after="120" w:before="280"/>
      </w:pPr>
      <w:r>
        <w:rPr>
          <w:b/>
          <w:bCs/>
          <w:color w:val="2E5395"/>
          <w:sz w:val="24"/>
          <w:szCs w:val="24"/>
        </w:rPr>
        <w:t xml:space="preserve">5.1 Hierarchy and access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rPr>
          <w:tblHeader/>
        </w:trPr>
        <w:tc>
          <w:tcPr>
            <w:tcW w:type="dxa" w:w="2800"/>
            <w:shd w:fill="1F3864" w:val="clear"/>
            <w:tcMar>
              <w:top w:type="dxa" w:w="90"/>
              <w:left w:type="dxa" w:w="110"/>
              <w:bottom w:type="dxa" w:w="90"/>
              <w:right w:type="dxa" w:w="110"/>
            </w:tcMar>
            <w:vAlign w:val="center"/>
          </w:tcPr>
          <w:p>
            <w:r>
              <w:rPr>
                <w:b/>
                <w:bCs/>
                <w:color w:val="FFFFFF"/>
                <w:sz w:val="19"/>
                <w:szCs w:val="19"/>
              </w:rPr>
              <w:t xml:space="preserve">Tier</w:t>
            </w:r>
          </w:p>
        </w:tc>
        <w:tc>
          <w:tcPr>
            <w:tcW w:type="dxa" w:w="3300"/>
            <w:shd w:fill="1F3864" w:val="clear"/>
            <w:tcMar>
              <w:top w:type="dxa" w:w="90"/>
              <w:left w:type="dxa" w:w="110"/>
              <w:bottom w:type="dxa" w:w="90"/>
              <w:right w:type="dxa" w:w="110"/>
            </w:tcMar>
            <w:vAlign w:val="center"/>
          </w:tcPr>
          <w:p>
            <w:r>
              <w:rPr>
                <w:b/>
                <w:bCs/>
                <w:color w:val="FFFFFF"/>
                <w:sz w:val="19"/>
                <w:szCs w:val="19"/>
              </w:rPr>
              <w:t xml:space="preserve">Sees</w:t>
            </w:r>
          </w:p>
        </w:tc>
        <w:tc>
          <w:tcPr>
            <w:tcW w:type="dxa" w:w="3250"/>
            <w:shd w:fill="1F3864" w:val="clear"/>
            <w:tcMar>
              <w:top w:type="dxa" w:w="90"/>
              <w:left w:type="dxa" w:w="110"/>
              <w:bottom w:type="dxa" w:w="90"/>
              <w:right w:type="dxa" w:w="110"/>
            </w:tcMar>
            <w:vAlign w:val="center"/>
          </w:tcPr>
          <w:p>
            <w:r>
              <w:rPr>
                <w:b/>
                <w:bCs/>
                <w:color w:val="FFFFFF"/>
                <w:sz w:val="19"/>
                <w:szCs w:val="19"/>
              </w:rPr>
              <w:t xml:space="preserve">Can post to</w:t>
            </w:r>
          </w:p>
        </w:tc>
      </w:tr>
      <w:tr>
        <w:tc>
          <w:tcPr>
            <w:tcW w:type="dxa" w:w="2800"/>
            <w:tcMar>
              <w:top w:type="dxa" w:w="90"/>
              <w:left w:type="dxa" w:w="110"/>
              <w:bottom w:type="dxa" w:w="90"/>
              <w:right w:type="dxa" w:w="110"/>
            </w:tcMar>
            <w:vAlign w:val="center"/>
          </w:tcPr>
          <w:p>
            <w:r>
              <w:rPr>
                <w:b w:val="false"/>
                <w:bCs w:val="false"/>
                <w:color w:val="1A1A1A"/>
                <w:sz w:val="19"/>
                <w:szCs w:val="19"/>
              </w:rPr>
              <w:t xml:space="preserve">Ward</w:t>
            </w:r>
          </w:p>
        </w:tc>
        <w:tc>
          <w:tcPr>
            <w:tcW w:type="dxa" w:w="3300"/>
            <w:tcMar>
              <w:top w:type="dxa" w:w="90"/>
              <w:left w:type="dxa" w:w="110"/>
              <w:bottom w:type="dxa" w:w="90"/>
              <w:right w:type="dxa" w:w="110"/>
            </w:tcMar>
            <w:vAlign w:val="center"/>
          </w:tcPr>
          <w:p>
            <w:r>
              <w:rPr>
                <w:b w:val="false"/>
                <w:bCs w:val="false"/>
                <w:color w:val="1A1A1A"/>
                <w:sz w:val="19"/>
                <w:szCs w:val="19"/>
              </w:rPr>
              <w:t xml:space="preserve">Own ward data, county/national announcements</w:t>
            </w:r>
          </w:p>
        </w:tc>
        <w:tc>
          <w:tcPr>
            <w:tcW w:type="dxa" w:w="3250"/>
            <w:tcMar>
              <w:top w:type="dxa" w:w="90"/>
              <w:left w:type="dxa" w:w="110"/>
              <w:bottom w:type="dxa" w:w="90"/>
              <w:right w:type="dxa" w:w="110"/>
            </w:tcMar>
            <w:vAlign w:val="center"/>
          </w:tcPr>
          <w:p>
            <w:r>
              <w:rPr>
                <w:b w:val="false"/>
                <w:bCs w:val="false"/>
                <w:color w:val="1A1A1A"/>
                <w:sz w:val="19"/>
                <w:szCs w:val="19"/>
              </w:rPr>
              <w:t xml:space="preserve">Ward channel only</w:t>
            </w:r>
          </w:p>
        </w:tc>
      </w:tr>
      <w:tr>
        <w:tc>
          <w:tcPr>
            <w:tcW w:type="dxa" w:w="2800"/>
            <w:shd w:fill="F4F6FA" w:val="clear"/>
            <w:tcMar>
              <w:top w:type="dxa" w:w="90"/>
              <w:left w:type="dxa" w:w="110"/>
              <w:bottom w:type="dxa" w:w="90"/>
              <w:right w:type="dxa" w:w="110"/>
            </w:tcMar>
            <w:vAlign w:val="center"/>
          </w:tcPr>
          <w:p>
            <w:r>
              <w:rPr>
                <w:b w:val="false"/>
                <w:bCs w:val="false"/>
                <w:color w:val="1A1A1A"/>
                <w:sz w:val="19"/>
                <w:szCs w:val="19"/>
              </w:rPr>
              <w:t xml:space="preserve">Constituency</w:t>
            </w:r>
          </w:p>
        </w:tc>
        <w:tc>
          <w:tcPr>
            <w:tcW w:type="dxa" w:w="3300"/>
            <w:shd w:fill="F4F6FA" w:val="clear"/>
            <w:tcMar>
              <w:top w:type="dxa" w:w="90"/>
              <w:left w:type="dxa" w:w="110"/>
              <w:bottom w:type="dxa" w:w="90"/>
              <w:right w:type="dxa" w:w="110"/>
            </w:tcMar>
            <w:vAlign w:val="center"/>
          </w:tcPr>
          <w:p>
            <w:r>
              <w:rPr>
                <w:b w:val="false"/>
                <w:bCs w:val="false"/>
                <w:color w:val="1A1A1A"/>
                <w:sz w:val="19"/>
                <w:szCs w:val="19"/>
              </w:rPr>
              <w:t xml:space="preserve">All wards in constituency, county/national announcements</w:t>
            </w:r>
          </w:p>
        </w:tc>
        <w:tc>
          <w:tcPr>
            <w:tcW w:type="dxa" w:w="3250"/>
            <w:shd w:fill="F4F6FA" w:val="clear"/>
            <w:tcMar>
              <w:top w:type="dxa" w:w="90"/>
              <w:left w:type="dxa" w:w="110"/>
              <w:bottom w:type="dxa" w:w="90"/>
              <w:right w:type="dxa" w:w="110"/>
            </w:tcMar>
            <w:vAlign w:val="center"/>
          </w:tcPr>
          <w:p>
            <w:r>
              <w:rPr>
                <w:b w:val="false"/>
                <w:bCs w:val="false"/>
                <w:color w:val="1A1A1A"/>
                <w:sz w:val="19"/>
                <w:szCs w:val="19"/>
              </w:rPr>
              <w:t xml:space="preserve">Constituency channel; can escalate to county</w:t>
            </w:r>
          </w:p>
        </w:tc>
      </w:tr>
      <w:tr>
        <w:tc>
          <w:tcPr>
            <w:tcW w:type="dxa" w:w="2800"/>
            <w:tcMar>
              <w:top w:type="dxa" w:w="90"/>
              <w:left w:type="dxa" w:w="110"/>
              <w:bottom w:type="dxa" w:w="90"/>
              <w:right w:type="dxa" w:w="110"/>
            </w:tcMar>
            <w:vAlign w:val="center"/>
          </w:tcPr>
          <w:p>
            <w:r>
              <w:rPr>
                <w:b w:val="false"/>
                <w:bCs w:val="false"/>
                <w:color w:val="1A1A1A"/>
                <w:sz w:val="19"/>
                <w:szCs w:val="19"/>
              </w:rPr>
              <w:t xml:space="preserve">County apex (Governor/Senator/Woman Rep)</w:t>
            </w:r>
          </w:p>
        </w:tc>
        <w:tc>
          <w:tcPr>
            <w:tcW w:type="dxa" w:w="3300"/>
            <w:tcMar>
              <w:top w:type="dxa" w:w="90"/>
              <w:left w:type="dxa" w:w="110"/>
              <w:bottom w:type="dxa" w:w="90"/>
              <w:right w:type="dxa" w:w="110"/>
            </w:tcMar>
            <w:vAlign w:val="center"/>
          </w:tcPr>
          <w:p>
            <w:r>
              <w:rPr>
                <w:b w:val="false"/>
                <w:bCs w:val="false"/>
                <w:color w:val="1A1A1A"/>
                <w:sz w:val="19"/>
                <w:szCs w:val="19"/>
              </w:rPr>
              <w:t xml:space="preserve">All constituencies/wards in county</w:t>
            </w:r>
          </w:p>
        </w:tc>
        <w:tc>
          <w:tcPr>
            <w:tcW w:type="dxa" w:w="3250"/>
            <w:tcMar>
              <w:top w:type="dxa" w:w="90"/>
              <w:left w:type="dxa" w:w="110"/>
              <w:bottom w:type="dxa" w:w="90"/>
              <w:right w:type="dxa" w:w="110"/>
            </w:tcMar>
            <w:vAlign w:val="center"/>
          </w:tcPr>
          <w:p>
            <w:r>
              <w:rPr>
                <w:b w:val="false"/>
                <w:bCs w:val="false"/>
                <w:color w:val="1A1A1A"/>
                <w:sz w:val="19"/>
                <w:szCs w:val="19"/>
              </w:rPr>
              <w:t xml:space="preserve">County-wide channel; escalate to national</w:t>
            </w:r>
          </w:p>
        </w:tc>
      </w:tr>
      <w:tr>
        <w:tc>
          <w:tcPr>
            <w:tcW w:type="dxa" w:w="2800"/>
            <w:shd w:fill="F4F6FA" w:val="clear"/>
            <w:tcMar>
              <w:top w:type="dxa" w:w="90"/>
              <w:left w:type="dxa" w:w="110"/>
              <w:bottom w:type="dxa" w:w="90"/>
              <w:right w:type="dxa" w:w="110"/>
            </w:tcMar>
            <w:vAlign w:val="center"/>
          </w:tcPr>
          <w:p>
            <w:r>
              <w:rPr>
                <w:b w:val="false"/>
                <w:bCs w:val="false"/>
                <w:color w:val="1A1A1A"/>
                <w:sz w:val="19"/>
                <w:szCs w:val="19"/>
              </w:rPr>
              <w:t xml:space="preserve">National Secretariat / Elections Board</w:t>
            </w:r>
          </w:p>
        </w:tc>
        <w:tc>
          <w:tcPr>
            <w:tcW w:type="dxa" w:w="3300"/>
            <w:shd w:fill="F4F6FA" w:val="clear"/>
            <w:tcMar>
              <w:top w:type="dxa" w:w="90"/>
              <w:left w:type="dxa" w:w="110"/>
              <w:bottom w:type="dxa" w:w="90"/>
              <w:right w:type="dxa" w:w="110"/>
            </w:tcMar>
            <w:vAlign w:val="center"/>
          </w:tcPr>
          <w:p>
            <w:r>
              <w:rPr>
                <w:b w:val="false"/>
                <w:bCs w:val="false"/>
                <w:color w:val="1A1A1A"/>
                <w:sz w:val="19"/>
                <w:szCs w:val="19"/>
              </w:rPr>
              <w:t xml:space="preserve">Aggregated national dashboard, drill-down by permission</w:t>
            </w:r>
          </w:p>
        </w:tc>
        <w:tc>
          <w:tcPr>
            <w:tcW w:type="dxa" w:w="3250"/>
            <w:shd w:fill="F4F6FA" w:val="clear"/>
            <w:tcMar>
              <w:top w:type="dxa" w:w="90"/>
              <w:left w:type="dxa" w:w="110"/>
              <w:bottom w:type="dxa" w:w="90"/>
              <w:right w:type="dxa" w:w="110"/>
            </w:tcMar>
            <w:vAlign w:val="center"/>
          </w:tcPr>
          <w:p>
            <w:r>
              <w:rPr>
                <w:b w:val="false"/>
                <w:bCs w:val="false"/>
                <w:color w:val="1A1A1A"/>
                <w:sz w:val="19"/>
                <w:szCs w:val="19"/>
              </w:rPr>
              <w:t xml:space="preserve">National broadcast; direct message to any tier</w:t>
            </w:r>
          </w:p>
        </w:tc>
      </w:tr>
    </w:tbl>
    <w:p>
      <w:pPr>
        <w:pStyle w:val="Heading2"/>
        <w:spacing w:after="120" w:before="280"/>
      </w:pPr>
      <w:r>
        <w:rPr>
          <w:b/>
          <w:bCs/>
          <w:color w:val="2E5395"/>
          <w:sz w:val="24"/>
          <w:szCs w:val="24"/>
        </w:rPr>
        <w:t xml:space="preserve">5.2 Agentic-AI functions inside the portal</w:t>
      </w:r>
    </w:p>
    <w:p>
      <w:pPr>
        <w:pStyle w:val="ListParagraph"/>
        <w:numPr>
          <w:ilvl w:val="0"/>
          <w:numId w:val="3"/>
        </w:numPr>
        <w:spacing w:after="90" w:line="270"/>
      </w:pPr>
      <w:r>
        <w:rPr>
          <w:color w:val="1A1A1A"/>
          <w:sz w:val="21"/>
          <w:szCs w:val="21"/>
        </w:rPr>
        <w:t xml:space="preserve">Meeting-minute drafting and task tracking for ward and constituency meetings, always human-reviewed before circulation.</w:t>
      </w:r>
    </w:p>
    <w:p>
      <w:pPr>
        <w:pStyle w:val="ListParagraph"/>
        <w:numPr>
          <w:ilvl w:val="0"/>
          <w:numId w:val="3"/>
        </w:numPr>
        <w:spacing w:after="90" w:line="270"/>
      </w:pPr>
      <w:r>
        <w:rPr>
          <w:color w:val="1A1A1A"/>
          <w:sz w:val="21"/>
          <w:szCs w:val="21"/>
        </w:rPr>
        <w:t xml:space="preserve">Duplicate/suspicious-registration flagging for human review — the AI flags, a person decides.</w:t>
      </w:r>
    </w:p>
    <w:p>
      <w:pPr>
        <w:pStyle w:val="ListParagraph"/>
        <w:numPr>
          <w:ilvl w:val="0"/>
          <w:numId w:val="3"/>
        </w:numPr>
        <w:spacing w:after="90" w:line="270"/>
      </w:pPr>
      <w:r>
        <w:rPr>
          <w:color w:val="1A1A1A"/>
          <w:sz w:val="21"/>
          <w:szCs w:val="21"/>
        </w:rPr>
        <w:t xml:space="preserve">Document search and policy-comparison assistant for candidates preparing for debates or media appearances.</w:t>
      </w:r>
    </w:p>
    <w:p>
      <w:pPr>
        <w:pStyle w:val="ListParagraph"/>
        <w:numPr>
          <w:ilvl w:val="0"/>
          <w:numId w:val="3"/>
        </w:numPr>
        <w:spacing w:after="90" w:line="270"/>
      </w:pPr>
      <w:r>
        <w:rPr>
          <w:color w:val="1A1A1A"/>
          <w:sz w:val="21"/>
          <w:szCs w:val="21"/>
        </w:rPr>
        <w:t xml:space="preserve">Automated but human-approved escalation of unresolved local disputes to the National Elections Board.</w:t>
      </w:r>
    </w:p>
    <w:p>
      <w:pPr>
        <w:pStyle w:val="Heading2"/>
        <w:spacing w:after="120" w:before="280"/>
      </w:pPr>
      <w:r>
        <w:rPr>
          <w:b/>
          <w:bCs/>
          <w:color w:val="2E5395"/>
          <w:sz w:val="24"/>
          <w:szCs w:val="24"/>
        </w:rPr>
        <w:t xml:space="preserve">5.3 Security baseline</w:t>
      </w:r>
    </w:p>
    <w:p>
      <w:pPr>
        <w:pStyle w:val="ListParagraph"/>
        <w:numPr>
          <w:ilvl w:val="0"/>
          <w:numId w:val="3"/>
        </w:numPr>
        <w:spacing w:after="90" w:line="270"/>
      </w:pPr>
      <w:r>
        <w:rPr>
          <w:color w:val="1A1A1A"/>
          <w:sz w:val="21"/>
          <w:szCs w:val="21"/>
        </w:rPr>
        <w:t xml:space="preserve">Multi-factor authentication, encryption at rest and in transit, least-privilege role-based access.</w:t>
      </w:r>
    </w:p>
    <w:p>
      <w:pPr>
        <w:pStyle w:val="ListParagraph"/>
        <w:numPr>
          <w:ilvl w:val="0"/>
          <w:numId w:val="3"/>
        </w:numPr>
        <w:spacing w:after="90" w:line="270"/>
      </w:pPr>
      <w:r>
        <w:rPr>
          <w:color w:val="1A1A1A"/>
          <w:sz w:val="21"/>
          <w:szCs w:val="21"/>
        </w:rPr>
        <w:t xml:space="preserve">Immutable audit logs of who posted, viewed or escalated what, and when.</w:t>
      </w:r>
    </w:p>
    <w:p>
      <w:pPr>
        <w:pStyle w:val="ListParagraph"/>
        <w:numPr>
          <w:ilvl w:val="0"/>
          <w:numId w:val="3"/>
        </w:numPr>
        <w:spacing w:after="90" w:line="270"/>
      </w:pPr>
      <w:r>
        <w:rPr>
          <w:color w:val="1A1A1A"/>
          <w:sz w:val="21"/>
          <w:szCs w:val="21"/>
        </w:rPr>
        <w:t xml:space="preserve">Regular backups, disaster recovery, and an incident-response plan with a named Data Protection Officer.</w:t>
      </w:r>
    </w:p>
    <w:p>
      <w:pPr>
        <w:spacing w:after="160"/>
      </w:pPr>
    </w:p>
    <w:p>
      <w:r>
        <w:br w:type="page"/>
      </w:r>
    </w:p>
    <w:p>
      <w:pPr>
        <w:pStyle w:val="Heading1"/>
        <w:pBdr>
          <w:bottom w:val="single" w:color="1F3864" w:sz="6" w:space="4"/>
        </w:pBdr>
        <w:spacing w:after="160" w:before="360"/>
      </w:pPr>
      <w:r>
        <w:rPr>
          <w:b/>
          <w:bCs/>
          <w:color w:val="1F3864"/>
          <w:sz w:val="30"/>
          <w:szCs w:val="30"/>
        </w:rPr>
        <w:t xml:space="preserve">6. OTT Streaming Network — Civic Media, Training and News</w:t>
      </w:r>
    </w:p>
    <w:p>
      <w:pPr>
        <w:spacing w:after="160" w:line="276"/>
      </w:pPr>
      <w:r>
        <w:rPr>
          <w:color w:val="1A1A1A"/>
          <w:sz w:val="21"/>
          <w:szCs w:val="21"/>
        </w:rPr>
        <w:t xml:space="preserve">A free-to-air OTT platform is the party's primary media asset, replacing expensive traditional advertising with owned, always-on channels.</w:t>
      </w:r>
    </w:p>
    <w:p>
      <w:pPr>
        <w:pStyle w:val="Heading2"/>
        <w:spacing w:after="120" w:before="280"/>
      </w:pPr>
      <w:r>
        <w:rPr>
          <w:b/>
          <w:bCs/>
          <w:color w:val="2E5395"/>
          <w:sz w:val="24"/>
          <w:szCs w:val="24"/>
        </w:rPr>
        <w:t xml:space="preserve">6.1 Channel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1F3864" w:val="clear"/>
            <w:tcMar>
              <w:top w:type="dxa" w:w="90"/>
              <w:left w:type="dxa" w:w="110"/>
              <w:bottom w:type="dxa" w:w="90"/>
              <w:right w:type="dxa" w:w="110"/>
            </w:tcMar>
            <w:vAlign w:val="center"/>
          </w:tcPr>
          <w:p>
            <w:r>
              <w:rPr>
                <w:b/>
                <w:bCs/>
                <w:color w:val="FFFFFF"/>
                <w:sz w:val="19"/>
                <w:szCs w:val="19"/>
              </w:rPr>
              <w:t xml:space="preserve">Channel</w:t>
            </w:r>
          </w:p>
        </w:tc>
        <w:tc>
          <w:tcPr>
            <w:tcW w:type="dxa" w:w="3550"/>
            <w:shd w:fill="1F3864" w:val="clear"/>
            <w:tcMar>
              <w:top w:type="dxa" w:w="90"/>
              <w:left w:type="dxa" w:w="110"/>
              <w:bottom w:type="dxa" w:w="90"/>
              <w:right w:type="dxa" w:w="110"/>
            </w:tcMar>
            <w:vAlign w:val="center"/>
          </w:tcPr>
          <w:p>
            <w:r>
              <w:rPr>
                <w:b/>
                <w:bCs/>
                <w:color w:val="FFFFFF"/>
                <w:sz w:val="19"/>
                <w:szCs w:val="19"/>
              </w:rPr>
              <w:t xml:space="preserve">Purpose</w:t>
            </w:r>
          </w:p>
        </w:tc>
        <w:tc>
          <w:tcPr>
            <w:tcW w:type="dxa" w:w="3200"/>
            <w:shd w:fill="1F3864" w:val="clear"/>
            <w:tcMar>
              <w:top w:type="dxa" w:w="90"/>
              <w:left w:type="dxa" w:w="110"/>
              <w:bottom w:type="dxa" w:w="90"/>
              <w:right w:type="dxa" w:w="110"/>
            </w:tcMar>
            <w:vAlign w:val="center"/>
          </w:tcPr>
          <w:p>
            <w:r>
              <w:rPr>
                <w:b/>
                <w:bCs/>
                <w:color w:val="FFFFFF"/>
                <w:sz w:val="19"/>
                <w:szCs w:val="19"/>
              </w:rPr>
              <w:t xml:space="preserve">Content model</w:t>
            </w:r>
          </w:p>
        </w:tc>
      </w:tr>
      <w:tr>
        <w:tc>
          <w:tcPr>
            <w:tcW w:type="dxa" w:w="2600"/>
            <w:tcMar>
              <w:top w:type="dxa" w:w="90"/>
              <w:left w:type="dxa" w:w="110"/>
              <w:bottom w:type="dxa" w:w="90"/>
              <w:right w:type="dxa" w:w="110"/>
            </w:tcMar>
            <w:vAlign w:val="center"/>
          </w:tcPr>
          <w:p>
            <w:r>
              <w:rPr>
                <w:b w:val="false"/>
                <w:bCs w:val="false"/>
                <w:color w:val="1A1A1A"/>
                <w:sz w:val="19"/>
                <w:szCs w:val="19"/>
              </w:rPr>
              <w:t xml:space="preserve">Policy &amp; Civic Education</w:t>
            </w:r>
          </w:p>
        </w:tc>
        <w:tc>
          <w:tcPr>
            <w:tcW w:type="dxa" w:w="3550"/>
            <w:tcMar>
              <w:top w:type="dxa" w:w="90"/>
              <w:left w:type="dxa" w:w="110"/>
              <w:bottom w:type="dxa" w:w="90"/>
              <w:right w:type="dxa" w:w="110"/>
            </w:tcMar>
            <w:vAlign w:val="center"/>
          </w:tcPr>
          <w:p>
            <w:r>
              <w:rPr>
                <w:b w:val="false"/>
                <w:bCs w:val="false"/>
                <w:color w:val="1A1A1A"/>
                <w:sz w:val="19"/>
                <w:szCs w:val="19"/>
              </w:rPr>
              <w:t xml:space="preserve">Explain party policy in plain language; ward Q&amp;A sessions</w:t>
            </w:r>
          </w:p>
        </w:tc>
        <w:tc>
          <w:tcPr>
            <w:tcW w:type="dxa" w:w="3200"/>
            <w:tcMar>
              <w:top w:type="dxa" w:w="90"/>
              <w:left w:type="dxa" w:w="110"/>
              <w:bottom w:type="dxa" w:w="90"/>
              <w:right w:type="dxa" w:w="110"/>
            </w:tcMar>
            <w:vAlign w:val="center"/>
          </w:tcPr>
          <w:p>
            <w:r>
              <w:rPr>
                <w:b w:val="false"/>
                <w:bCs w:val="false"/>
                <w:color w:val="1A1A1A"/>
                <w:sz w:val="19"/>
                <w:szCs w:val="19"/>
              </w:rPr>
              <w:t xml:space="preserve">Scheduled live sessions + on-demand library, multiple local languages</w:t>
            </w:r>
          </w:p>
        </w:tc>
      </w:tr>
      <w:tr>
        <w:tc>
          <w:tcPr>
            <w:tcW w:type="dxa" w:w="2600"/>
            <w:shd w:fill="F4F6FA" w:val="clear"/>
            <w:tcMar>
              <w:top w:type="dxa" w:w="90"/>
              <w:left w:type="dxa" w:w="110"/>
              <w:bottom w:type="dxa" w:w="90"/>
              <w:right w:type="dxa" w:w="110"/>
            </w:tcMar>
            <w:vAlign w:val="center"/>
          </w:tcPr>
          <w:p>
            <w:r>
              <w:rPr>
                <w:b w:val="false"/>
                <w:bCs w:val="false"/>
                <w:color w:val="1A1A1A"/>
                <w:sz w:val="19"/>
                <w:szCs w:val="19"/>
              </w:rPr>
              <w:t xml:space="preserve">Skills &amp; Training</w:t>
            </w:r>
          </w:p>
        </w:tc>
        <w:tc>
          <w:tcPr>
            <w:tcW w:type="dxa" w:w="3550"/>
            <w:shd w:fill="F4F6FA" w:val="clear"/>
            <w:tcMar>
              <w:top w:type="dxa" w:w="90"/>
              <w:left w:type="dxa" w:w="110"/>
              <w:bottom w:type="dxa" w:w="90"/>
              <w:right w:type="dxa" w:w="110"/>
            </w:tcMar>
            <w:vAlign w:val="center"/>
          </w:tcPr>
          <w:p>
            <w:r>
              <w:rPr>
                <w:b w:val="false"/>
                <w:bCs w:val="false"/>
                <w:color w:val="1A1A1A"/>
                <w:sz w:val="19"/>
                <w:szCs w:val="19"/>
              </w:rPr>
              <w:t xml:space="preserve">Free vocational/digital literacy training for communities</w:t>
            </w:r>
          </w:p>
        </w:tc>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AI/IT literacy, nursing-support foundations, languages, delivered by qualified partner trainers via i3 Academy</w:t>
            </w:r>
          </w:p>
        </w:tc>
      </w:tr>
      <w:tr>
        <w:tc>
          <w:tcPr>
            <w:tcW w:type="dxa" w:w="2600"/>
            <w:tcMar>
              <w:top w:type="dxa" w:w="90"/>
              <w:left w:type="dxa" w:w="110"/>
              <w:bottom w:type="dxa" w:w="90"/>
              <w:right w:type="dxa" w:w="110"/>
            </w:tcMar>
            <w:vAlign w:val="center"/>
          </w:tcPr>
          <w:p>
            <w:r>
              <w:rPr>
                <w:b w:val="false"/>
                <w:bCs w:val="false"/>
                <w:color w:val="1A1A1A"/>
                <w:sz w:val="19"/>
                <w:szCs w:val="19"/>
              </w:rPr>
              <w:t xml:space="preserve">County News &amp; Accountability</w:t>
            </w:r>
          </w:p>
        </w:tc>
        <w:tc>
          <w:tcPr>
            <w:tcW w:type="dxa" w:w="3550"/>
            <w:tcMar>
              <w:top w:type="dxa" w:w="90"/>
              <w:left w:type="dxa" w:w="110"/>
              <w:bottom w:type="dxa" w:w="90"/>
              <w:right w:type="dxa" w:w="110"/>
            </w:tcMar>
            <w:vAlign w:val="center"/>
          </w:tcPr>
          <w:p>
            <w:r>
              <w:rPr>
                <w:b w:val="false"/>
                <w:bCs w:val="false"/>
                <w:color w:val="1A1A1A"/>
                <w:sz w:val="19"/>
                <w:szCs w:val="19"/>
              </w:rPr>
              <w:t xml:space="preserve">County-focused news coverage and ward accountability dossiers</w:t>
            </w:r>
          </w:p>
        </w:tc>
        <w:tc>
          <w:tcPr>
            <w:tcW w:type="dxa" w:w="3200"/>
            <w:tcMar>
              <w:top w:type="dxa" w:w="90"/>
              <w:left w:type="dxa" w:w="110"/>
              <w:bottom w:type="dxa" w:w="90"/>
              <w:right w:type="dxa" w:w="110"/>
            </w:tcMar>
            <w:vAlign w:val="center"/>
          </w:tcPr>
          <w:p>
            <w:r>
              <w:rPr>
                <w:b w:val="false"/>
                <w:bCs w:val="false"/>
                <w:color w:val="1A1A1A"/>
                <w:sz w:val="19"/>
                <w:szCs w:val="19"/>
              </w:rPr>
              <w:t xml:space="preserve">Locally produced, fact-checked before publication (see Section 7)</w:t>
            </w:r>
          </w:p>
        </w:tc>
      </w:tr>
      <w:tr>
        <w:tc>
          <w:tcPr>
            <w:tcW w:type="dxa" w:w="2600"/>
            <w:shd w:fill="F4F6FA" w:val="clear"/>
            <w:tcMar>
              <w:top w:type="dxa" w:w="90"/>
              <w:left w:type="dxa" w:w="110"/>
              <w:bottom w:type="dxa" w:w="90"/>
              <w:right w:type="dxa" w:w="110"/>
            </w:tcMar>
            <w:vAlign w:val="center"/>
          </w:tcPr>
          <w:p>
            <w:r>
              <w:rPr>
                <w:b w:val="false"/>
                <w:bCs w:val="false"/>
                <w:color w:val="1A1A1A"/>
                <w:sz w:val="19"/>
                <w:szCs w:val="19"/>
              </w:rPr>
              <w:t xml:space="preserve">AI News Aggregation Feed</w:t>
            </w:r>
          </w:p>
        </w:tc>
        <w:tc>
          <w:tcPr>
            <w:tcW w:type="dxa" w:w="3550"/>
            <w:shd w:fill="F4F6FA" w:val="clear"/>
            <w:tcMar>
              <w:top w:type="dxa" w:w="90"/>
              <w:left w:type="dxa" w:w="110"/>
              <w:bottom w:type="dxa" w:w="90"/>
              <w:right w:type="dxa" w:w="110"/>
            </w:tcMar>
            <w:vAlign w:val="center"/>
          </w:tcPr>
          <w:p>
            <w:r>
              <w:rPr>
                <w:b w:val="false"/>
                <w:bCs w:val="false"/>
                <w:color w:val="1A1A1A"/>
                <w:sz w:val="19"/>
                <w:szCs w:val="19"/>
              </w:rPr>
              <w:t xml:space="preserve">Curates and summarises publicly available news and social media coverage relevant to each county</w:t>
            </w:r>
          </w:p>
        </w:tc>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Agentic-AI summarisation of public sources with source links shown — always attributed, never presented as an original report</w:t>
            </w:r>
          </w:p>
        </w:tc>
      </w:tr>
    </w:tbl>
    <w:p>
      <w:pPr>
        <w:pStyle w:val="Heading2"/>
        <w:spacing w:after="120" w:before="280"/>
      </w:pPr>
      <w:r>
        <w:rPr>
          <w:b/>
          <w:bCs/>
          <w:color w:val="2E5395"/>
          <w:sz w:val="24"/>
          <w:szCs w:val="24"/>
        </w:rPr>
        <w:t xml:space="preserve">6.2 Governing rules for the AI News Feed</w:t>
      </w:r>
    </w:p>
    <w:p>
      <w:pPr>
        <w:spacing w:after="160" w:line="276"/>
      </w:pPr>
      <w:r>
        <w:rPr>
          <w:color w:val="1A1A1A"/>
          <w:sz w:val="21"/>
          <w:szCs w:val="21"/>
        </w:rPr>
        <w:t xml:space="preserve">The 'live feed of news streamed countrywide' is built as a curation and summarisation layer over public reporting and public social posts — not as a system that fabricates, rewords to disguise sourcing, or reproduces other outlets' copyrighted text. Every summarised item links back to its original source and carries a timestamp and provenance tag. A human editor reviews flagged or contested items before they run on the County News channel.</w:t>
      </w:r>
    </w:p>
    <w:p>
      <w:pPr>
        <w:pStyle w:val="Heading2"/>
        <w:spacing w:after="120" w:before="280"/>
      </w:pPr>
      <w:r>
        <w:rPr>
          <w:b/>
          <w:bCs/>
          <w:color w:val="2E5395"/>
          <w:sz w:val="24"/>
          <w:szCs w:val="24"/>
        </w:rPr>
        <w:t xml:space="preserve">6.3 Ward voice and content authorship</w:t>
      </w:r>
    </w:p>
    <w:p>
      <w:pPr>
        <w:spacing w:after="160" w:line="276"/>
      </w:pPr>
      <w:r>
        <w:rPr>
          <w:color w:val="1A1A1A"/>
          <w:sz w:val="21"/>
          <w:szCs w:val="21"/>
        </w:rPr>
        <w:t xml:space="preserve">Ward-level presenters and activists appear as themselves, in their own voice, trained and equipped with i3's AI research and content tools to prepare accurate, sourced material quickly. The party does not use synthetic voice cloning of real people — activist, candidate or otherwise — to generate content that a listener could mistake for a live, personal call or message from that person. Any AI-assisted candidate communication (for example, a scripted robocall or IVR update) opens with a clear, audible AI-assisted-content disclosure, consistent with the Data Protection Act 2019 and Kenya's AI/deepfake-disclosure expectations.</w:t>
      </w:r>
    </w:p>
    <w:p>
      <w:pPr>
        <w:spacing w:after="160"/>
      </w:pPr>
    </w:p>
    <w:p>
      <w:pPr>
        <w:pStyle w:val="Heading1"/>
        <w:pBdr>
          <w:bottom w:val="single" w:color="1F3864" w:sz="6" w:space="4"/>
        </w:pBdr>
        <w:spacing w:after="160" w:before="360"/>
      </w:pPr>
      <w:r>
        <w:rPr>
          <w:b/>
          <w:bCs/>
          <w:color w:val="1F3864"/>
          <w:sz w:val="30"/>
          <w:szCs w:val="30"/>
        </w:rPr>
        <w:t xml:space="preserve">7. Ward-to-County Public Accountability Data Platform</w:t>
      </w:r>
    </w:p>
    <w:p>
      <w:pPr>
        <w:spacing w:after="160" w:line="276"/>
      </w:pPr>
      <w:r>
        <w:rPr>
          <w:color w:val="1A1A1A"/>
          <w:sz w:val="21"/>
          <w:szCs w:val="21"/>
        </w:rPr>
        <w:t xml:space="preserve">The most distinctive and highest-value element of the strategy — a rigorous, evidence-graded system tracking how public money (NG-CDF, county budgets, bursaries, project committees) is spent, ward by ward, against real market benchmarks, with GIS and photographic evidence. It is designed to be a credible civic-accountability capability, not an allegation engine.</w:t>
      </w:r>
    </w:p>
    <w:p>
      <w:pPr>
        <w:pStyle w:val="Heading2"/>
        <w:spacing w:after="120" w:before="280"/>
      </w:pPr>
      <w:r>
        <w:rPr>
          <w:b/>
          <w:bCs/>
          <w:color w:val="2E5395"/>
          <w:sz w:val="24"/>
          <w:szCs w:val="24"/>
        </w:rPr>
        <w:t xml:space="preserve">7.1 Lawful data sources only</w:t>
      </w:r>
    </w:p>
    <w:p>
      <w:pPr>
        <w:pStyle w:val="ListParagraph"/>
        <w:numPr>
          <w:ilvl w:val="0"/>
          <w:numId w:val="3"/>
        </w:numPr>
        <w:spacing w:after="90" w:line="270"/>
      </w:pPr>
      <w:r>
        <w:rPr>
          <w:color w:val="1A1A1A"/>
          <w:sz w:val="21"/>
          <w:szCs w:val="21"/>
        </w:rPr>
        <w:t xml:space="preserve">NG-CDF and county budget documents, Controller of Budget and Auditor-General reports.</w:t>
      </w:r>
    </w:p>
    <w:p>
      <w:pPr>
        <w:pStyle w:val="ListParagraph"/>
        <w:numPr>
          <w:ilvl w:val="0"/>
          <w:numId w:val="3"/>
        </w:numPr>
        <w:spacing w:after="90" w:line="270"/>
      </w:pPr>
      <w:r>
        <w:rPr>
          <w:color w:val="1A1A1A"/>
          <w:sz w:val="21"/>
          <w:szCs w:val="21"/>
        </w:rPr>
        <w:t xml:space="preserve">County procurement/tender portals (eProcurement, tenders.go.ke), county integrated development plans.</w:t>
      </w:r>
    </w:p>
    <w:p>
      <w:pPr>
        <w:pStyle w:val="ListParagraph"/>
        <w:numPr>
          <w:ilvl w:val="0"/>
          <w:numId w:val="3"/>
        </w:numPr>
        <w:spacing w:after="90" w:line="270"/>
      </w:pPr>
      <w:r>
        <w:rPr>
          <w:color w:val="1A1A1A"/>
          <w:sz w:val="21"/>
          <w:szCs w:val="21"/>
        </w:rPr>
        <w:t xml:space="preserve">Bursary disbursement lists that are already public, or obtained via formal Access to Information requests where withheld.</w:t>
      </w:r>
    </w:p>
    <w:p>
      <w:pPr>
        <w:pStyle w:val="ListParagraph"/>
        <w:numPr>
          <w:ilvl w:val="0"/>
          <w:numId w:val="3"/>
        </w:numPr>
        <w:spacing w:after="90" w:line="270"/>
      </w:pPr>
      <w:r>
        <w:rPr>
          <w:color w:val="1A1A1A"/>
          <w:sz w:val="21"/>
          <w:szCs w:val="21"/>
        </w:rPr>
        <w:t xml:space="preserve">Citizen-submitted, timestamped, geotagged photographs and public-meeting records, collected with the contributor's knowledge and consent.</w:t>
      </w:r>
    </w:p>
    <w:p>
      <w:pPr>
        <w:pStyle w:val="Heading2"/>
        <w:spacing w:after="120" w:before="280"/>
      </w:pPr>
      <w:r>
        <w:rPr>
          <w:b/>
          <w:bCs/>
          <w:color w:val="2E5395"/>
          <w:sz w:val="24"/>
          <w:szCs w:val="24"/>
        </w:rPr>
        <w:t xml:space="preserve">7.2 The evidence pipeline</w:t>
      </w:r>
    </w:p>
    <w:p>
      <w:pPr>
        <w:pStyle w:val="ListParagraph"/>
        <w:numPr>
          <w:ilvl w:val="0"/>
          <w:numId w:val="2"/>
        </w:numPr>
        <w:spacing w:after="90" w:line="270"/>
      </w:pPr>
      <w:r>
        <w:rPr>
          <w:color w:val="1A1A1A"/>
          <w:sz w:val="21"/>
          <w:szCs w:val="21"/>
        </w:rPr>
        <w:t xml:space="preserve">Project register — name, location, agency, budget, contractor, procurement method, status.</w:t>
      </w:r>
    </w:p>
    <w:p>
      <w:pPr>
        <w:pStyle w:val="ListParagraph"/>
        <w:numPr>
          <w:ilvl w:val="0"/>
          <w:numId w:val="2"/>
        </w:numPr>
        <w:spacing w:after="90" w:line="270"/>
      </w:pPr>
      <w:r>
        <w:rPr>
          <w:color w:val="1A1A1A"/>
          <w:sz w:val="21"/>
          <w:szCs w:val="21"/>
        </w:rPr>
        <w:t xml:space="preserve">Budget-to-delivery comparison — approved amount vs contract amount vs certified payment vs observed output.</w:t>
      </w:r>
    </w:p>
    <w:p>
      <w:pPr>
        <w:pStyle w:val="ListParagraph"/>
        <w:numPr>
          <w:ilvl w:val="0"/>
          <w:numId w:val="2"/>
        </w:numPr>
        <w:spacing w:after="90" w:line="270"/>
      </w:pPr>
      <w:r>
        <w:rPr>
          <w:color w:val="1A1A1A"/>
          <w:sz w:val="21"/>
          <w:szCs w:val="21"/>
        </w:rPr>
        <w:t xml:space="preserve">Market benchmark engine — comparable unit costs for materials, labour and services (e.g., cost per kilometre of murram road).</w:t>
      </w:r>
    </w:p>
    <w:p>
      <w:pPr>
        <w:pStyle w:val="ListParagraph"/>
        <w:numPr>
          <w:ilvl w:val="0"/>
          <w:numId w:val="2"/>
        </w:numPr>
        <w:spacing w:after="90" w:line="270"/>
      </w:pPr>
      <w:r>
        <w:rPr>
          <w:color w:val="1A1A1A"/>
          <w:sz w:val="21"/>
          <w:szCs w:val="21"/>
        </w:rPr>
        <w:t xml:space="preserve">GIS layer — maps projects against schools, roads, water points and health facilities per ward.</w:t>
      </w:r>
    </w:p>
    <w:p>
      <w:pPr>
        <w:pStyle w:val="ListParagraph"/>
        <w:numPr>
          <w:ilvl w:val="0"/>
          <w:numId w:val="2"/>
        </w:numPr>
        <w:spacing w:after="90" w:line="270"/>
      </w:pPr>
      <w:r>
        <w:rPr>
          <w:color w:val="1A1A1A"/>
          <w:sz w:val="21"/>
          <w:szCs w:val="21"/>
        </w:rPr>
        <w:t xml:space="preserve">Status classification — every item is labelled Verified, Needs Verification, or Disputed. The system never auto-labels anything "stolen" or "corrupt."</w:t>
      </w:r>
    </w:p>
    <w:p>
      <w:pPr>
        <w:pStyle w:val="ListParagraph"/>
        <w:numPr>
          <w:ilvl w:val="0"/>
          <w:numId w:val="2"/>
        </w:numPr>
        <w:spacing w:after="90" w:line="270"/>
      </w:pPr>
      <w:r>
        <w:rPr>
          <w:color w:val="1A1A1A"/>
          <w:sz w:val="21"/>
          <w:szCs w:val="21"/>
        </w:rPr>
        <w:t xml:space="preserve">Legal review queue — any finding naming an individual official is held for legal review and a right-of-reply before publication.</w:t>
      </w:r>
    </w:p>
    <w:tbl>
      <w:tblPr>
        <w:tblW w:type="pct" w:w="100%"/>
        <w:tblBorders>
          <w:top w:val="single" w:color="9C2B2B" w:sz="4"/>
          <w:left w:val="single" w:color="9C2B2B" w:sz="24"/>
          <w:bottom w:val="single" w:color="9C2B2B" w:sz="4"/>
          <w:right w:val="single" w:color="9C2B2B" w:sz="4"/>
          <w:insideH w:val="single" w:color="auto" w:sz="4"/>
          <w:insideV w:val="single" w:color="auto" w:sz="4"/>
        </w:tblBorders>
      </w:tblPr>
      <w:tblGrid>
        <w:gridCol w:w="100"/>
      </w:tblGrid>
      <w:tr>
        <w:tc>
          <w:tcPr>
            <w:shd w:fill="EDF1F7" w:val="clear"/>
            <w:tcMar>
              <w:top w:type="dxa" w:w="160"/>
              <w:left w:type="dxa" w:w="220"/>
              <w:bottom w:type="dxa" w:w="160"/>
              <w:right w:type="dxa" w:w="220"/>
            </w:tcMar>
          </w:tcPr>
          <w:p>
            <w:pPr>
              <w:spacing w:after="60"/>
            </w:pPr>
            <w:r>
              <w:rPr>
                <w:b/>
                <w:bCs/>
                <w:color w:val="9C2B2B"/>
                <w:sz w:val="21"/>
                <w:szCs w:val="21"/>
              </w:rPr>
              <w:t xml:space="preserve">Evidence standard (non-negotiable)</w:t>
            </w:r>
          </w:p>
          <w:p>
            <w:pPr>
              <w:spacing w:after="0" w:line="270"/>
            </w:pPr>
            <w:r>
              <w:rPr>
                <w:color w:val="262626"/>
                <w:sz w:val="20"/>
                <w:szCs w:val="20"/>
              </w:rPr>
              <w:t xml:space="preserve">A high variance between budget and delivery is a lead for further verification, not proof of wrongdoing. AI tools draft the sourced, figure-based narrative for citizens; they do not decide what gets published, and no content naming an individual goes live without a human legal-review sign-off and a documented right-of-reply.</w:t>
            </w:r>
          </w:p>
        </w:tc>
      </w:tr>
    </w:tbl>
    <w:p>
      <w:pPr>
        <w:pStyle w:val="Heading2"/>
        <w:spacing w:after="120" w:before="280"/>
      </w:pPr>
      <w:r>
        <w:rPr>
          <w:b/>
          <w:bCs/>
          <w:color w:val="2E5395"/>
          <w:sz w:val="24"/>
          <w:szCs w:val="24"/>
        </w:rPr>
        <w:t xml:space="preserve">7.3 What citizens see</w:t>
      </w:r>
    </w:p>
    <w:p>
      <w:pPr>
        <w:spacing w:after="160" w:line="276"/>
      </w:pPr>
      <w:r>
        <w:rPr>
          <w:color w:val="1A1A1A"/>
          <w:sz w:val="21"/>
          <w:szCs w:val="21"/>
        </w:rPr>
        <w:t xml:space="preserve">A public, searchable dashboard per ward: what was budgeted, what was delivered, what it should have cost, and where the gap requires further investigation — with every figure sourced and dated. This becomes the party's permanent campaign content and the ward candidate's standing local platform between election cycles.</w:t>
      </w:r>
    </w:p>
    <w:p>
      <w:pPr>
        <w:spacing w:after="160"/>
      </w:pPr>
    </w:p>
    <w:p>
      <w:r>
        <w:br w:type="page"/>
      </w:r>
    </w:p>
    <w:p>
      <w:pPr>
        <w:pStyle w:val="Heading1"/>
        <w:pBdr>
          <w:bottom w:val="single" w:color="1F3864" w:sz="6" w:space="4"/>
        </w:pBdr>
        <w:spacing w:after="160" w:before="360"/>
      </w:pPr>
      <w:r>
        <w:rPr>
          <w:b/>
          <w:bCs/>
          <w:color w:val="1F3864"/>
          <w:sz w:val="30"/>
          <w:szCs w:val="30"/>
        </w:rPr>
        <w:t xml:space="preserve">8. AI Content Governance — Authoring and Publishing Standard</w:t>
      </w:r>
    </w:p>
    <w:p>
      <w:pPr>
        <w:spacing w:after="160" w:line="276"/>
      </w:pPr>
      <w:r>
        <w:rPr>
          <w:color w:val="1A1A1A"/>
          <w:sz w:val="21"/>
          <w:szCs w:val="21"/>
        </w:rPr>
        <w:t xml:space="preserve">i3's agentic-AI tools are used across drafting, research, translation and content scheduling to keep the operation low-cost, but publishing authority always sits with a named human editor at ward, county or national level, matched to the sensitivity of the content.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50"/>
      </w:tblGrid>
      <w:tr>
        <w:trPr>
          <w:tblHeader/>
        </w:trPr>
        <w:tc>
          <w:tcPr>
            <w:tcW w:type="dxa" w:w="3000"/>
            <w:shd w:fill="1F3864" w:val="clear"/>
            <w:tcMar>
              <w:top w:type="dxa" w:w="90"/>
              <w:left w:type="dxa" w:w="110"/>
              <w:bottom w:type="dxa" w:w="90"/>
              <w:right w:type="dxa" w:w="110"/>
            </w:tcMar>
            <w:vAlign w:val="center"/>
          </w:tcPr>
          <w:p>
            <w:r>
              <w:rPr>
                <w:b/>
                <w:bCs/>
                <w:color w:val="FFFFFF"/>
                <w:sz w:val="19"/>
                <w:szCs w:val="19"/>
              </w:rPr>
              <w:t xml:space="preserve">Content type</w:t>
            </w:r>
          </w:p>
        </w:tc>
        <w:tc>
          <w:tcPr>
            <w:tcW w:type="dxa" w:w="3300"/>
            <w:shd w:fill="1F3864" w:val="clear"/>
            <w:tcMar>
              <w:top w:type="dxa" w:w="90"/>
              <w:left w:type="dxa" w:w="110"/>
              <w:bottom w:type="dxa" w:w="90"/>
              <w:right w:type="dxa" w:w="110"/>
            </w:tcMar>
            <w:vAlign w:val="center"/>
          </w:tcPr>
          <w:p>
            <w:r>
              <w:rPr>
                <w:b/>
                <w:bCs/>
                <w:color w:val="FFFFFF"/>
                <w:sz w:val="19"/>
                <w:szCs w:val="19"/>
              </w:rPr>
              <w:t xml:space="preserve">AI role</w:t>
            </w:r>
          </w:p>
        </w:tc>
        <w:tc>
          <w:tcPr>
            <w:tcW w:type="dxa" w:w="3050"/>
            <w:shd w:fill="1F3864" w:val="clear"/>
            <w:tcMar>
              <w:top w:type="dxa" w:w="90"/>
              <w:left w:type="dxa" w:w="110"/>
              <w:bottom w:type="dxa" w:w="90"/>
              <w:right w:type="dxa" w:w="110"/>
            </w:tcMar>
            <w:vAlign w:val="center"/>
          </w:tcPr>
          <w:p>
            <w:r>
              <w:rPr>
                <w:b/>
                <w:bCs/>
                <w:color w:val="FFFFFF"/>
                <w:sz w:val="19"/>
                <w:szCs w:val="19"/>
              </w:rPr>
              <w:t xml:space="preserve">Human control</w:t>
            </w:r>
          </w:p>
        </w:tc>
      </w:tr>
      <w:tr>
        <w:tc>
          <w:tcPr>
            <w:tcW w:type="dxa" w:w="3000"/>
            <w:tcMar>
              <w:top w:type="dxa" w:w="90"/>
              <w:left w:type="dxa" w:w="110"/>
              <w:bottom w:type="dxa" w:w="90"/>
              <w:right w:type="dxa" w:w="110"/>
            </w:tcMar>
            <w:vAlign w:val="center"/>
          </w:tcPr>
          <w:p>
            <w:r>
              <w:rPr>
                <w:b w:val="false"/>
                <w:bCs w:val="false"/>
                <w:color w:val="1A1A1A"/>
                <w:sz w:val="19"/>
                <w:szCs w:val="19"/>
              </w:rPr>
              <w:t xml:space="preserve">Manifesto/policy explainers</w:t>
            </w:r>
          </w:p>
        </w:tc>
        <w:tc>
          <w:tcPr>
            <w:tcW w:type="dxa" w:w="3300"/>
            <w:tcMar>
              <w:top w:type="dxa" w:w="90"/>
              <w:left w:type="dxa" w:w="110"/>
              <w:bottom w:type="dxa" w:w="90"/>
              <w:right w:type="dxa" w:w="110"/>
            </w:tcMar>
            <w:vAlign w:val="center"/>
          </w:tcPr>
          <w:p>
            <w:r>
              <w:rPr>
                <w:b w:val="false"/>
                <w:bCs w:val="false"/>
                <w:color w:val="1A1A1A"/>
                <w:sz w:val="19"/>
                <w:szCs w:val="19"/>
              </w:rPr>
              <w:t xml:space="preserve">Drafts plain-language versions from approved source manifesto</w:t>
            </w:r>
          </w:p>
        </w:tc>
        <w:tc>
          <w:tcPr>
            <w:tcW w:type="dxa" w:w="3050"/>
            <w:tcMar>
              <w:top w:type="dxa" w:w="90"/>
              <w:left w:type="dxa" w:w="110"/>
              <w:bottom w:type="dxa" w:w="90"/>
              <w:right w:type="dxa" w:w="110"/>
            </w:tcMar>
            <w:vAlign w:val="center"/>
          </w:tcPr>
          <w:p>
            <w:r>
              <w:rPr>
                <w:b w:val="false"/>
                <w:bCs w:val="false"/>
                <w:color w:val="1A1A1A"/>
                <w:sz w:val="19"/>
                <w:szCs w:val="19"/>
              </w:rPr>
              <w:t xml:space="preserve">Communications desk approves before publication</w:t>
            </w:r>
          </w:p>
        </w:tc>
      </w:tr>
      <w:tr>
        <w:tc>
          <w:tcPr>
            <w:tcW w:type="dxa" w:w="3000"/>
            <w:shd w:fill="F4F6FA" w:val="clear"/>
            <w:tcMar>
              <w:top w:type="dxa" w:w="90"/>
              <w:left w:type="dxa" w:w="110"/>
              <w:bottom w:type="dxa" w:w="90"/>
              <w:right w:type="dxa" w:w="110"/>
            </w:tcMar>
            <w:vAlign w:val="center"/>
          </w:tcPr>
          <w:p>
            <w:r>
              <w:rPr>
                <w:b w:val="false"/>
                <w:bCs w:val="false"/>
                <w:color w:val="1A1A1A"/>
                <w:sz w:val="19"/>
                <w:szCs w:val="19"/>
              </w:rPr>
              <w:t xml:space="preserve">Ward accountability dossiers</w:t>
            </w:r>
          </w:p>
        </w:tc>
        <w:tc>
          <w:tcPr>
            <w:tcW w:type="dxa" w:w="3300"/>
            <w:shd w:fill="F4F6FA" w:val="clear"/>
            <w:tcMar>
              <w:top w:type="dxa" w:w="90"/>
              <w:left w:type="dxa" w:w="110"/>
              <w:bottom w:type="dxa" w:w="90"/>
              <w:right w:type="dxa" w:w="110"/>
            </w:tcMar>
            <w:vAlign w:val="center"/>
          </w:tcPr>
          <w:p>
            <w:r>
              <w:rPr>
                <w:b w:val="false"/>
                <w:bCs w:val="false"/>
                <w:color w:val="1A1A1A"/>
                <w:sz w:val="19"/>
                <w:szCs w:val="19"/>
              </w:rPr>
              <w:t xml:space="preserve">Drafts sourced narrative from verified data pipeline (Section 7)</w:t>
            </w:r>
          </w:p>
        </w:tc>
        <w:tc>
          <w:tcPr>
            <w:tcW w:type="dxa" w:w="3050"/>
            <w:shd w:fill="F4F6FA" w:val="clear"/>
            <w:tcMar>
              <w:top w:type="dxa" w:w="90"/>
              <w:left w:type="dxa" w:w="110"/>
              <w:bottom w:type="dxa" w:w="90"/>
              <w:right w:type="dxa" w:w="110"/>
            </w:tcMar>
            <w:vAlign w:val="center"/>
          </w:tcPr>
          <w:p>
            <w:r>
              <w:rPr>
                <w:b w:val="false"/>
                <w:bCs w:val="false"/>
                <w:color w:val="1A1A1A"/>
                <w:sz w:val="19"/>
                <w:szCs w:val="19"/>
              </w:rPr>
              <w:t xml:space="preserve">Legal review + right-of-reply before any content naming an official</w:t>
            </w:r>
          </w:p>
        </w:tc>
      </w:tr>
      <w:tr>
        <w:tc>
          <w:tcPr>
            <w:tcW w:type="dxa" w:w="3000"/>
            <w:tcMar>
              <w:top w:type="dxa" w:w="90"/>
              <w:left w:type="dxa" w:w="110"/>
              <w:bottom w:type="dxa" w:w="90"/>
              <w:right w:type="dxa" w:w="110"/>
            </w:tcMar>
            <w:vAlign w:val="center"/>
          </w:tcPr>
          <w:p>
            <w:r>
              <w:rPr>
                <w:b w:val="false"/>
                <w:bCs w:val="false"/>
                <w:color w:val="1A1A1A"/>
                <w:sz w:val="19"/>
                <w:szCs w:val="19"/>
              </w:rPr>
              <w:t xml:space="preserve">News feed summaries</w:t>
            </w:r>
          </w:p>
        </w:tc>
        <w:tc>
          <w:tcPr>
            <w:tcW w:type="dxa" w:w="3300"/>
            <w:tcMar>
              <w:top w:type="dxa" w:w="90"/>
              <w:left w:type="dxa" w:w="110"/>
              <w:bottom w:type="dxa" w:w="90"/>
              <w:right w:type="dxa" w:w="110"/>
            </w:tcMar>
            <w:vAlign w:val="center"/>
          </w:tcPr>
          <w:p>
            <w:r>
              <w:rPr>
                <w:b w:val="false"/>
                <w:bCs w:val="false"/>
                <w:color w:val="1A1A1A"/>
                <w:sz w:val="19"/>
                <w:szCs w:val="19"/>
              </w:rPr>
              <w:t xml:space="preserve">Curates and summarises public reporting with source links</w:t>
            </w:r>
          </w:p>
        </w:tc>
        <w:tc>
          <w:tcPr>
            <w:tcW w:type="dxa" w:w="3050"/>
            <w:tcMar>
              <w:top w:type="dxa" w:w="90"/>
              <w:left w:type="dxa" w:w="110"/>
              <w:bottom w:type="dxa" w:w="90"/>
              <w:right w:type="dxa" w:w="110"/>
            </w:tcMar>
            <w:vAlign w:val="center"/>
          </w:tcPr>
          <w:p>
            <w:r>
              <w:rPr>
                <w:b w:val="false"/>
                <w:bCs w:val="false"/>
                <w:color w:val="1A1A1A"/>
                <w:sz w:val="19"/>
                <w:szCs w:val="19"/>
              </w:rPr>
              <w:t xml:space="preserve">Editor spot-checks; contested items always human-reviewed</w:t>
            </w:r>
          </w:p>
        </w:tc>
      </w:tr>
      <w:tr>
        <w:tc>
          <w:tcPr>
            <w:tcW w:type="dxa" w:w="3000"/>
            <w:shd w:fill="F4F6FA" w:val="clear"/>
            <w:tcMar>
              <w:top w:type="dxa" w:w="90"/>
              <w:left w:type="dxa" w:w="110"/>
              <w:bottom w:type="dxa" w:w="90"/>
              <w:right w:type="dxa" w:w="110"/>
            </w:tcMar>
            <w:vAlign w:val="center"/>
          </w:tcPr>
          <w:p>
            <w:r>
              <w:rPr>
                <w:b w:val="false"/>
                <w:bCs w:val="false"/>
                <w:color w:val="1A1A1A"/>
                <w:sz w:val="19"/>
                <w:szCs w:val="19"/>
              </w:rPr>
              <w:t xml:space="preserve">Social/WhatsApp content</w:t>
            </w:r>
          </w:p>
        </w:tc>
        <w:tc>
          <w:tcPr>
            <w:tcW w:type="dxa" w:w="3300"/>
            <w:shd w:fill="F4F6FA" w:val="clear"/>
            <w:tcMar>
              <w:top w:type="dxa" w:w="90"/>
              <w:left w:type="dxa" w:w="110"/>
              <w:bottom w:type="dxa" w:w="90"/>
              <w:right w:type="dxa" w:w="110"/>
            </w:tcMar>
            <w:vAlign w:val="center"/>
          </w:tcPr>
          <w:p>
            <w:r>
              <w:rPr>
                <w:b w:val="false"/>
                <w:bCs w:val="false"/>
                <w:color w:val="1A1A1A"/>
                <w:sz w:val="19"/>
                <w:szCs w:val="19"/>
              </w:rPr>
              <w:t xml:space="preserve">Drafts and schedules approved messaging</w:t>
            </w:r>
          </w:p>
        </w:tc>
        <w:tc>
          <w:tcPr>
            <w:tcW w:type="dxa" w:w="3050"/>
            <w:shd w:fill="F4F6FA" w:val="clear"/>
            <w:tcMar>
              <w:top w:type="dxa" w:w="90"/>
              <w:left w:type="dxa" w:w="110"/>
              <w:bottom w:type="dxa" w:w="90"/>
              <w:right w:type="dxa" w:w="110"/>
            </w:tcMar>
            <w:vAlign w:val="center"/>
          </w:tcPr>
          <w:p>
            <w:r>
              <w:rPr>
                <w:b w:val="false"/>
                <w:bCs w:val="false"/>
                <w:color w:val="1A1A1A"/>
                <w:sz w:val="19"/>
                <w:szCs w:val="19"/>
              </w:rPr>
              <w:t xml:space="preserve">Locked from posting anything not pre-approved by county comms lead</w:t>
            </w:r>
          </w:p>
        </w:tc>
      </w:tr>
    </w:tbl>
    <w:p>
      <w:pPr>
        <w:spacing w:after="160"/>
      </w:pPr>
    </w:p>
    <w:p>
      <w:pPr>
        <w:pStyle w:val="Heading1"/>
        <w:pBdr>
          <w:bottom w:val="single" w:color="1F3864" w:sz="6" w:space="4"/>
        </w:pBdr>
        <w:spacing w:after="160" w:before="360"/>
      </w:pPr>
      <w:r>
        <w:rPr>
          <w:b/>
          <w:bCs/>
          <w:color w:val="1F3864"/>
          <w:sz w:val="30"/>
          <w:szCs w:val="30"/>
        </w:rPr>
        <w:t xml:space="preserve">9. Social Media, WhatsApp and Sentiment Network</w:t>
      </w:r>
    </w:p>
    <w:p>
      <w:pPr>
        <w:pStyle w:val="Heading2"/>
        <w:spacing w:after="120" w:before="280"/>
      </w:pPr>
      <w:r>
        <w:rPr>
          <w:b/>
          <w:bCs/>
          <w:color w:val="2E5395"/>
          <w:sz w:val="24"/>
          <w:szCs w:val="24"/>
        </w:rPr>
        <w:t xml:space="preserve">9.1 County-wide sentiment tracking</w:t>
      </w:r>
    </w:p>
    <w:p>
      <w:pPr>
        <w:spacing w:after="160" w:line="276"/>
      </w:pPr>
      <w:r>
        <w:rPr>
          <w:color w:val="1A1A1A"/>
          <w:sz w:val="21"/>
          <w:szCs w:val="21"/>
        </w:rPr>
        <w:t xml:space="preserve">A real-time, aggregated sentiment view is built from public social posts and platform analytics, tracked per county and rolled up nationally, to guide where ward organising and OTT content should focus next. This is public-conversation analysis, not individual voter profiling — it does not attach sentiment scores to identified individuals.</w:t>
      </w:r>
    </w:p>
    <w:p>
      <w:pPr>
        <w:pStyle w:val="Heading2"/>
        <w:spacing w:after="120" w:before="280"/>
      </w:pPr>
      <w:r>
        <w:rPr>
          <w:b/>
          <w:bCs/>
          <w:color w:val="2E5395"/>
          <w:sz w:val="24"/>
          <w:szCs w:val="24"/>
        </w:rPr>
        <w:t xml:space="preserve">9.2 WhatsApp growth — through consent, not covert insertion</w:t>
      </w:r>
    </w:p>
    <w:p>
      <w:pPr>
        <w:spacing w:after="160" w:line="276"/>
      </w:pPr>
      <w:r>
        <w:rPr>
          <w:color w:val="1A1A1A"/>
          <w:sz w:val="21"/>
          <w:szCs w:val="21"/>
        </w:rPr>
        <w:t xml:space="preserve">WhatsApp is Kenya's dominant messaging platform and the party's primary organising channel, grown lawfully and transparently:</w:t>
      </w:r>
    </w:p>
    <w:p>
      <w:pPr>
        <w:pStyle w:val="ListParagraph"/>
        <w:numPr>
          <w:ilvl w:val="0"/>
          <w:numId w:val="3"/>
        </w:numPr>
        <w:spacing w:after="90" w:line="270"/>
      </w:pPr>
      <w:r>
        <w:rPr>
          <w:color w:val="1A1A1A"/>
          <w:sz w:val="21"/>
          <w:szCs w:val="21"/>
        </w:rPr>
        <w:t xml:space="preserve">Opt-in party broadcast lists and county/ward groups, clearly branded as FORD-Asili channels — never disguised as personal or unaffiliated groups.</w:t>
      </w:r>
    </w:p>
    <w:p>
      <w:pPr>
        <w:pStyle w:val="ListParagraph"/>
        <w:numPr>
          <w:ilvl w:val="0"/>
          <w:numId w:val="3"/>
        </w:numPr>
        <w:spacing w:after="90" w:line="270"/>
      </w:pPr>
      <w:r>
        <w:rPr>
          <w:color w:val="1A1A1A"/>
          <w:sz w:val="21"/>
          <w:szCs w:val="21"/>
        </w:rPr>
        <w:t xml:space="preserve">Ward Digital Organisers and volunteer influencers who identify themselves and the party openly when inviting people to join, consistent with WhatsApp's own terms of service.</w:t>
      </w:r>
    </w:p>
    <w:p>
      <w:pPr>
        <w:pStyle w:val="ListParagraph"/>
        <w:numPr>
          <w:ilvl w:val="0"/>
          <w:numId w:val="3"/>
        </w:numPr>
        <w:spacing w:after="90" w:line="270"/>
      </w:pPr>
      <w:r>
        <w:rPr>
          <w:color w:val="1A1A1A"/>
          <w:sz w:val="21"/>
          <w:szCs w:val="21"/>
        </w:rPr>
        <w:t xml:space="preserve">Partnership outreach to teachers' associations and school networks as a stakeholder engagement channel in their own capacity as civic educators and (where a school is a polling centre) as a legitimate point of civic-information contact — engaged openly as party partners, never used to insert content into groups without the group's or the members' knowledge that a political party is the source.</w:t>
      </w:r>
    </w:p>
    <w:p>
      <w:pPr>
        <w:pStyle w:val="ListParagraph"/>
        <w:numPr>
          <w:ilvl w:val="0"/>
          <w:numId w:val="3"/>
        </w:numPr>
        <w:spacing w:after="90" w:line="270"/>
      </w:pPr>
      <w:r>
        <w:rPr>
          <w:color w:val="1A1A1A"/>
          <w:sz w:val="21"/>
          <w:szCs w:val="21"/>
        </w:rPr>
        <w:t xml:space="preserve">Growth measured by consenting opt-ins per ward, not by volume of groups "penetrated."</w:t>
      </w:r>
    </w:p>
    <w:p>
      <w:pPr>
        <w:spacing w:after="160"/>
      </w:pPr>
    </w:p>
    <w:p>
      <w:pPr>
        <w:pStyle w:val="Heading1"/>
        <w:pBdr>
          <w:bottom w:val="single" w:color="1F3864" w:sz="6" w:space="4"/>
        </w:pBdr>
        <w:spacing w:after="160" w:before="360"/>
      </w:pPr>
      <w:r>
        <w:rPr>
          <w:b/>
          <w:bCs/>
          <w:color w:val="1F3864"/>
          <w:sz w:val="30"/>
          <w:szCs w:val="30"/>
        </w:rPr>
        <w:t xml:space="preserve">10. Candidate Recruitment and Party Growth Strategy</w:t>
      </w:r>
    </w:p>
    <w:p>
      <w:pPr>
        <w:pStyle w:val="Heading2"/>
        <w:spacing w:after="120" w:before="280"/>
      </w:pPr>
      <w:r>
        <w:rPr>
          <w:b/>
          <w:bCs/>
          <w:color w:val="2E5395"/>
          <w:sz w:val="24"/>
          <w:szCs w:val="24"/>
        </w:rPr>
        <w:t xml:space="preserve">10.1 Lawful sourcing principle</w:t>
      </w:r>
    </w:p>
    <w:p>
      <w:pPr>
        <w:spacing w:after="160" w:line="276"/>
      </w:pPr>
      <w:r>
        <w:rPr>
          <w:color w:val="1A1A1A"/>
          <w:sz w:val="21"/>
          <w:szCs w:val="21"/>
        </w:rPr>
        <w:t xml:space="preserve">Candidate identification and outreach draw exclusively on lawfully available sources — never on privately "mined" national voter, school-staff, chieftaincy, religious or official databases obtained outside a lawful public source or the data subject's own consent. The recruitment pipeline below achieves the same reach through public and lawful channels.</w:t>
      </w:r>
    </w:p>
    <w:p>
      <w:pPr>
        <w:pStyle w:val="Heading2"/>
        <w:spacing w:after="120" w:before="280"/>
      </w:pPr>
      <w:r>
        <w:rPr>
          <w:b/>
          <w:bCs/>
          <w:color w:val="2E5395"/>
          <w:sz w:val="24"/>
          <w:szCs w:val="24"/>
        </w:rPr>
        <w:t xml:space="preserve">10.2 Recruitment channels</w:t>
      </w:r>
    </w:p>
    <w:p>
      <w:pPr>
        <w:pStyle w:val="ListParagraph"/>
        <w:numPr>
          <w:ilvl w:val="0"/>
          <w:numId w:val="3"/>
        </w:numPr>
        <w:spacing w:after="90" w:line="270"/>
      </w:pPr>
      <w:r>
        <w:rPr>
          <w:color w:val="1A1A1A"/>
          <w:sz w:val="21"/>
          <w:szCs w:val="21"/>
        </w:rPr>
        <w:t xml:space="preserve">Public IEBC/ORPP historical candidate records (gazetted nomination and election results for 2013, 2017 and 2022) to identify and publicly re-contact former MCA, MNA and other aspirants — through the party's own outreach, using publicly listed or self-provided contact details, not a purchased or scraped contact list.</w:t>
      </w:r>
    </w:p>
    <w:p>
      <w:pPr>
        <w:pStyle w:val="ListParagraph"/>
        <w:numPr>
          <w:ilvl w:val="0"/>
          <w:numId w:val="3"/>
        </w:numPr>
        <w:spacing w:after="90" w:line="270"/>
      </w:pPr>
      <w:r>
        <w:rPr>
          <w:color w:val="1A1A1A"/>
          <w:sz w:val="21"/>
          <w:szCs w:val="21"/>
        </w:rPr>
        <w:t xml:space="preserve">An open, ward-by-ward candidate call-out via the OTT channels, USSD short-code, and party website, inviting self-nomination and community nomination.</w:t>
      </w:r>
    </w:p>
    <w:p>
      <w:pPr>
        <w:pStyle w:val="ListParagraph"/>
        <w:numPr>
          <w:ilvl w:val="0"/>
          <w:numId w:val="3"/>
        </w:numPr>
        <w:spacing w:after="90" w:line="270"/>
      </w:pPr>
      <w:r>
        <w:rPr>
          <w:color w:val="1A1A1A"/>
          <w:sz w:val="21"/>
          <w:szCs w:val="21"/>
        </w:rPr>
        <w:t xml:space="preserve">Partnership with civic-society, youth and professional associations who can refer credible candidates through their own consenting networks.</w:t>
      </w:r>
    </w:p>
    <w:p>
      <w:pPr>
        <w:pStyle w:val="ListParagraph"/>
        <w:numPr>
          <w:ilvl w:val="0"/>
          <w:numId w:val="3"/>
        </w:numPr>
        <w:spacing w:after="90" w:line="270"/>
      </w:pPr>
      <w:r>
        <w:rPr>
          <w:color w:val="1A1A1A"/>
          <w:sz w:val="21"/>
          <w:szCs w:val="21"/>
        </w:rPr>
        <w:t xml:space="preserve">A public candidate portal (Section 4.2) where any aspirant can register interest directly — the primary and lawful engine of "mass identification," replacing reliance on any externally sourced list.</w:t>
      </w:r>
    </w:p>
    <w:p>
      <w:pPr>
        <w:pStyle w:val="Heading2"/>
        <w:spacing w:after="120" w:before="280"/>
      </w:pPr>
      <w:r>
        <w:rPr>
          <w:b/>
          <w:bCs/>
          <w:color w:val="2E5395"/>
          <w:sz w:val="24"/>
          <w:szCs w:val="24"/>
        </w:rPr>
        <w:t xml:space="preserve">10.3 The 1,000-member recruitment duty — corrected design</w:t>
      </w:r>
    </w:p>
    <w:p>
      <w:pPr>
        <w:spacing w:after="160" w:line="276"/>
      </w:pPr>
      <w:r>
        <w:rPr>
          <w:color w:val="1A1A1A"/>
          <w:sz w:val="21"/>
          <w:szCs w:val="21"/>
        </w:rPr>
        <w:t xml:space="preserve">Consistent with the OSINT assessments reviewed, a flat 1,000-new-members-per-ward quota is unrealistic in dispersed rural wards and creates strong incentives for fabricated or duplicate registers. This blueprint recommends:</w:t>
      </w:r>
    </w:p>
    <w:p>
      <w:pPr>
        <w:pStyle w:val="ListParagraph"/>
        <w:numPr>
          <w:ilvl w:val="0"/>
          <w:numId w:val="3"/>
        </w:numPr>
        <w:spacing w:after="90" w:line="270"/>
      </w:pPr>
      <w:r>
        <w:rPr>
          <w:color w:val="1A1A1A"/>
          <w:sz w:val="21"/>
          <w:szCs w:val="21"/>
        </w:rPr>
        <w:t xml:space="preserve">A tiered target — roughly 1,000 in dense urban wards, 400–600 in dispersed rural wards — set in the certified nomination rules, not as an internal expectation.</w:t>
      </w:r>
    </w:p>
    <w:p>
      <w:pPr>
        <w:pStyle w:val="ListParagraph"/>
        <w:numPr>
          <w:ilvl w:val="0"/>
          <w:numId w:val="3"/>
        </w:numPr>
        <w:spacing w:after="90" w:line="270"/>
      </w:pPr>
      <w:r>
        <w:rPr>
          <w:color w:val="1A1A1A"/>
          <w:sz w:val="21"/>
          <w:szCs w:val="21"/>
        </w:rPr>
        <w:t xml:space="preserve">Every new member verified through the ORPP membership-verification standard, with the party's own system flagging duplicate or suspicious bulk registrations for human review before they count toward a candidate's quota.</w:t>
      </w:r>
    </w:p>
    <w:p>
      <w:pPr>
        <w:pStyle w:val="ListParagraph"/>
        <w:numPr>
          <w:ilvl w:val="0"/>
          <w:numId w:val="3"/>
        </w:numPr>
        <w:spacing w:after="90" w:line="270"/>
      </w:pPr>
      <w:r>
        <w:rPr>
          <w:color w:val="1A1A1A"/>
          <w:sz w:val="21"/>
          <w:szCs w:val="21"/>
        </w:rPr>
        <w:t xml:space="preserve">A quality score (unique identity, consent captured, ward match, contact verification) alongside the raw count, so quality — not volume alone — determines whether a candidate's duty is satisfied.</w:t>
      </w:r>
    </w:p>
    <w:p>
      <w:pPr>
        <w:spacing w:after="160"/>
      </w:pPr>
    </w:p>
    <w:p>
      <w:r>
        <w:br w:type="page"/>
      </w:r>
    </w:p>
    <w:p>
      <w:pPr>
        <w:pStyle w:val="Heading1"/>
        <w:pBdr>
          <w:bottom w:val="single" w:color="1F3864" w:sz="6" w:space="4"/>
        </w:pBdr>
        <w:spacing w:after="160" w:before="360"/>
      </w:pPr>
      <w:r>
        <w:rPr>
          <w:b/>
          <w:bCs/>
          <w:color w:val="1F3864"/>
          <w:sz w:val="30"/>
          <w:szCs w:val="30"/>
        </w:rPr>
        <w:t xml:space="preserve">11. Zero-Fee Nomination Policy and Compliance Path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50"/>
      </w:tblGrid>
      <w:tr>
        <w:trPr>
          <w:tblHeader/>
        </w:trPr>
        <w:tc>
          <w:tcPr>
            <w:tcW w:type="dxa" w:w="3200"/>
            <w:shd w:fill="1F3864" w:val="clear"/>
            <w:tcMar>
              <w:top w:type="dxa" w:w="90"/>
              <w:left w:type="dxa" w:w="110"/>
              <w:bottom w:type="dxa" w:w="90"/>
              <w:right w:type="dxa" w:w="110"/>
            </w:tcMar>
            <w:vAlign w:val="center"/>
          </w:tcPr>
          <w:p>
            <w:r>
              <w:rPr>
                <w:b/>
                <w:bCs/>
                <w:color w:val="FFFFFF"/>
                <w:sz w:val="19"/>
                <w:szCs w:val="19"/>
              </w:rPr>
              <w:t xml:space="preserve">Seat</w:t>
            </w:r>
          </w:p>
        </w:tc>
        <w:tc>
          <w:tcPr>
            <w:tcW w:type="dxa" w:w="2900"/>
            <w:shd w:fill="1F3864" w:val="clear"/>
            <w:tcMar>
              <w:top w:type="dxa" w:w="90"/>
              <w:left w:type="dxa" w:w="110"/>
              <w:bottom w:type="dxa" w:w="90"/>
              <w:right w:type="dxa" w:w="110"/>
            </w:tcMar>
            <w:vAlign w:val="center"/>
          </w:tcPr>
          <w:p>
            <w:r>
              <w:rPr>
                <w:b/>
                <w:bCs/>
                <w:color w:val="FFFFFF"/>
                <w:sz w:val="19"/>
                <w:szCs w:val="19"/>
              </w:rPr>
              <w:t xml:space="preserve">Nomination fee</w:t>
            </w:r>
          </w:p>
        </w:tc>
        <w:tc>
          <w:tcPr>
            <w:tcW w:type="dxa" w:w="3250"/>
            <w:shd w:fill="1F3864" w:val="clear"/>
            <w:tcMar>
              <w:top w:type="dxa" w:w="90"/>
              <w:left w:type="dxa" w:w="110"/>
              <w:bottom w:type="dxa" w:w="90"/>
              <w:right w:type="dxa" w:w="110"/>
            </w:tcMar>
            <w:vAlign w:val="center"/>
          </w:tcPr>
          <w:p>
            <w:r>
              <w:rPr>
                <w:b/>
                <w:bCs/>
                <w:color w:val="FFFFFF"/>
                <w:sz w:val="19"/>
                <w:szCs w:val="19"/>
              </w:rPr>
              <w:t xml:space="preserve">Condition</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MCA (all wards)</w:t>
            </w:r>
          </w:p>
        </w:tc>
        <w:tc>
          <w:tcPr>
            <w:tcW w:type="dxa" w:w="2900"/>
            <w:tcMar>
              <w:top w:type="dxa" w:w="90"/>
              <w:left w:type="dxa" w:w="110"/>
              <w:bottom w:type="dxa" w:w="90"/>
              <w:right w:type="dxa" w:w="110"/>
            </w:tcMar>
            <w:vAlign w:val="center"/>
          </w:tcPr>
          <w:p>
            <w:r>
              <w:rPr>
                <w:b w:val="false"/>
                <w:bCs w:val="false"/>
                <w:color w:val="1A1A1A"/>
                <w:sz w:val="19"/>
                <w:szCs w:val="19"/>
              </w:rPr>
              <w:t xml:space="preserve">Free</w:t>
            </w:r>
          </w:p>
        </w:tc>
        <w:tc>
          <w:tcPr>
            <w:tcW w:type="dxa" w:w="3250"/>
            <w:tcMar>
              <w:top w:type="dxa" w:w="90"/>
              <w:left w:type="dxa" w:w="110"/>
              <w:bottom w:type="dxa" w:w="90"/>
              <w:right w:type="dxa" w:w="110"/>
            </w:tcMar>
            <w:vAlign w:val="center"/>
          </w:tcPr>
          <w:p>
            <w:r>
              <w:rPr>
                <w:b w:val="false"/>
                <w:bCs w:val="false"/>
                <w:color w:val="1A1A1A"/>
                <w:sz w:val="19"/>
                <w:szCs w:val="19"/>
              </w:rPr>
              <w:t xml:space="preserve">Tiered membership-recruitment duty (Section 10.3)</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Any seat — verified Gen-Z candidate</w:t>
            </w:r>
          </w:p>
        </w:tc>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Free</w:t>
            </w:r>
          </w:p>
        </w:tc>
        <w:tc>
          <w:tcPr>
            <w:tcW w:type="dxa" w:w="3250"/>
            <w:shd w:fill="F4F6FA" w:val="clear"/>
            <w:tcMar>
              <w:top w:type="dxa" w:w="90"/>
              <w:left w:type="dxa" w:w="110"/>
              <w:bottom w:type="dxa" w:w="90"/>
              <w:right w:type="dxa" w:w="110"/>
            </w:tcMar>
            <w:vAlign w:val="center"/>
          </w:tcPr>
          <w:p>
            <w:r>
              <w:rPr>
                <w:b w:val="false"/>
                <w:bCs w:val="false"/>
                <w:color w:val="1A1A1A"/>
                <w:sz w:val="19"/>
                <w:szCs w:val="19"/>
              </w:rPr>
              <w:t xml:space="preserve">Objective, published age criterion; no other eligibility exclusion</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MNA</w:t>
            </w:r>
          </w:p>
        </w:tc>
        <w:tc>
          <w:tcPr>
            <w:tcW w:type="dxa" w:w="2900"/>
            <w:tcMar>
              <w:top w:type="dxa" w:w="90"/>
              <w:left w:type="dxa" w:w="110"/>
              <w:bottom w:type="dxa" w:w="90"/>
              <w:right w:type="dxa" w:w="110"/>
            </w:tcMar>
            <w:vAlign w:val="center"/>
          </w:tcPr>
          <w:p>
            <w:r>
              <w:rPr>
                <w:b w:val="false"/>
                <w:bCs w:val="false"/>
                <w:color w:val="1A1A1A"/>
                <w:sz w:val="19"/>
                <w:szCs w:val="19"/>
              </w:rPr>
              <w:t xml:space="preserve">Nominal (party-set)</w:t>
            </w:r>
          </w:p>
        </w:tc>
        <w:tc>
          <w:tcPr>
            <w:tcW w:type="dxa" w:w="3250"/>
            <w:tcMar>
              <w:top w:type="dxa" w:w="90"/>
              <w:left w:type="dxa" w:w="110"/>
              <w:bottom w:type="dxa" w:w="90"/>
              <w:right w:type="dxa" w:w="110"/>
            </w:tcMar>
            <w:vAlign w:val="center"/>
          </w:tcPr>
          <w:p>
            <w:r>
              <w:rPr>
                <w:b w:val="false"/>
                <w:bCs w:val="false"/>
                <w:color w:val="1A1A1A"/>
                <w:sz w:val="19"/>
                <w:szCs w:val="19"/>
              </w:rPr>
              <w:t xml:space="preserve">Recruitment duty; refundable logistics deposit recommended</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Senator / Woman Representative</w:t>
            </w:r>
          </w:p>
        </w:tc>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Nominal (party-set)</w:t>
            </w:r>
          </w:p>
        </w:tc>
        <w:tc>
          <w:tcPr>
            <w:tcW w:type="dxa" w:w="3250"/>
            <w:shd w:fill="F4F6FA" w:val="clear"/>
            <w:tcMar>
              <w:top w:type="dxa" w:w="90"/>
              <w:left w:type="dxa" w:w="110"/>
              <w:bottom w:type="dxa" w:w="90"/>
              <w:right w:type="dxa" w:w="110"/>
            </w:tcMar>
            <w:vAlign w:val="center"/>
          </w:tcPr>
          <w:p>
            <w:r>
              <w:rPr>
                <w:b w:val="false"/>
                <w:bCs w:val="false"/>
                <w:color w:val="1A1A1A"/>
                <w:sz w:val="19"/>
                <w:szCs w:val="19"/>
              </w:rPr>
              <w:t xml:space="preserve">County-apex eligibility and training requirement</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Governor</w:t>
            </w:r>
          </w:p>
        </w:tc>
        <w:tc>
          <w:tcPr>
            <w:tcW w:type="dxa" w:w="2900"/>
            <w:tcMar>
              <w:top w:type="dxa" w:w="90"/>
              <w:left w:type="dxa" w:w="110"/>
              <w:bottom w:type="dxa" w:w="90"/>
              <w:right w:type="dxa" w:w="110"/>
            </w:tcMar>
            <w:vAlign w:val="center"/>
          </w:tcPr>
          <w:p>
            <w:r>
              <w:rPr>
                <w:b w:val="false"/>
                <w:bCs w:val="false"/>
                <w:color w:val="1A1A1A"/>
                <w:sz w:val="19"/>
                <w:szCs w:val="19"/>
              </w:rPr>
              <w:t xml:space="preserve">Nominal (party-set), contested selectively</w:t>
            </w:r>
          </w:p>
        </w:tc>
        <w:tc>
          <w:tcPr>
            <w:tcW w:type="dxa" w:w="3250"/>
            <w:tcMar>
              <w:top w:type="dxa" w:w="90"/>
              <w:left w:type="dxa" w:w="110"/>
              <w:bottom w:type="dxa" w:w="90"/>
              <w:right w:type="dxa" w:w="110"/>
            </w:tcMar>
            <w:vAlign w:val="center"/>
          </w:tcPr>
          <w:p>
            <w:r>
              <w:rPr>
                <w:b w:val="false"/>
                <w:bCs w:val="false"/>
                <w:color w:val="1A1A1A"/>
                <w:sz w:val="19"/>
                <w:szCs w:val="19"/>
              </w:rPr>
              <w:t xml:space="preserve">Only in counties meeting an internal ward-organisation readiness threshold</w:t>
            </w:r>
          </w:p>
        </w:tc>
      </w:tr>
    </w:tbl>
    <w:p>
      <w:pPr>
        <w:spacing w:after="160" w:line="276"/>
      </w:pPr>
      <w:r>
        <w:rPr>
          <w:color w:val="1A1A1A"/>
          <w:sz w:val="21"/>
          <w:szCs w:val="21"/>
        </w:rPr>
        <w:t xml:space="preserve">Two conditions are treated as mandatory, not optional, before this policy is publicly announced:</w:t>
      </w:r>
    </w:p>
    <w:p>
      <w:pPr>
        <w:pStyle w:val="ListParagraph"/>
        <w:numPr>
          <w:ilvl w:val="0"/>
          <w:numId w:val="2"/>
        </w:numPr>
        <w:spacing w:after="90" w:line="270"/>
      </w:pPr>
      <w:r>
        <w:rPr>
          <w:color w:val="1A1A1A"/>
          <w:sz w:val="21"/>
          <w:szCs w:val="21"/>
        </w:rPr>
        <w:t xml:space="preserve">The free/tiered fee structure is written into certified Nomination Rules and submitted to ORPP and IEBC within the statutory timetable, so it cannot be legally challenged by a paying aspirant as an informal or inconsistent policy.</w:t>
      </w:r>
    </w:p>
    <w:p>
      <w:pPr>
        <w:pStyle w:val="ListParagraph"/>
        <w:numPr>
          <w:ilvl w:val="0"/>
          <w:numId w:val="2"/>
        </w:numPr>
        <w:spacing w:after="90" w:line="270"/>
      </w:pPr>
      <w:r>
        <w:rPr>
          <w:color w:val="1A1A1A"/>
          <w:sz w:val="21"/>
          <w:szCs w:val="21"/>
        </w:rPr>
        <w:t xml:space="preserve">The Gen-Z waiver criterion (a fixed birth-year cut-off or age-at-nomination threshold) is published in the rules before candidate recruitment opens — an undefined "Gen-Z" criterion invites disputes.</w:t>
      </w:r>
    </w:p>
    <w:p>
      <w:pPr>
        <w:spacing w:after="160"/>
      </w:pPr>
    </w:p>
    <w:p>
      <w:pPr>
        <w:pStyle w:val="Heading1"/>
        <w:pBdr>
          <w:bottom w:val="single" w:color="1F3864" w:sz="6" w:space="4"/>
        </w:pBdr>
        <w:spacing w:after="160" w:before="360"/>
      </w:pPr>
      <w:r>
        <w:rPr>
          <w:b/>
          <w:bCs/>
          <w:color w:val="1F3864"/>
          <w:sz w:val="30"/>
          <w:szCs w:val="30"/>
        </w:rPr>
        <w:t xml:space="preserve">12. Technology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90"/>
              <w:left w:type="dxa" w:w="110"/>
              <w:bottom w:type="dxa" w:w="90"/>
              <w:right w:type="dxa" w:w="110"/>
            </w:tcMar>
            <w:vAlign w:val="center"/>
          </w:tcPr>
          <w:p>
            <w:r>
              <w:rPr>
                <w:b/>
                <w:bCs/>
                <w:color w:val="FFFFFF"/>
                <w:sz w:val="19"/>
                <w:szCs w:val="19"/>
              </w:rPr>
              <w:t xml:space="preserve">Function</w:t>
            </w:r>
          </w:p>
        </w:tc>
        <w:tc>
          <w:tcPr>
            <w:tcW w:type="dxa" w:w="6450"/>
            <w:shd w:fill="1F3864" w:val="clear"/>
            <w:tcMar>
              <w:top w:type="dxa" w:w="90"/>
              <w:left w:type="dxa" w:w="110"/>
              <w:bottom w:type="dxa" w:w="90"/>
              <w:right w:type="dxa" w:w="110"/>
            </w:tcMar>
            <w:vAlign w:val="center"/>
          </w:tcPr>
          <w:p>
            <w:r>
              <w:rPr>
                <w:b/>
                <w:bCs/>
                <w:color w:val="FFFFFF"/>
                <w:sz w:val="19"/>
                <w:szCs w:val="19"/>
              </w:rPr>
              <w:t xml:space="preserve">Technology approach</w:t>
            </w:r>
          </w:p>
        </w:tc>
      </w:tr>
      <w:tr>
        <w:tc>
          <w:tcPr>
            <w:tcW w:type="dxa" w:w="2900"/>
            <w:tcMar>
              <w:top w:type="dxa" w:w="90"/>
              <w:left w:type="dxa" w:w="110"/>
              <w:bottom w:type="dxa" w:w="90"/>
              <w:right w:type="dxa" w:w="110"/>
            </w:tcMar>
            <w:vAlign w:val="center"/>
          </w:tcPr>
          <w:p>
            <w:r>
              <w:rPr>
                <w:b w:val="false"/>
                <w:bCs w:val="false"/>
                <w:color w:val="1A1A1A"/>
                <w:sz w:val="19"/>
                <w:szCs w:val="19"/>
              </w:rPr>
              <w:t xml:space="preserve">Access layer</w:t>
            </w:r>
          </w:p>
        </w:tc>
        <w:tc>
          <w:tcPr>
            <w:tcW w:type="dxa" w:w="6450"/>
            <w:tcMar>
              <w:top w:type="dxa" w:w="90"/>
              <w:left w:type="dxa" w:w="110"/>
              <w:bottom w:type="dxa" w:w="90"/>
              <w:right w:type="dxa" w:w="110"/>
            </w:tcMar>
            <w:vAlign w:val="center"/>
          </w:tcPr>
          <w:p>
            <w:r>
              <w:rPr>
                <w:b w:val="false"/>
                <w:bCs w:val="false"/>
                <w:color w:val="1A1A1A"/>
                <w:sz w:val="19"/>
                <w:szCs w:val="19"/>
              </w:rPr>
              <w:t xml:space="preserve">USSD (universal, feature-phone compatible) + progressive web/mobile app + WhatsApp</w:t>
            </w:r>
          </w:p>
        </w:tc>
      </w:tr>
      <w:tr>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Membership &amp; candidate management</w:t>
            </w:r>
          </w:p>
        </w:tc>
        <w:tc>
          <w:tcPr>
            <w:tcW w:type="dxa" w:w="6450"/>
            <w:shd w:fill="F4F6FA" w:val="clear"/>
            <w:tcMar>
              <w:top w:type="dxa" w:w="90"/>
              <w:left w:type="dxa" w:w="110"/>
              <w:bottom w:type="dxa" w:w="90"/>
              <w:right w:type="dxa" w:w="110"/>
            </w:tcMar>
            <w:vAlign w:val="center"/>
          </w:tcPr>
          <w:p>
            <w:r>
              <w:rPr>
                <w:b w:val="false"/>
                <w:bCs w:val="false"/>
                <w:color w:val="1A1A1A"/>
                <w:sz w:val="19"/>
                <w:szCs w:val="19"/>
              </w:rPr>
              <w:t xml:space="preserve">Cloud-hosted CRM with consent-based intake, ID/phone verification, role-based access</w:t>
            </w:r>
          </w:p>
        </w:tc>
      </w:tr>
      <w:tr>
        <w:tc>
          <w:tcPr>
            <w:tcW w:type="dxa" w:w="2900"/>
            <w:tcMar>
              <w:top w:type="dxa" w:w="90"/>
              <w:left w:type="dxa" w:w="110"/>
              <w:bottom w:type="dxa" w:w="90"/>
              <w:right w:type="dxa" w:w="110"/>
            </w:tcMar>
            <w:vAlign w:val="center"/>
          </w:tcPr>
          <w:p>
            <w:r>
              <w:rPr>
                <w:b w:val="false"/>
                <w:bCs w:val="false"/>
                <w:color w:val="1A1A1A"/>
                <w:sz w:val="19"/>
                <w:szCs w:val="19"/>
              </w:rPr>
              <w:t xml:space="preserve">Primaries &amp; voting integrity</w:t>
            </w:r>
          </w:p>
        </w:tc>
        <w:tc>
          <w:tcPr>
            <w:tcW w:type="dxa" w:w="6450"/>
            <w:tcMar>
              <w:top w:type="dxa" w:w="90"/>
              <w:left w:type="dxa" w:w="110"/>
              <w:bottom w:type="dxa" w:w="90"/>
              <w:right w:type="dxa" w:w="110"/>
            </w:tcMar>
            <w:vAlign w:val="center"/>
          </w:tcPr>
          <w:p>
            <w:r>
              <w:rPr>
                <w:b w:val="false"/>
                <w:bCs w:val="false"/>
                <w:color w:val="1A1A1A"/>
                <w:sz w:val="19"/>
                <w:szCs w:val="19"/>
              </w:rPr>
              <w:t xml:space="preserve">Permissioned blockchain audit ledger + independently audited voting application + offline/paper fallback</w:t>
            </w:r>
          </w:p>
        </w:tc>
      </w:tr>
      <w:tr>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Collaboration portal</w:t>
            </w:r>
          </w:p>
        </w:tc>
        <w:tc>
          <w:tcPr>
            <w:tcW w:type="dxa" w:w="6450"/>
            <w:shd w:fill="F4F6FA" w:val="clear"/>
            <w:tcMar>
              <w:top w:type="dxa" w:w="90"/>
              <w:left w:type="dxa" w:w="110"/>
              <w:bottom w:type="dxa" w:w="90"/>
              <w:right w:type="dxa" w:w="110"/>
            </w:tcMar>
            <w:vAlign w:val="center"/>
          </w:tcPr>
          <w:p>
            <w:r>
              <w:rPr>
                <w:b w:val="false"/>
                <w:bCs w:val="false"/>
                <w:color w:val="1A1A1A"/>
                <w:sz w:val="19"/>
                <w:szCs w:val="19"/>
              </w:rPr>
              <w:t xml:space="preserve">Secure, hierarchical web portal with MFA, encryption, immutable audit logs</w:t>
            </w:r>
          </w:p>
        </w:tc>
      </w:tr>
      <w:tr>
        <w:tc>
          <w:tcPr>
            <w:tcW w:type="dxa" w:w="2900"/>
            <w:tcMar>
              <w:top w:type="dxa" w:w="90"/>
              <w:left w:type="dxa" w:w="110"/>
              <w:bottom w:type="dxa" w:w="90"/>
              <w:right w:type="dxa" w:w="110"/>
            </w:tcMar>
            <w:vAlign w:val="center"/>
          </w:tcPr>
          <w:p>
            <w:r>
              <w:rPr>
                <w:b w:val="false"/>
                <w:bCs w:val="false"/>
                <w:color w:val="1A1A1A"/>
                <w:sz w:val="19"/>
                <w:szCs w:val="19"/>
              </w:rPr>
              <w:t xml:space="preserve">OTT streaming</w:t>
            </w:r>
          </w:p>
        </w:tc>
        <w:tc>
          <w:tcPr>
            <w:tcW w:type="dxa" w:w="6450"/>
            <w:tcMar>
              <w:top w:type="dxa" w:w="90"/>
              <w:left w:type="dxa" w:w="110"/>
              <w:bottom w:type="dxa" w:w="90"/>
              <w:right w:type="dxa" w:w="110"/>
            </w:tcMar>
            <w:vAlign w:val="center"/>
          </w:tcPr>
          <w:p>
            <w:r>
              <w:rPr>
                <w:b w:val="false"/>
                <w:bCs w:val="false"/>
                <w:color w:val="1A1A1A"/>
                <w:sz w:val="19"/>
                <w:szCs w:val="19"/>
              </w:rPr>
              <w:t xml:space="preserve">Cloud video/audio streaming with on-demand library, multi-language support</w:t>
            </w:r>
          </w:p>
        </w:tc>
      </w:tr>
      <w:tr>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Accountability data platform</w:t>
            </w:r>
          </w:p>
        </w:tc>
        <w:tc>
          <w:tcPr>
            <w:tcW w:type="dxa" w:w="6450"/>
            <w:shd w:fill="F4F6FA" w:val="clear"/>
            <w:tcMar>
              <w:top w:type="dxa" w:w="90"/>
              <w:left w:type="dxa" w:w="110"/>
              <w:bottom w:type="dxa" w:w="90"/>
              <w:right w:type="dxa" w:w="110"/>
            </w:tcMar>
            <w:vAlign w:val="center"/>
          </w:tcPr>
          <w:p>
            <w:r>
              <w:rPr>
                <w:b w:val="false"/>
                <w:bCs w:val="false"/>
                <w:color w:val="1A1A1A"/>
                <w:sz w:val="19"/>
                <w:szCs w:val="19"/>
              </w:rPr>
              <w:t xml:space="preserve">GIS mapping + public-document ingestion + AI-assisted, human-reviewed drafting</w:t>
            </w:r>
          </w:p>
        </w:tc>
      </w:tr>
      <w:tr>
        <w:tc>
          <w:tcPr>
            <w:tcW w:type="dxa" w:w="2900"/>
            <w:tcMar>
              <w:top w:type="dxa" w:w="90"/>
              <w:left w:type="dxa" w:w="110"/>
              <w:bottom w:type="dxa" w:w="90"/>
              <w:right w:type="dxa" w:w="110"/>
            </w:tcMar>
            <w:vAlign w:val="center"/>
          </w:tcPr>
          <w:p>
            <w:r>
              <w:rPr>
                <w:b w:val="false"/>
                <w:bCs w:val="false"/>
                <w:color w:val="1A1A1A"/>
                <w:sz w:val="19"/>
                <w:szCs w:val="19"/>
              </w:rPr>
              <w:t xml:space="preserve">Content &amp; communications AI</w:t>
            </w:r>
          </w:p>
        </w:tc>
        <w:tc>
          <w:tcPr>
            <w:tcW w:type="dxa" w:w="6450"/>
            <w:tcMar>
              <w:top w:type="dxa" w:w="90"/>
              <w:left w:type="dxa" w:w="110"/>
              <w:bottom w:type="dxa" w:w="90"/>
              <w:right w:type="dxa" w:w="110"/>
            </w:tcMar>
            <w:vAlign w:val="center"/>
          </w:tcPr>
          <w:p>
            <w:r>
              <w:rPr>
                <w:b w:val="false"/>
                <w:bCs w:val="false"/>
                <w:color w:val="1A1A1A"/>
                <w:sz w:val="19"/>
                <w:szCs w:val="19"/>
              </w:rPr>
              <w:t xml:space="preserve">i3 agentic-AI stack for drafting, translation, scheduling — human sign-off gated by content sensitivity</w:t>
            </w:r>
          </w:p>
        </w:tc>
      </w:tr>
      <w:tr>
        <w:tc>
          <w:tcPr>
            <w:tcW w:type="dxa" w:w="2900"/>
            <w:shd w:fill="F4F6FA" w:val="clear"/>
            <w:tcMar>
              <w:top w:type="dxa" w:w="90"/>
              <w:left w:type="dxa" w:w="110"/>
              <w:bottom w:type="dxa" w:w="90"/>
              <w:right w:type="dxa" w:w="110"/>
            </w:tcMar>
            <w:vAlign w:val="center"/>
          </w:tcPr>
          <w:p>
            <w:r>
              <w:rPr>
                <w:b w:val="false"/>
                <w:bCs w:val="false"/>
                <w:color w:val="1A1A1A"/>
                <w:sz w:val="19"/>
                <w:szCs w:val="19"/>
              </w:rPr>
              <w:t xml:space="preserve">Hosting &amp; data residency</w:t>
            </w:r>
          </w:p>
        </w:tc>
        <w:tc>
          <w:tcPr>
            <w:tcW w:type="dxa" w:w="6450"/>
            <w:shd w:fill="F4F6FA" w:val="clear"/>
            <w:tcMar>
              <w:top w:type="dxa" w:w="90"/>
              <w:left w:type="dxa" w:w="110"/>
              <w:bottom w:type="dxa" w:w="90"/>
              <w:right w:type="dxa" w:w="110"/>
            </w:tcMar>
            <w:vAlign w:val="center"/>
          </w:tcPr>
          <w:p>
            <w:r>
              <w:rPr>
                <w:b w:val="false"/>
                <w:bCs w:val="false"/>
                <w:color w:val="1A1A1A"/>
                <w:sz w:val="19"/>
                <w:szCs w:val="19"/>
              </w:rPr>
              <w:t xml:space="preserve">Kenyan-hosted infrastructure, encrypted at rest and in transit, defined retention/deletion schedule</w:t>
            </w:r>
          </w:p>
        </w:tc>
      </w:tr>
    </w:tbl>
    <w:p>
      <w:pPr>
        <w:spacing w:after="160"/>
      </w:pPr>
    </w:p>
    <w:p>
      <w:pPr>
        <w:pStyle w:val="Heading1"/>
        <w:pBdr>
          <w:bottom w:val="single" w:color="1F3864" w:sz="6" w:space="4"/>
        </w:pBdr>
        <w:spacing w:after="160" w:before="360"/>
      </w:pPr>
      <w:r>
        <w:rPr>
          <w:b/>
          <w:bCs/>
          <w:color w:val="1F3864"/>
          <w:sz w:val="30"/>
          <w:szCs w:val="30"/>
        </w:rPr>
        <w:t xml:space="preserve">13.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50"/>
      </w:tblGrid>
      <w:tr>
        <w:trPr>
          <w:tblHeader/>
        </w:trPr>
        <w:tc>
          <w:tcPr>
            <w:tcW w:type="dxa" w:w="3200"/>
            <w:shd w:fill="1F3864" w:val="clear"/>
            <w:tcMar>
              <w:top w:type="dxa" w:w="90"/>
              <w:left w:type="dxa" w:w="110"/>
              <w:bottom w:type="dxa" w:w="90"/>
              <w:right w:type="dxa" w:w="110"/>
            </w:tcMar>
            <w:vAlign w:val="center"/>
          </w:tcPr>
          <w:p>
            <w:r>
              <w:rPr>
                <w:b/>
                <w:bCs/>
                <w:color w:val="FFFFFF"/>
                <w:sz w:val="19"/>
                <w:szCs w:val="19"/>
              </w:rPr>
              <w:t xml:space="preserve">Risk</w:t>
            </w:r>
          </w:p>
        </w:tc>
        <w:tc>
          <w:tcPr>
            <w:tcW w:type="dxa" w:w="1400"/>
            <w:shd w:fill="1F3864" w:val="clear"/>
            <w:tcMar>
              <w:top w:type="dxa" w:w="90"/>
              <w:left w:type="dxa" w:w="110"/>
              <w:bottom w:type="dxa" w:w="90"/>
              <w:right w:type="dxa" w:w="110"/>
            </w:tcMar>
            <w:vAlign w:val="center"/>
          </w:tcPr>
          <w:p>
            <w:r>
              <w:rPr>
                <w:b/>
                <w:bCs/>
                <w:color w:val="FFFFFF"/>
                <w:sz w:val="19"/>
                <w:szCs w:val="19"/>
              </w:rPr>
              <w:t xml:space="preserve">Impact</w:t>
            </w:r>
          </w:p>
        </w:tc>
        <w:tc>
          <w:tcPr>
            <w:tcW w:type="dxa" w:w="4750"/>
            <w:shd w:fill="1F3864" w:val="clear"/>
            <w:tcMar>
              <w:top w:type="dxa" w:w="90"/>
              <w:left w:type="dxa" w:w="110"/>
              <w:bottom w:type="dxa" w:w="90"/>
              <w:right w:type="dxa" w:w="110"/>
            </w:tcMar>
            <w:vAlign w:val="center"/>
          </w:tcPr>
          <w:p>
            <w:r>
              <w:rPr>
                <w:b/>
                <w:bCs/>
                <w:color w:val="FFFFFF"/>
                <w:sz w:val="19"/>
                <w:szCs w:val="19"/>
              </w:rPr>
              <w:t xml:space="preserve">Mitigation</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Fabricated/duplicate ward memberships</w:t>
            </w:r>
          </w:p>
        </w:tc>
        <w:tc>
          <w:tcPr>
            <w:tcW w:type="dxa" w:w="1400"/>
            <w:tcMar>
              <w:top w:type="dxa" w:w="90"/>
              <w:left w:type="dxa" w:w="110"/>
              <w:bottom w:type="dxa" w:w="90"/>
              <w:right w:type="dxa" w:w="110"/>
            </w:tcMar>
            <w:vAlign w:val="center"/>
          </w:tcPr>
          <w:p>
            <w:r>
              <w:rPr>
                <w:b w:val="false"/>
                <w:bCs w:val="false"/>
                <w:color w:val="1A1A1A"/>
                <w:sz w:val="19"/>
                <w:szCs w:val="19"/>
              </w:rPr>
              <w:t xml:space="preserve">High</w:t>
            </w:r>
          </w:p>
        </w:tc>
        <w:tc>
          <w:tcPr>
            <w:tcW w:type="dxa" w:w="4750"/>
            <w:tcMar>
              <w:top w:type="dxa" w:w="90"/>
              <w:left w:type="dxa" w:w="110"/>
              <w:bottom w:type="dxa" w:w="90"/>
              <w:right w:type="dxa" w:w="110"/>
            </w:tcMar>
            <w:vAlign w:val="center"/>
          </w:tcPr>
          <w:p>
            <w:r>
              <w:rPr>
                <w:b w:val="false"/>
                <w:bCs w:val="false"/>
                <w:color w:val="1A1A1A"/>
                <w:sz w:val="19"/>
                <w:szCs w:val="19"/>
              </w:rPr>
              <w:t xml:space="preserve">ID/consent verification, deduplication, tiered targets, ORPP-standard sampling audits</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Digital primary compromise or disputed result</w:t>
            </w:r>
          </w:p>
        </w:tc>
        <w:tc>
          <w:tcPr>
            <w:tcW w:type="dxa" w:w="1400"/>
            <w:shd w:fill="F4F6FA" w:val="clear"/>
            <w:tcMar>
              <w:top w:type="dxa" w:w="90"/>
              <w:left w:type="dxa" w:w="110"/>
              <w:bottom w:type="dxa" w:w="90"/>
              <w:right w:type="dxa" w:w="110"/>
            </w:tcMar>
            <w:vAlign w:val="center"/>
          </w:tcPr>
          <w:p>
            <w:r>
              <w:rPr>
                <w:b w:val="false"/>
                <w:bCs w:val="false"/>
                <w:color w:val="1A1A1A"/>
                <w:sz w:val="19"/>
                <w:szCs w:val="19"/>
              </w:rPr>
              <w:t xml:space="preserve">Very High</w:t>
            </w:r>
          </w:p>
        </w:tc>
        <w:tc>
          <w:tcPr>
            <w:tcW w:type="dxa" w:w="4750"/>
            <w:shd w:fill="F4F6FA" w:val="clear"/>
            <w:tcMar>
              <w:top w:type="dxa" w:w="90"/>
              <w:left w:type="dxa" w:w="110"/>
              <w:bottom w:type="dxa" w:w="90"/>
              <w:right w:type="dxa" w:w="110"/>
            </w:tcMar>
            <w:vAlign w:val="center"/>
          </w:tcPr>
          <w:p>
            <w:r>
              <w:rPr>
                <w:b w:val="false"/>
                <w:bCs w:val="false"/>
                <w:color w:val="1A1A1A"/>
                <w:sz w:val="19"/>
                <w:szCs w:val="19"/>
              </w:rPr>
              <w:t xml:space="preserve">Permissioned blockchain audit trail, independent security audit, MFA, offline fallback</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Unlawful use of externally sourced personal data</w:t>
            </w:r>
          </w:p>
        </w:tc>
        <w:tc>
          <w:tcPr>
            <w:tcW w:type="dxa" w:w="1400"/>
            <w:tcMar>
              <w:top w:type="dxa" w:w="90"/>
              <w:left w:type="dxa" w:w="110"/>
              <w:bottom w:type="dxa" w:w="90"/>
              <w:right w:type="dxa" w:w="110"/>
            </w:tcMar>
            <w:vAlign w:val="center"/>
          </w:tcPr>
          <w:p>
            <w:r>
              <w:rPr>
                <w:b w:val="false"/>
                <w:bCs w:val="false"/>
                <w:color w:val="1A1A1A"/>
                <w:sz w:val="19"/>
                <w:szCs w:val="19"/>
              </w:rPr>
              <w:t xml:space="preserve">Very High</w:t>
            </w:r>
          </w:p>
        </w:tc>
        <w:tc>
          <w:tcPr>
            <w:tcW w:type="dxa" w:w="4750"/>
            <w:tcMar>
              <w:top w:type="dxa" w:w="90"/>
              <w:left w:type="dxa" w:w="110"/>
              <w:bottom w:type="dxa" w:w="90"/>
              <w:right w:type="dxa" w:w="110"/>
            </w:tcMar>
            <w:vAlign w:val="center"/>
          </w:tcPr>
          <w:p>
            <w:r>
              <w:rPr>
                <w:b w:val="false"/>
                <w:bCs w:val="false"/>
                <w:color w:val="1A1A1A"/>
                <w:sz w:val="19"/>
                <w:szCs w:val="19"/>
              </w:rPr>
              <w:t xml:space="preserve">Hard policy: lawful/consented sources only; DPO sign-off on every data source before use</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Defamation from accountability content</w:t>
            </w:r>
          </w:p>
        </w:tc>
        <w:tc>
          <w:tcPr>
            <w:tcW w:type="dxa" w:w="1400"/>
            <w:shd w:fill="F4F6FA" w:val="clear"/>
            <w:tcMar>
              <w:top w:type="dxa" w:w="90"/>
              <w:left w:type="dxa" w:w="110"/>
              <w:bottom w:type="dxa" w:w="90"/>
              <w:right w:type="dxa" w:w="110"/>
            </w:tcMar>
            <w:vAlign w:val="center"/>
          </w:tcPr>
          <w:p>
            <w:r>
              <w:rPr>
                <w:b w:val="false"/>
                <w:bCs w:val="false"/>
                <w:color w:val="1A1A1A"/>
                <w:sz w:val="19"/>
                <w:szCs w:val="19"/>
              </w:rPr>
              <w:t xml:space="preserve">High</w:t>
            </w:r>
          </w:p>
        </w:tc>
        <w:tc>
          <w:tcPr>
            <w:tcW w:type="dxa" w:w="4750"/>
            <w:shd w:fill="F4F6FA" w:val="clear"/>
            <w:tcMar>
              <w:top w:type="dxa" w:w="90"/>
              <w:left w:type="dxa" w:w="110"/>
              <w:bottom w:type="dxa" w:w="90"/>
              <w:right w:type="dxa" w:w="110"/>
            </w:tcMar>
            <w:vAlign w:val="center"/>
          </w:tcPr>
          <w:p>
            <w:r>
              <w:rPr>
                <w:b w:val="false"/>
                <w:bCs w:val="false"/>
                <w:color w:val="1A1A1A"/>
                <w:sz w:val="19"/>
                <w:szCs w:val="19"/>
              </w:rPr>
              <w:t xml:space="preserve">Sourced-figures-only standard, legal review queue, right-of-reply before publication naming officials</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Synthetic-voice or AI content mistaken for a real personal message</w:t>
            </w:r>
          </w:p>
        </w:tc>
        <w:tc>
          <w:tcPr>
            <w:tcW w:type="dxa" w:w="1400"/>
            <w:tcMar>
              <w:top w:type="dxa" w:w="90"/>
              <w:left w:type="dxa" w:w="110"/>
              <w:bottom w:type="dxa" w:w="90"/>
              <w:right w:type="dxa" w:w="110"/>
            </w:tcMar>
            <w:vAlign w:val="center"/>
          </w:tcPr>
          <w:p>
            <w:r>
              <w:rPr>
                <w:b w:val="false"/>
                <w:bCs w:val="false"/>
                <w:color w:val="1A1A1A"/>
                <w:sz w:val="19"/>
                <w:szCs w:val="19"/>
              </w:rPr>
              <w:t xml:space="preserve">High</w:t>
            </w:r>
          </w:p>
        </w:tc>
        <w:tc>
          <w:tcPr>
            <w:tcW w:type="dxa" w:w="4750"/>
            <w:tcMar>
              <w:top w:type="dxa" w:w="90"/>
              <w:left w:type="dxa" w:w="110"/>
              <w:bottom w:type="dxa" w:w="90"/>
              <w:right w:type="dxa" w:w="110"/>
            </w:tcMar>
            <w:vAlign w:val="center"/>
          </w:tcPr>
          <w:p>
            <w:r>
              <w:rPr>
                <w:b w:val="false"/>
                <w:bCs w:val="false"/>
                <w:color w:val="1A1A1A"/>
                <w:sz w:val="19"/>
                <w:szCs w:val="19"/>
              </w:rPr>
              <w:t xml:space="preserve">No cloning of real individuals' voices; mandatory AI-assisted-content disclosure on any automated call/message</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Internal rule contradiction (fee schedule vs zero-fee promise)</w:t>
            </w:r>
          </w:p>
        </w:tc>
        <w:tc>
          <w:tcPr>
            <w:tcW w:type="dxa" w:w="1400"/>
            <w:shd w:fill="F4F6FA" w:val="clear"/>
            <w:tcMar>
              <w:top w:type="dxa" w:w="90"/>
              <w:left w:type="dxa" w:w="110"/>
              <w:bottom w:type="dxa" w:w="90"/>
              <w:right w:type="dxa" w:w="110"/>
            </w:tcMar>
            <w:vAlign w:val="center"/>
          </w:tcPr>
          <w:p>
            <w:r>
              <w:rPr>
                <w:b w:val="false"/>
                <w:bCs w:val="false"/>
                <w:color w:val="1A1A1A"/>
                <w:sz w:val="19"/>
                <w:szCs w:val="19"/>
              </w:rPr>
              <w:t xml:space="preserve">High</w:t>
            </w:r>
          </w:p>
        </w:tc>
        <w:tc>
          <w:tcPr>
            <w:tcW w:type="dxa" w:w="4750"/>
            <w:shd w:fill="F4F6FA" w:val="clear"/>
            <w:tcMar>
              <w:top w:type="dxa" w:w="90"/>
              <w:left w:type="dxa" w:w="110"/>
              <w:bottom w:type="dxa" w:w="90"/>
              <w:right w:type="dxa" w:w="110"/>
            </w:tcMar>
            <w:vAlign w:val="center"/>
          </w:tcPr>
          <w:p>
            <w:r>
              <w:rPr>
                <w:b w:val="false"/>
                <w:bCs w:val="false"/>
                <w:color w:val="1A1A1A"/>
                <w:sz w:val="19"/>
                <w:szCs w:val="19"/>
              </w:rPr>
              <w:t xml:space="preserve">Certified nomination rules published before public announcement; no informal fee promises</w:t>
            </w:r>
          </w:p>
        </w:tc>
      </w:tr>
      <w:tr>
        <w:tc>
          <w:tcPr>
            <w:tcW w:type="dxa" w:w="3200"/>
            <w:tcMar>
              <w:top w:type="dxa" w:w="90"/>
              <w:left w:type="dxa" w:w="110"/>
              <w:bottom w:type="dxa" w:w="90"/>
              <w:right w:type="dxa" w:w="110"/>
            </w:tcMar>
            <w:vAlign w:val="center"/>
          </w:tcPr>
          <w:p>
            <w:r>
              <w:rPr>
                <w:b w:val="false"/>
                <w:bCs w:val="false"/>
                <w:color w:val="1A1A1A"/>
                <w:sz w:val="19"/>
                <w:szCs w:val="19"/>
              </w:rPr>
              <w:t xml:space="preserve">Over-centralisation weakening ward autonomy</w:t>
            </w:r>
          </w:p>
        </w:tc>
        <w:tc>
          <w:tcPr>
            <w:tcW w:type="dxa" w:w="1400"/>
            <w:tcMar>
              <w:top w:type="dxa" w:w="90"/>
              <w:left w:type="dxa" w:w="110"/>
              <w:bottom w:type="dxa" w:w="90"/>
              <w:right w:type="dxa" w:w="110"/>
            </w:tcMar>
            <w:vAlign w:val="center"/>
          </w:tcPr>
          <w:p>
            <w:r>
              <w:rPr>
                <w:b w:val="false"/>
                <w:bCs w:val="false"/>
                <w:color w:val="1A1A1A"/>
                <w:sz w:val="19"/>
                <w:szCs w:val="19"/>
              </w:rPr>
              <w:t xml:space="preserve">Medium</w:t>
            </w:r>
          </w:p>
        </w:tc>
        <w:tc>
          <w:tcPr>
            <w:tcW w:type="dxa" w:w="4750"/>
            <w:tcMar>
              <w:top w:type="dxa" w:w="90"/>
              <w:left w:type="dxa" w:w="110"/>
              <w:bottom w:type="dxa" w:w="90"/>
              <w:right w:type="dxa" w:w="110"/>
            </w:tcMar>
            <w:vAlign w:val="center"/>
          </w:tcPr>
          <w:p>
            <w:r>
              <w:rPr>
                <w:b w:val="false"/>
                <w:bCs w:val="false"/>
                <w:color w:val="1A1A1A"/>
                <w:sz w:val="19"/>
                <w:szCs w:val="19"/>
              </w:rPr>
              <w:t xml:space="preserve">County/ward decision authority preserved in the hierarchy; national tier coordinates, does not command</w:t>
            </w:r>
          </w:p>
        </w:tc>
      </w:tr>
      <w:tr>
        <w:tc>
          <w:tcPr>
            <w:tcW w:type="dxa" w:w="3200"/>
            <w:shd w:fill="F4F6FA" w:val="clear"/>
            <w:tcMar>
              <w:top w:type="dxa" w:w="90"/>
              <w:left w:type="dxa" w:w="110"/>
              <w:bottom w:type="dxa" w:w="90"/>
              <w:right w:type="dxa" w:w="110"/>
            </w:tcMar>
            <w:vAlign w:val="center"/>
          </w:tcPr>
          <w:p>
            <w:r>
              <w:rPr>
                <w:b w:val="false"/>
                <w:bCs w:val="false"/>
                <w:color w:val="1A1A1A"/>
                <w:sz w:val="19"/>
                <w:szCs w:val="19"/>
              </w:rPr>
              <w:t xml:space="preserve">Technology outage on primary day</w:t>
            </w:r>
          </w:p>
        </w:tc>
        <w:tc>
          <w:tcPr>
            <w:tcW w:type="dxa" w:w="1400"/>
            <w:shd w:fill="F4F6FA" w:val="clear"/>
            <w:tcMar>
              <w:top w:type="dxa" w:w="90"/>
              <w:left w:type="dxa" w:w="110"/>
              <w:bottom w:type="dxa" w:w="90"/>
              <w:right w:type="dxa" w:w="110"/>
            </w:tcMar>
            <w:vAlign w:val="center"/>
          </w:tcPr>
          <w:p>
            <w:r>
              <w:rPr>
                <w:b w:val="false"/>
                <w:bCs w:val="false"/>
                <w:color w:val="1A1A1A"/>
                <w:sz w:val="19"/>
                <w:szCs w:val="19"/>
              </w:rPr>
              <w:t xml:space="preserve">High</w:t>
            </w:r>
          </w:p>
        </w:tc>
        <w:tc>
          <w:tcPr>
            <w:tcW w:type="dxa" w:w="4750"/>
            <w:shd w:fill="F4F6FA" w:val="clear"/>
            <w:tcMar>
              <w:top w:type="dxa" w:w="90"/>
              <w:left w:type="dxa" w:w="110"/>
              <w:bottom w:type="dxa" w:w="90"/>
              <w:right w:type="dxa" w:w="110"/>
            </w:tcMar>
            <w:vAlign w:val="center"/>
          </w:tcPr>
          <w:p>
            <w:r>
              <w:rPr>
                <w:b w:val="false"/>
                <w:bCs w:val="false"/>
                <w:color w:val="1A1A1A"/>
                <w:sz w:val="19"/>
                <w:szCs w:val="19"/>
              </w:rPr>
              <w:t xml:space="preserve">Multi-zone backups, tested disaster recovery, pre-built offline/paper fallback per ward</w:t>
            </w:r>
          </w:p>
        </w:tc>
      </w:tr>
    </w:tbl>
    <w:p>
      <w:pPr>
        <w:spacing w:after="160"/>
      </w:pPr>
    </w:p>
    <w:p>
      <w:r>
        <w:br w:type="page"/>
      </w:r>
    </w:p>
    <w:p>
      <w:pPr>
        <w:pStyle w:val="Heading1"/>
        <w:pBdr>
          <w:bottom w:val="single" w:color="1F3864" w:sz="6" w:space="4"/>
        </w:pBdr>
        <w:spacing w:after="160" w:before="360"/>
      </w:pPr>
      <w:r>
        <w:rPr>
          <w:b/>
          <w:bCs/>
          <w:color w:val="1F3864"/>
          <w:sz w:val="30"/>
          <w:szCs w:val="30"/>
        </w:rPr>
        <w:t xml:space="preserve">14.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50"/>
      </w:tblGrid>
      <w:tr>
        <w:trPr>
          <w:tblHeader/>
        </w:trPr>
        <w:tc>
          <w:tcPr>
            <w:tcW w:type="dxa" w:w="1900"/>
            <w:shd w:fill="1F3864" w:val="clear"/>
            <w:tcMar>
              <w:top w:type="dxa" w:w="90"/>
              <w:left w:type="dxa" w:w="110"/>
              <w:bottom w:type="dxa" w:w="90"/>
              <w:right w:type="dxa" w:w="110"/>
            </w:tcMar>
            <w:vAlign w:val="center"/>
          </w:tcPr>
          <w:p>
            <w:r>
              <w:rPr>
                <w:b/>
                <w:bCs/>
                <w:color w:val="FFFFFF"/>
                <w:sz w:val="19"/>
                <w:szCs w:val="19"/>
              </w:rPr>
              <w:t xml:space="preserve">Window</w:t>
            </w:r>
          </w:p>
        </w:tc>
        <w:tc>
          <w:tcPr>
            <w:tcW w:type="dxa" w:w="2600"/>
            <w:shd w:fill="1F3864" w:val="clear"/>
            <w:tcMar>
              <w:top w:type="dxa" w:w="90"/>
              <w:left w:type="dxa" w:w="110"/>
              <w:bottom w:type="dxa" w:w="90"/>
              <w:right w:type="dxa" w:w="110"/>
            </w:tcMar>
            <w:vAlign w:val="center"/>
          </w:tcPr>
          <w:p>
            <w:r>
              <w:rPr>
                <w:b/>
                <w:bCs/>
                <w:color w:val="FFFFFF"/>
                <w:sz w:val="19"/>
                <w:szCs w:val="19"/>
              </w:rPr>
              <w:t xml:space="preserve">Focus</w:t>
            </w:r>
          </w:p>
        </w:tc>
        <w:tc>
          <w:tcPr>
            <w:tcW w:type="dxa" w:w="4850"/>
            <w:shd w:fill="1F3864" w:val="clear"/>
            <w:tcMar>
              <w:top w:type="dxa" w:w="90"/>
              <w:left w:type="dxa" w:w="110"/>
              <w:bottom w:type="dxa" w:w="90"/>
              <w:right w:type="dxa" w:w="110"/>
            </w:tcMar>
            <w:vAlign w:val="center"/>
          </w:tcPr>
          <w:p>
            <w:r>
              <w:rPr>
                <w:b/>
                <w:bCs/>
                <w:color w:val="FFFFFF"/>
                <w:sz w:val="19"/>
                <w:szCs w:val="19"/>
              </w:rPr>
              <w:t xml:space="preserve">Key deliverables</w:t>
            </w:r>
          </w:p>
        </w:tc>
      </w:tr>
      <w:tr>
        <w:tc>
          <w:tcPr>
            <w:tcW w:type="dxa" w:w="1900"/>
            <w:tcMar>
              <w:top w:type="dxa" w:w="90"/>
              <w:left w:type="dxa" w:w="110"/>
              <w:bottom w:type="dxa" w:w="90"/>
              <w:right w:type="dxa" w:w="110"/>
            </w:tcMar>
            <w:vAlign w:val="center"/>
          </w:tcPr>
          <w:p>
            <w:r>
              <w:rPr>
                <w:b w:val="false"/>
                <w:bCs w:val="false"/>
                <w:color w:val="1A1A1A"/>
                <w:sz w:val="19"/>
                <w:szCs w:val="19"/>
              </w:rPr>
              <w:t xml:space="preserve">Sep–Oct 2026</w:t>
            </w:r>
          </w:p>
        </w:tc>
        <w:tc>
          <w:tcPr>
            <w:tcW w:type="dxa" w:w="2600"/>
            <w:tcMar>
              <w:top w:type="dxa" w:w="90"/>
              <w:left w:type="dxa" w:w="110"/>
              <w:bottom w:type="dxa" w:w="90"/>
              <w:right w:type="dxa" w:w="110"/>
            </w:tcMar>
            <w:vAlign w:val="center"/>
          </w:tcPr>
          <w:p>
            <w:r>
              <w:rPr>
                <w:b w:val="false"/>
                <w:bCs w:val="false"/>
                <w:color w:val="1A1A1A"/>
                <w:sz w:val="19"/>
                <w:szCs w:val="19"/>
              </w:rPr>
              <w:t xml:space="preserve">Governance &amp; legal foundation</w:t>
            </w:r>
          </w:p>
        </w:tc>
        <w:tc>
          <w:tcPr>
            <w:tcW w:type="dxa" w:w="4850"/>
            <w:tcMar>
              <w:top w:type="dxa" w:w="90"/>
              <w:left w:type="dxa" w:w="110"/>
              <w:bottom w:type="dxa" w:w="90"/>
              <w:right w:type="dxa" w:w="110"/>
            </w:tcMar>
            <w:vAlign w:val="center"/>
          </w:tcPr>
          <w:p>
            <w:r>
              <w:rPr>
                <w:b w:val="false"/>
                <w:bCs w:val="false"/>
                <w:color w:val="1A1A1A"/>
                <w:sz w:val="19"/>
                <w:szCs w:val="19"/>
              </w:rPr>
              <w:t xml:space="preserve">Nomination-rule drafting; Election Board and Compliance Committee established; DPO appointed; governance register published</w:t>
            </w:r>
          </w:p>
        </w:tc>
      </w:tr>
      <w:tr>
        <w:tc>
          <w:tcPr>
            <w:tcW w:type="dxa" w:w="1900"/>
            <w:shd w:fill="F4F6FA" w:val="clear"/>
            <w:tcMar>
              <w:top w:type="dxa" w:w="90"/>
              <w:left w:type="dxa" w:w="110"/>
              <w:bottom w:type="dxa" w:w="90"/>
              <w:right w:type="dxa" w:w="110"/>
            </w:tcMar>
            <w:vAlign w:val="center"/>
          </w:tcPr>
          <w:p>
            <w:r>
              <w:rPr>
                <w:b w:val="false"/>
                <w:bCs w:val="false"/>
                <w:color w:val="1A1A1A"/>
                <w:sz w:val="19"/>
                <w:szCs w:val="19"/>
              </w:rPr>
              <w:t xml:space="preserve">Oct–Nov 2026</w:t>
            </w:r>
          </w:p>
        </w:tc>
        <w:tc>
          <w:tcPr>
            <w:tcW w:type="dxa" w:w="2600"/>
            <w:shd w:fill="F4F6FA" w:val="clear"/>
            <w:tcMar>
              <w:top w:type="dxa" w:w="90"/>
              <w:left w:type="dxa" w:w="110"/>
              <w:bottom w:type="dxa" w:w="90"/>
              <w:right w:type="dxa" w:w="110"/>
            </w:tcMar>
            <w:vAlign w:val="center"/>
          </w:tcPr>
          <w:p>
            <w:r>
              <w:rPr>
                <w:b w:val="false"/>
                <w:bCs w:val="false"/>
                <w:color w:val="1A1A1A"/>
                <w:sz w:val="19"/>
                <w:szCs w:val="19"/>
              </w:rPr>
              <w:t xml:space="preserve">Certified rules &amp; digital foundation</w:t>
            </w:r>
          </w:p>
        </w:tc>
        <w:tc>
          <w:tcPr>
            <w:tcW w:type="dxa" w:w="4850"/>
            <w:shd w:fill="F4F6FA" w:val="clear"/>
            <w:tcMar>
              <w:top w:type="dxa" w:w="90"/>
              <w:left w:type="dxa" w:w="110"/>
              <w:bottom w:type="dxa" w:w="90"/>
              <w:right w:type="dxa" w:w="110"/>
            </w:tcMar>
            <w:vAlign w:val="center"/>
          </w:tcPr>
          <w:p>
            <w:r>
              <w:rPr>
                <w:b w:val="false"/>
                <w:bCs w:val="false"/>
                <w:color w:val="1A1A1A"/>
                <w:sz w:val="19"/>
                <w:szCs w:val="19"/>
              </w:rPr>
              <w:t xml:space="preserve">Nomination rules certified by ORPP and filed with IEBC; membership CRM and candidate portal launched; USSD short-code live</w:t>
            </w:r>
          </w:p>
        </w:tc>
      </w:tr>
      <w:tr>
        <w:tc>
          <w:tcPr>
            <w:tcW w:type="dxa" w:w="1900"/>
            <w:tcMar>
              <w:top w:type="dxa" w:w="90"/>
              <w:left w:type="dxa" w:w="110"/>
              <w:bottom w:type="dxa" w:w="90"/>
              <w:right w:type="dxa" w:w="110"/>
            </w:tcMar>
            <w:vAlign w:val="center"/>
          </w:tcPr>
          <w:p>
            <w:r>
              <w:rPr>
                <w:b w:val="false"/>
                <w:bCs w:val="false"/>
                <w:color w:val="1A1A1A"/>
                <w:sz w:val="19"/>
                <w:szCs w:val="19"/>
              </w:rPr>
              <w:t xml:space="preserve">Nov 2026–Jan 2027</w:t>
            </w:r>
          </w:p>
        </w:tc>
        <w:tc>
          <w:tcPr>
            <w:tcW w:type="dxa" w:w="2600"/>
            <w:tcMar>
              <w:top w:type="dxa" w:w="90"/>
              <w:left w:type="dxa" w:w="110"/>
              <w:bottom w:type="dxa" w:w="90"/>
              <w:right w:type="dxa" w:w="110"/>
            </w:tcMar>
            <w:vAlign w:val="center"/>
          </w:tcPr>
          <w:p>
            <w:r>
              <w:rPr>
                <w:b w:val="false"/>
                <w:bCs w:val="false"/>
                <w:color w:val="1A1A1A"/>
                <w:sz w:val="19"/>
                <w:szCs w:val="19"/>
              </w:rPr>
              <w:t xml:space="preserve">Platform build &amp; pilot</w:t>
            </w:r>
          </w:p>
        </w:tc>
        <w:tc>
          <w:tcPr>
            <w:tcW w:type="dxa" w:w="4850"/>
            <w:tcMar>
              <w:top w:type="dxa" w:w="90"/>
              <w:left w:type="dxa" w:w="110"/>
              <w:bottom w:type="dxa" w:w="90"/>
              <w:right w:type="dxa" w:w="110"/>
            </w:tcMar>
            <w:vAlign w:val="center"/>
          </w:tcPr>
          <w:p>
            <w:r>
              <w:rPr>
                <w:b w:val="false"/>
                <w:bCs w:val="false"/>
                <w:color w:val="1A1A1A"/>
                <w:sz w:val="19"/>
                <w:szCs w:val="19"/>
              </w:rPr>
              <w:t xml:space="preserve">Collaboration portal live; blockchain primaries engine piloted in a small number of wards; OTT platform soft-launch (policy + news channels)</w:t>
            </w:r>
          </w:p>
        </w:tc>
      </w:tr>
      <w:tr>
        <w:tc>
          <w:tcPr>
            <w:tcW w:type="dxa" w:w="1900"/>
            <w:shd w:fill="F4F6FA" w:val="clear"/>
            <w:tcMar>
              <w:top w:type="dxa" w:w="90"/>
              <w:left w:type="dxa" w:w="110"/>
              <w:bottom w:type="dxa" w:w="90"/>
              <w:right w:type="dxa" w:w="110"/>
            </w:tcMar>
            <w:vAlign w:val="center"/>
          </w:tcPr>
          <w:p>
            <w:r>
              <w:rPr>
                <w:b w:val="false"/>
                <w:bCs w:val="false"/>
                <w:color w:val="1A1A1A"/>
                <w:sz w:val="19"/>
                <w:szCs w:val="19"/>
              </w:rPr>
              <w:t xml:space="preserve">Dec 2026–Feb 2027</w:t>
            </w:r>
          </w:p>
        </w:tc>
        <w:tc>
          <w:tcPr>
            <w:tcW w:type="dxa" w:w="2600"/>
            <w:shd w:fill="F4F6FA" w:val="clear"/>
            <w:tcMar>
              <w:top w:type="dxa" w:w="90"/>
              <w:left w:type="dxa" w:w="110"/>
              <w:bottom w:type="dxa" w:w="90"/>
              <w:right w:type="dxa" w:w="110"/>
            </w:tcMar>
            <w:vAlign w:val="center"/>
          </w:tcPr>
          <w:p>
            <w:r>
              <w:rPr>
                <w:b w:val="false"/>
                <w:bCs w:val="false"/>
                <w:color w:val="1A1A1A"/>
                <w:sz w:val="19"/>
                <w:szCs w:val="19"/>
              </w:rPr>
              <w:t xml:space="preserve">Mass recruitment &amp; training</w:t>
            </w:r>
          </w:p>
        </w:tc>
        <w:tc>
          <w:tcPr>
            <w:tcW w:type="dxa" w:w="4850"/>
            <w:shd w:fill="F4F6FA" w:val="clear"/>
            <w:tcMar>
              <w:top w:type="dxa" w:w="90"/>
              <w:left w:type="dxa" w:w="110"/>
              <w:bottom w:type="dxa" w:w="90"/>
              <w:right w:type="dxa" w:w="110"/>
            </w:tcMar>
            <w:vAlign w:val="center"/>
          </w:tcPr>
          <w:p>
            <w:r>
              <w:rPr>
                <w:b w:val="false"/>
                <w:bCs w:val="false"/>
                <w:color w:val="1A1A1A"/>
                <w:sz w:val="19"/>
                <w:szCs w:val="19"/>
              </w:rPr>
              <w:t xml:space="preserve">Ward-by-ward candidate call-out; tiered membership drive; candidate and ward-organiser training; accountability platform pilot in first counties</w:t>
            </w:r>
          </w:p>
        </w:tc>
      </w:tr>
      <w:tr>
        <w:tc>
          <w:tcPr>
            <w:tcW w:type="dxa" w:w="1900"/>
            <w:tcMar>
              <w:top w:type="dxa" w:w="90"/>
              <w:left w:type="dxa" w:w="110"/>
              <w:bottom w:type="dxa" w:w="90"/>
              <w:right w:type="dxa" w:w="110"/>
            </w:tcMar>
            <w:vAlign w:val="center"/>
          </w:tcPr>
          <w:p>
            <w:r>
              <w:rPr>
                <w:b w:val="false"/>
                <w:bCs w:val="false"/>
                <w:color w:val="1A1A1A"/>
                <w:sz w:val="19"/>
                <w:szCs w:val="19"/>
              </w:rPr>
              <w:t xml:space="preserve">Mar–Apr 2027</w:t>
            </w:r>
          </w:p>
        </w:tc>
        <w:tc>
          <w:tcPr>
            <w:tcW w:type="dxa" w:w="2600"/>
            <w:tcMar>
              <w:top w:type="dxa" w:w="90"/>
              <w:left w:type="dxa" w:w="110"/>
              <w:bottom w:type="dxa" w:w="90"/>
              <w:right w:type="dxa" w:w="110"/>
            </w:tcMar>
            <w:vAlign w:val="center"/>
          </w:tcPr>
          <w:p>
            <w:r>
              <w:rPr>
                <w:b w:val="false"/>
                <w:bCs w:val="false"/>
                <w:color w:val="1A1A1A"/>
                <w:sz w:val="19"/>
                <w:szCs w:val="19"/>
              </w:rPr>
              <w:t xml:space="preserve">Primaries</w:t>
            </w:r>
          </w:p>
        </w:tc>
        <w:tc>
          <w:tcPr>
            <w:tcW w:type="dxa" w:w="4850"/>
            <w:tcMar>
              <w:top w:type="dxa" w:w="90"/>
              <w:left w:type="dxa" w:w="110"/>
              <w:bottom w:type="dxa" w:w="90"/>
              <w:right w:type="dxa" w:w="110"/>
            </w:tcMar>
            <w:vAlign w:val="center"/>
          </w:tcPr>
          <w:p>
            <w:r>
              <w:rPr>
                <w:b w:val="false"/>
                <w:bCs w:val="false"/>
                <w:color w:val="1A1A1A"/>
                <w:sz w:val="19"/>
                <w:szCs w:val="19"/>
              </w:rPr>
              <w:t xml:space="preserve">Certified-register primaries run on the digital primaries engine, independent audit, published results and dispute window</w:t>
            </w:r>
          </w:p>
        </w:tc>
      </w:tr>
      <w:tr>
        <w:tc>
          <w:tcPr>
            <w:tcW w:type="dxa" w:w="1900"/>
            <w:shd w:fill="F4F6FA" w:val="clear"/>
            <w:tcMar>
              <w:top w:type="dxa" w:w="90"/>
              <w:left w:type="dxa" w:w="110"/>
              <w:bottom w:type="dxa" w:w="90"/>
              <w:right w:type="dxa" w:w="110"/>
            </w:tcMar>
            <w:vAlign w:val="center"/>
          </w:tcPr>
          <w:p>
            <w:r>
              <w:rPr>
                <w:b w:val="false"/>
                <w:bCs w:val="false"/>
                <w:color w:val="1A1A1A"/>
                <w:sz w:val="19"/>
                <w:szCs w:val="19"/>
              </w:rPr>
              <w:t xml:space="preserve">May–Aug 2027</w:t>
            </w:r>
          </w:p>
        </w:tc>
        <w:tc>
          <w:tcPr>
            <w:tcW w:type="dxa" w:w="2600"/>
            <w:shd w:fill="F4F6FA" w:val="clear"/>
            <w:tcMar>
              <w:top w:type="dxa" w:w="90"/>
              <w:left w:type="dxa" w:w="110"/>
              <w:bottom w:type="dxa" w:w="90"/>
              <w:right w:type="dxa" w:w="110"/>
            </w:tcMar>
            <w:vAlign w:val="center"/>
          </w:tcPr>
          <w:p>
            <w:r>
              <w:rPr>
                <w:b w:val="false"/>
                <w:bCs w:val="false"/>
                <w:color w:val="1A1A1A"/>
                <w:sz w:val="19"/>
                <w:szCs w:val="19"/>
              </w:rPr>
              <w:t xml:space="preserve">General-election readiness</w:t>
            </w:r>
          </w:p>
        </w:tc>
        <w:tc>
          <w:tcPr>
            <w:tcW w:type="dxa" w:w="4850"/>
            <w:shd w:fill="F4F6FA" w:val="clear"/>
            <w:tcMar>
              <w:top w:type="dxa" w:w="90"/>
              <w:left w:type="dxa" w:w="110"/>
              <w:bottom w:type="dxa" w:w="90"/>
              <w:right w:type="dxa" w:w="110"/>
            </w:tcMar>
            <w:vAlign w:val="center"/>
          </w:tcPr>
          <w:p>
            <w:r>
              <w:rPr>
                <w:b w:val="false"/>
                <w:bCs w:val="false"/>
                <w:color w:val="1A1A1A"/>
                <w:sz w:val="19"/>
                <w:szCs w:val="19"/>
              </w:rPr>
              <w:t xml:space="preserve">Full candidate compliance, county accountability dashboards live nationwide, OTT skills-training channel scaled, election-day coordination via the portal</w:t>
            </w:r>
          </w:p>
        </w:tc>
      </w:tr>
    </w:tbl>
    <w:p>
      <w:pPr>
        <w:spacing w:after="160"/>
      </w:pPr>
    </w:p>
    <w:p>
      <w:pPr>
        <w:pStyle w:val="Heading1"/>
        <w:pBdr>
          <w:bottom w:val="single" w:color="1F3864" w:sz="6" w:space="4"/>
        </w:pBdr>
        <w:spacing w:after="160" w:before="360"/>
      </w:pPr>
      <w:r>
        <w:rPr>
          <w:b/>
          <w:bCs/>
          <w:color w:val="1F3864"/>
          <w:sz w:val="30"/>
          <w:szCs w:val="30"/>
        </w:rPr>
        <w:t xml:space="preserve">15. Indicative Budget Envelope</w:t>
      </w:r>
    </w:p>
    <w:p>
      <w:pPr>
        <w:spacing w:after="160" w:line="276"/>
      </w:pPr>
      <w:r>
        <w:rPr>
          <w:color w:val="1A1A1A"/>
          <w:sz w:val="21"/>
          <w:szCs w:val="21"/>
        </w:rPr>
        <w:t xml:space="preserve">A lean, volunteer-heavy operating model keeps recurring costs low; the largest line items are platform build and county coordination, not media buying or office overhead.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450"/>
        <w:gridCol w:w="2700"/>
      </w:tblGrid>
      <w:tr>
        <w:trPr>
          <w:tblHeader/>
        </w:trPr>
        <w:tc>
          <w:tcPr>
            <w:tcW w:type="dxa" w:w="4200"/>
            <w:shd w:fill="1F3864" w:val="clear"/>
            <w:tcMar>
              <w:top w:type="dxa" w:w="90"/>
              <w:left w:type="dxa" w:w="110"/>
              <w:bottom w:type="dxa" w:w="90"/>
              <w:right w:type="dxa" w:w="110"/>
            </w:tcMar>
            <w:vAlign w:val="center"/>
          </w:tcPr>
          <w:p>
            <w:r>
              <w:rPr>
                <w:b/>
                <w:bCs/>
                <w:color w:val="FFFFFF"/>
                <w:sz w:val="19"/>
                <w:szCs w:val="19"/>
              </w:rPr>
              <w:t xml:space="preserve">Line</w:t>
            </w:r>
          </w:p>
        </w:tc>
        <w:tc>
          <w:tcPr>
            <w:tcW w:type="dxa" w:w="2450"/>
            <w:shd w:fill="1F3864" w:val="clear"/>
            <w:tcMar>
              <w:top w:type="dxa" w:w="90"/>
              <w:left w:type="dxa" w:w="110"/>
              <w:bottom w:type="dxa" w:w="90"/>
              <w:right w:type="dxa" w:w="110"/>
            </w:tcMar>
            <w:vAlign w:val="center"/>
          </w:tcPr>
          <w:p>
            <w:r>
              <w:rPr>
                <w:b/>
                <w:bCs/>
                <w:color w:val="FFFFFF"/>
                <w:sz w:val="19"/>
                <w:szCs w:val="19"/>
              </w:rPr>
              <w:t xml:space="preserve">6-month estimate (KES)</w:t>
            </w:r>
          </w:p>
        </w:tc>
        <w:tc>
          <w:tcPr>
            <w:tcW w:type="dxa" w:w="2700"/>
            <w:shd w:fill="1F3864" w:val="clear"/>
            <w:tcMar>
              <w:top w:type="dxa" w:w="90"/>
              <w:left w:type="dxa" w:w="110"/>
              <w:bottom w:type="dxa" w:w="90"/>
              <w:right w:type="dxa" w:w="110"/>
            </w:tcMar>
            <w:vAlign w:val="center"/>
          </w:tcPr>
          <w:p>
            <w:r>
              <w:rPr>
                <w:b/>
                <w:bCs/>
                <w:color w:val="FFFFFF"/>
                <w:sz w:val="19"/>
                <w:szCs w:val="19"/>
              </w:rPr>
              <w:t xml:space="preserve">Note</w:t>
            </w:r>
          </w:p>
        </w:tc>
      </w:tr>
      <w:tr>
        <w:tc>
          <w:tcPr>
            <w:tcW w:type="dxa" w:w="4200"/>
            <w:tcMar>
              <w:top w:type="dxa" w:w="90"/>
              <w:left w:type="dxa" w:w="110"/>
              <w:bottom w:type="dxa" w:w="90"/>
              <w:right w:type="dxa" w:w="110"/>
            </w:tcMar>
            <w:vAlign w:val="center"/>
          </w:tcPr>
          <w:p>
            <w:r>
              <w:rPr>
                <w:b w:val="false"/>
                <w:bCs w:val="false"/>
                <w:color w:val="1A1A1A"/>
                <w:sz w:val="19"/>
                <w:szCs w:val="19"/>
              </w:rPr>
              <w:t xml:space="preserve">Digital platform build (portal, CRM, candidate portal, USSD)</w:t>
            </w:r>
          </w:p>
        </w:tc>
        <w:tc>
          <w:tcPr>
            <w:tcW w:type="dxa" w:w="2450"/>
            <w:tcMar>
              <w:top w:type="dxa" w:w="90"/>
              <w:left w:type="dxa" w:w="110"/>
              <w:bottom w:type="dxa" w:w="90"/>
              <w:right w:type="dxa" w:w="110"/>
            </w:tcMar>
            <w:vAlign w:val="center"/>
          </w:tcPr>
          <w:p>
            <w:r>
              <w:rPr>
                <w:b w:val="false"/>
                <w:bCs w:val="false"/>
                <w:color w:val="1A1A1A"/>
                <w:sz w:val="19"/>
                <w:szCs w:val="19"/>
              </w:rPr>
              <w:t xml:space="preserve">3.0M – 5.5M</w:t>
            </w:r>
          </w:p>
        </w:tc>
        <w:tc>
          <w:tcPr>
            <w:tcW w:type="dxa" w:w="2700"/>
            <w:tcMar>
              <w:top w:type="dxa" w:w="90"/>
              <w:left w:type="dxa" w:w="110"/>
              <w:bottom w:type="dxa" w:w="90"/>
              <w:right w:type="dxa" w:w="110"/>
            </w:tcMar>
            <w:vAlign w:val="center"/>
          </w:tcPr>
          <w:p>
            <w:r>
              <w:rPr>
                <w:b w:val="false"/>
                <w:bCs w:val="false"/>
                <w:color w:val="1A1A1A"/>
                <w:sz w:val="19"/>
                <w:szCs w:val="19"/>
              </w:rPr>
              <w:t xml:space="preserve">Reusable across cycles once built</w:t>
            </w:r>
          </w:p>
        </w:tc>
      </w:tr>
      <w:tr>
        <w:tc>
          <w:tcPr>
            <w:tcW w:type="dxa" w:w="4200"/>
            <w:shd w:fill="F4F6FA" w:val="clear"/>
            <w:tcMar>
              <w:top w:type="dxa" w:w="90"/>
              <w:left w:type="dxa" w:w="110"/>
              <w:bottom w:type="dxa" w:w="90"/>
              <w:right w:type="dxa" w:w="110"/>
            </w:tcMar>
            <w:vAlign w:val="center"/>
          </w:tcPr>
          <w:p>
            <w:r>
              <w:rPr>
                <w:b w:val="false"/>
                <w:bCs w:val="false"/>
                <w:color w:val="1A1A1A"/>
                <w:sz w:val="19"/>
                <w:szCs w:val="19"/>
              </w:rPr>
              <w:t xml:space="preserve">Blockchain primaries engine + independent security audit</w:t>
            </w:r>
          </w:p>
        </w:tc>
        <w:tc>
          <w:tcPr>
            <w:tcW w:type="dxa" w:w="2450"/>
            <w:shd w:fill="F4F6FA" w:val="clear"/>
            <w:tcMar>
              <w:top w:type="dxa" w:w="90"/>
              <w:left w:type="dxa" w:w="110"/>
              <w:bottom w:type="dxa" w:w="90"/>
              <w:right w:type="dxa" w:w="110"/>
            </w:tcMar>
            <w:vAlign w:val="center"/>
          </w:tcPr>
          <w:p>
            <w:r>
              <w:rPr>
                <w:b w:val="false"/>
                <w:bCs w:val="false"/>
                <w:color w:val="1A1A1A"/>
                <w:sz w:val="19"/>
                <w:szCs w:val="19"/>
              </w:rPr>
              <w:t xml:space="preserve">2.0M – 4.0M</w:t>
            </w:r>
          </w:p>
        </w:tc>
        <w:tc>
          <w:tcPr>
            <w:tcW w:type="dxa" w:w="2700"/>
            <w:shd w:fill="F4F6FA" w:val="clear"/>
            <w:tcMar>
              <w:top w:type="dxa" w:w="90"/>
              <w:left w:type="dxa" w:w="110"/>
              <w:bottom w:type="dxa" w:w="90"/>
              <w:right w:type="dxa" w:w="110"/>
            </w:tcMar>
            <w:vAlign w:val="center"/>
          </w:tcPr>
          <w:p>
            <w:r>
              <w:rPr>
                <w:b w:val="false"/>
                <w:bCs w:val="false"/>
                <w:color w:val="1A1A1A"/>
                <w:sz w:val="19"/>
                <w:szCs w:val="19"/>
              </w:rPr>
              <w:t xml:space="preserve">One-off build plus audit; low marginal cost per additional ward</w:t>
            </w:r>
          </w:p>
        </w:tc>
      </w:tr>
      <w:tr>
        <w:tc>
          <w:tcPr>
            <w:tcW w:type="dxa" w:w="4200"/>
            <w:tcMar>
              <w:top w:type="dxa" w:w="90"/>
              <w:left w:type="dxa" w:w="110"/>
              <w:bottom w:type="dxa" w:w="90"/>
              <w:right w:type="dxa" w:w="110"/>
            </w:tcMar>
            <w:vAlign w:val="center"/>
          </w:tcPr>
          <w:p>
            <w:r>
              <w:rPr>
                <w:b w:val="false"/>
                <w:bCs w:val="false"/>
                <w:color w:val="1A1A1A"/>
                <w:sz w:val="19"/>
                <w:szCs w:val="19"/>
              </w:rPr>
              <w:t xml:space="preserve">OTT streaming infrastructure &amp; production</w:t>
            </w:r>
          </w:p>
        </w:tc>
        <w:tc>
          <w:tcPr>
            <w:tcW w:type="dxa" w:w="2450"/>
            <w:tcMar>
              <w:top w:type="dxa" w:w="90"/>
              <w:left w:type="dxa" w:w="110"/>
              <w:bottom w:type="dxa" w:w="90"/>
              <w:right w:type="dxa" w:w="110"/>
            </w:tcMar>
            <w:vAlign w:val="center"/>
          </w:tcPr>
          <w:p>
            <w:r>
              <w:rPr>
                <w:b w:val="false"/>
                <w:bCs w:val="false"/>
                <w:color w:val="1A1A1A"/>
                <w:sz w:val="19"/>
                <w:szCs w:val="19"/>
              </w:rPr>
              <w:t xml:space="preserve">2.5M – 4.5M</w:t>
            </w:r>
          </w:p>
        </w:tc>
        <w:tc>
          <w:tcPr>
            <w:tcW w:type="dxa" w:w="2700"/>
            <w:tcMar>
              <w:top w:type="dxa" w:w="90"/>
              <w:left w:type="dxa" w:w="110"/>
              <w:bottom w:type="dxa" w:w="90"/>
              <w:right w:type="dxa" w:w="110"/>
            </w:tcMar>
            <w:vAlign w:val="center"/>
          </w:tcPr>
          <w:p>
            <w:r>
              <w:rPr>
                <w:b w:val="false"/>
                <w:bCs w:val="false"/>
                <w:color w:val="1A1A1A"/>
                <w:sz w:val="19"/>
                <w:szCs w:val="19"/>
              </w:rPr>
              <w:t xml:space="preserve">Cloud-first; scales with viewership</w:t>
            </w:r>
          </w:p>
        </w:tc>
      </w:tr>
      <w:tr>
        <w:tc>
          <w:tcPr>
            <w:tcW w:type="dxa" w:w="4200"/>
            <w:shd w:fill="F4F6FA" w:val="clear"/>
            <w:tcMar>
              <w:top w:type="dxa" w:w="90"/>
              <w:left w:type="dxa" w:w="110"/>
              <w:bottom w:type="dxa" w:w="90"/>
              <w:right w:type="dxa" w:w="110"/>
            </w:tcMar>
            <w:vAlign w:val="center"/>
          </w:tcPr>
          <w:p>
            <w:r>
              <w:rPr>
                <w:b w:val="false"/>
                <w:bCs w:val="false"/>
                <w:color w:val="1A1A1A"/>
                <w:sz w:val="19"/>
                <w:szCs w:val="19"/>
              </w:rPr>
              <w:t xml:space="preserve">County coordination (47 counties, stipends + travel)</w:t>
            </w:r>
          </w:p>
        </w:tc>
        <w:tc>
          <w:tcPr>
            <w:tcW w:type="dxa" w:w="2450"/>
            <w:shd w:fill="F4F6FA" w:val="clear"/>
            <w:tcMar>
              <w:top w:type="dxa" w:w="90"/>
              <w:left w:type="dxa" w:w="110"/>
              <w:bottom w:type="dxa" w:w="90"/>
              <w:right w:type="dxa" w:w="110"/>
            </w:tcMar>
            <w:vAlign w:val="center"/>
          </w:tcPr>
          <w:p>
            <w:r>
              <w:rPr>
                <w:b w:val="false"/>
                <w:bCs w:val="false"/>
                <w:color w:val="1A1A1A"/>
                <w:sz w:val="19"/>
                <w:szCs w:val="19"/>
              </w:rPr>
              <w:t xml:space="preserve">3.0M – 5.0M</w:t>
            </w:r>
          </w:p>
        </w:tc>
        <w:tc>
          <w:tcPr>
            <w:tcW w:type="dxa" w:w="2700"/>
            <w:shd w:fill="F4F6FA" w:val="clear"/>
            <w:tcMar>
              <w:top w:type="dxa" w:w="90"/>
              <w:left w:type="dxa" w:w="110"/>
              <w:bottom w:type="dxa" w:w="90"/>
              <w:right w:type="dxa" w:w="110"/>
            </w:tcMar>
            <w:vAlign w:val="center"/>
          </w:tcPr>
          <w:p>
            <w:r>
              <w:rPr>
                <w:b w:val="false"/>
                <w:bCs w:val="false"/>
                <w:color w:val="1A1A1A"/>
                <w:sz w:val="19"/>
                <w:szCs w:val="19"/>
              </w:rPr>
              <w:t xml:space="preserve">Volunteer-heavy; stipends, not salaries</w:t>
            </w:r>
          </w:p>
        </w:tc>
      </w:tr>
      <w:tr>
        <w:tc>
          <w:tcPr>
            <w:tcW w:type="dxa" w:w="4200"/>
            <w:tcMar>
              <w:top w:type="dxa" w:w="90"/>
              <w:left w:type="dxa" w:w="110"/>
              <w:bottom w:type="dxa" w:w="90"/>
              <w:right w:type="dxa" w:w="110"/>
            </w:tcMar>
            <w:vAlign w:val="center"/>
          </w:tcPr>
          <w:p>
            <w:r>
              <w:rPr>
                <w:b w:val="false"/>
                <w:bCs w:val="false"/>
                <w:color w:val="1A1A1A"/>
                <w:sz w:val="19"/>
                <w:szCs w:val="19"/>
              </w:rPr>
              <w:t xml:space="preserve">Legal, ORPP/IEBC compliance, data protection</w:t>
            </w:r>
          </w:p>
        </w:tc>
        <w:tc>
          <w:tcPr>
            <w:tcW w:type="dxa" w:w="2450"/>
            <w:tcMar>
              <w:top w:type="dxa" w:w="90"/>
              <w:left w:type="dxa" w:w="110"/>
              <w:bottom w:type="dxa" w:w="90"/>
              <w:right w:type="dxa" w:w="110"/>
            </w:tcMar>
            <w:vAlign w:val="center"/>
          </w:tcPr>
          <w:p>
            <w:r>
              <w:rPr>
                <w:b w:val="false"/>
                <w:bCs w:val="false"/>
                <w:color w:val="1A1A1A"/>
                <w:sz w:val="19"/>
                <w:szCs w:val="19"/>
              </w:rPr>
              <w:t xml:space="preserve">0.8M – 1.5M</w:t>
            </w:r>
          </w:p>
        </w:tc>
        <w:tc>
          <w:tcPr>
            <w:tcW w:type="dxa" w:w="2700"/>
            <w:tcMar>
              <w:top w:type="dxa" w:w="90"/>
              <w:left w:type="dxa" w:w="110"/>
              <w:bottom w:type="dxa" w:w="90"/>
              <w:right w:type="dxa" w:w="110"/>
            </w:tcMar>
            <w:vAlign w:val="center"/>
          </w:tcPr>
          <w:p>
            <w:r>
              <w:rPr>
                <w:b w:val="false"/>
                <w:bCs w:val="false"/>
                <w:color w:val="1A1A1A"/>
                <w:sz w:val="19"/>
                <w:szCs w:val="19"/>
              </w:rPr>
              <w:t xml:space="preserve">Non-discretionary</w:t>
            </w:r>
          </w:p>
        </w:tc>
      </w:tr>
      <w:tr>
        <w:tc>
          <w:tcPr>
            <w:tcW w:type="dxa" w:w="4200"/>
            <w:shd w:fill="F4F6FA" w:val="clear"/>
            <w:tcMar>
              <w:top w:type="dxa" w:w="90"/>
              <w:left w:type="dxa" w:w="110"/>
              <w:bottom w:type="dxa" w:w="90"/>
              <w:right w:type="dxa" w:w="110"/>
            </w:tcMar>
            <w:vAlign w:val="center"/>
          </w:tcPr>
          <w:p>
            <w:r>
              <w:rPr>
                <w:b w:val="false"/>
                <w:bCs w:val="false"/>
                <w:color w:val="1A1A1A"/>
                <w:sz w:val="19"/>
                <w:szCs w:val="19"/>
              </w:rPr>
              <w:t xml:space="preserve">Accountability platform data collection &amp; verification</w:t>
            </w:r>
          </w:p>
        </w:tc>
        <w:tc>
          <w:tcPr>
            <w:tcW w:type="dxa" w:w="2450"/>
            <w:shd w:fill="F4F6FA" w:val="clear"/>
            <w:tcMar>
              <w:top w:type="dxa" w:w="90"/>
              <w:left w:type="dxa" w:w="110"/>
              <w:bottom w:type="dxa" w:w="90"/>
              <w:right w:type="dxa" w:w="110"/>
            </w:tcMar>
            <w:vAlign w:val="center"/>
          </w:tcPr>
          <w:p>
            <w:r>
              <w:rPr>
                <w:b w:val="false"/>
                <w:bCs w:val="false"/>
                <w:color w:val="1A1A1A"/>
                <w:sz w:val="19"/>
                <w:szCs w:val="19"/>
              </w:rPr>
              <w:t xml:space="preserve">1.0M – 2.0M</w:t>
            </w:r>
          </w:p>
        </w:tc>
        <w:tc>
          <w:tcPr>
            <w:tcW w:type="dxa" w:w="2700"/>
            <w:shd w:fill="F4F6FA" w:val="clear"/>
            <w:tcMar>
              <w:top w:type="dxa" w:w="90"/>
              <w:left w:type="dxa" w:w="110"/>
              <w:bottom w:type="dxa" w:w="90"/>
              <w:right w:type="dxa" w:w="110"/>
            </w:tcMar>
            <w:vAlign w:val="center"/>
          </w:tcPr>
          <w:p>
            <w:r>
              <w:rPr>
                <w:b w:val="false"/>
                <w:bCs w:val="false"/>
                <w:color w:val="1A1A1A"/>
                <w:sz w:val="19"/>
                <w:szCs w:val="19"/>
              </w:rPr>
              <w:t xml:space="preserve">GIS, FOI requests, community verification network</w:t>
            </w:r>
          </w:p>
        </w:tc>
      </w:tr>
      <w:tr>
        <w:tc>
          <w:tcPr>
            <w:tcW w:type="dxa" w:w="4200"/>
            <w:tcMar>
              <w:top w:type="dxa" w:w="90"/>
              <w:left w:type="dxa" w:w="110"/>
              <w:bottom w:type="dxa" w:w="90"/>
              <w:right w:type="dxa" w:w="110"/>
            </w:tcMar>
            <w:vAlign w:val="center"/>
          </w:tcPr>
          <w:p>
            <w:r>
              <w:rPr>
                <w:b w:val="false"/>
                <w:bCs w:val="false"/>
                <w:color w:val="1A1A1A"/>
                <w:sz w:val="19"/>
                <w:szCs w:val="19"/>
              </w:rPr>
              <w:t xml:space="preserve">TOTAL (lean model, 6 months)</w:t>
            </w:r>
          </w:p>
        </w:tc>
        <w:tc>
          <w:tcPr>
            <w:tcW w:type="dxa" w:w="2450"/>
            <w:tcMar>
              <w:top w:type="dxa" w:w="90"/>
              <w:left w:type="dxa" w:w="110"/>
              <w:bottom w:type="dxa" w:w="90"/>
              <w:right w:type="dxa" w:w="110"/>
            </w:tcMar>
            <w:vAlign w:val="center"/>
          </w:tcPr>
          <w:p>
            <w:r>
              <w:rPr>
                <w:b w:val="false"/>
                <w:bCs w:val="false"/>
                <w:color w:val="1A1A1A"/>
                <w:sz w:val="19"/>
                <w:szCs w:val="19"/>
              </w:rPr>
              <w:t xml:space="preserve">12.3M – 22.5M</w:t>
            </w:r>
          </w:p>
        </w:tc>
        <w:tc>
          <w:tcPr>
            <w:tcW w:type="dxa" w:w="2700"/>
            <w:tcMar>
              <w:top w:type="dxa" w:w="90"/>
              <w:left w:type="dxa" w:w="110"/>
              <w:bottom w:type="dxa" w:w="90"/>
              <w:right w:type="dxa" w:w="110"/>
            </w:tcMar>
            <w:vAlign w:val="center"/>
          </w:tcPr>
          <w:p>
            <w:r>
              <w:rPr>
                <w:b w:val="false"/>
                <w:bCs w:val="false"/>
                <w:color w:val="1A1A1A"/>
                <w:sz w:val="19"/>
                <w:szCs w:val="19"/>
              </w:rPr>
              <w:t xml:space="preserve">Funded via nominal senior-seat fees, small-donor digital appeals and diaspora micro-donations</w:t>
            </w:r>
          </w:p>
        </w:tc>
      </w:tr>
    </w:tbl>
    <w:p>
      <w:pPr>
        <w:spacing w:after="160"/>
      </w:pPr>
    </w:p>
    <w:p>
      <w:pPr>
        <w:pStyle w:val="Heading1"/>
        <w:pBdr>
          <w:bottom w:val="single" w:color="1F3864" w:sz="6" w:space="4"/>
        </w:pBdr>
        <w:spacing w:after="160" w:before="360"/>
      </w:pPr>
      <w:r>
        <w:rPr>
          <w:b/>
          <w:bCs/>
          <w:color w:val="1F3864"/>
          <w:sz w:val="30"/>
          <w:szCs w:val="30"/>
        </w:rPr>
        <w:t xml:space="preserve">16. Data Protection and Ethical Governance Framework</w:t>
      </w:r>
    </w:p>
    <w:p>
      <w:pPr>
        <w:pStyle w:val="ListParagraph"/>
        <w:numPr>
          <w:ilvl w:val="0"/>
          <w:numId w:val="3"/>
        </w:numPr>
        <w:spacing w:after="90" w:line="270"/>
      </w:pPr>
      <w:r>
        <w:rPr>
          <w:color w:val="1A1A1A"/>
          <w:sz w:val="21"/>
          <w:szCs w:val="21"/>
        </w:rPr>
        <w:t xml:space="preserve">Every data source used anywhere in this architecture must be either (a) public official record, (b) obtained with the data subject's informed consent, or (c) obtained through a formal Access to Information request — no exceptions, and a named Data Protection Officer signs off before any new source is connected.</w:t>
      </w:r>
    </w:p>
    <w:p>
      <w:pPr>
        <w:pStyle w:val="ListParagraph"/>
        <w:numPr>
          <w:ilvl w:val="0"/>
          <w:numId w:val="3"/>
        </w:numPr>
        <w:spacing w:after="90" w:line="270"/>
      </w:pPr>
      <w:r>
        <w:rPr>
          <w:color w:val="1A1A1A"/>
          <w:sz w:val="21"/>
          <w:szCs w:val="21"/>
        </w:rPr>
        <w:t xml:space="preserve">Consent-based processing under the Data Protection Act 2019 governs membership registration, candidate data and any accountability-platform citizen submissions.</w:t>
      </w:r>
    </w:p>
    <w:p>
      <w:pPr>
        <w:pStyle w:val="ListParagraph"/>
        <w:numPr>
          <w:ilvl w:val="0"/>
          <w:numId w:val="3"/>
        </w:numPr>
        <w:spacing w:after="90" w:line="270"/>
      </w:pPr>
      <w:r>
        <w:rPr>
          <w:color w:val="1A1A1A"/>
          <w:sz w:val="21"/>
          <w:szCs w:val="21"/>
        </w:rPr>
        <w:t xml:space="preserve">A defined retention and deletion schedule applies to all personal data collected during the primaries and campaign cycle.</w:t>
      </w:r>
    </w:p>
    <w:p>
      <w:pPr>
        <w:pStyle w:val="ListParagraph"/>
        <w:numPr>
          <w:ilvl w:val="0"/>
          <w:numId w:val="3"/>
        </w:numPr>
        <w:spacing w:after="90" w:line="270"/>
      </w:pPr>
      <w:r>
        <w:rPr>
          <w:color w:val="1A1A1A"/>
          <w:sz w:val="21"/>
          <w:szCs w:val="21"/>
        </w:rPr>
        <w:t xml:space="preserve">AI-generated content that could affect an individual's reputation is never published without a human legal-review sign-off and a documented right-of-reply.</w:t>
      </w:r>
    </w:p>
    <w:p>
      <w:pPr>
        <w:pStyle w:val="ListParagraph"/>
        <w:numPr>
          <w:ilvl w:val="0"/>
          <w:numId w:val="3"/>
        </w:numPr>
        <w:spacing w:after="90" w:line="270"/>
      </w:pPr>
      <w:r>
        <w:rPr>
          <w:color w:val="1A1A1A"/>
          <w:sz w:val="21"/>
          <w:szCs w:val="21"/>
        </w:rPr>
        <w:t xml:space="preserve">No synthetic voice cloning of real individuals; any AI-assisted automated communication carries a clear, audible disclosure.</w:t>
      </w:r>
    </w:p>
    <w:p>
      <w:pPr>
        <w:pStyle w:val="ListParagraph"/>
        <w:numPr>
          <w:ilvl w:val="0"/>
          <w:numId w:val="3"/>
        </w:numPr>
        <w:spacing w:after="90" w:line="270"/>
      </w:pPr>
      <w:r>
        <w:rPr>
          <w:color w:val="1A1A1A"/>
          <w:sz w:val="21"/>
          <w:szCs w:val="21"/>
        </w:rPr>
        <w:t xml:space="preserve">An incident-response plan is in place before the membership CRM goes live, given that a membership-data breach would be existentially damaging to a party built on transparency.</w:t>
      </w:r>
    </w:p>
    <w:p>
      <w:pPr>
        <w:spacing w:after="160"/>
      </w:pPr>
    </w:p>
    <w:p>
      <w:pPr>
        <w:pStyle w:val="Heading1"/>
        <w:pBdr>
          <w:bottom w:val="single" w:color="1F3864" w:sz="6" w:space="4"/>
        </w:pBdr>
        <w:spacing w:after="160" w:before="360"/>
      </w:pPr>
      <w:r>
        <w:rPr>
          <w:b/>
          <w:bCs/>
          <w:color w:val="1F3864"/>
          <w:sz w:val="30"/>
          <w:szCs w:val="30"/>
        </w:rPr>
        <w:t xml:space="preserve">17. Conclusion</w:t>
      </w:r>
    </w:p>
    <w:p>
      <w:pPr>
        <w:spacing w:after="160" w:line="276"/>
      </w:pPr>
      <w:r>
        <w:rPr>
          <w:color w:val="1A1A1A"/>
          <w:sz w:val="21"/>
          <w:szCs w:val="21"/>
        </w:rPr>
        <w:t xml:space="preserve">FORD-Asili's path back to national relevance runs through the ward, not the presidency and not a coalition. By pairing a disciplined, legally certified zero-fee nomination policy with a blockchain-audited digital primaries system, universal USSD access, a free OTT civic-media and skills-training network, and a lawful, evidence-graded accountability platform, the party can field a credible candidate in nearly every ward at a fraction of the cost of a traditional campaign — while building a permanent civic-technology asset that outlives the 2027 cycle.</w:t>
      </w:r>
    </w:p>
    <w:p>
      <w:pPr>
        <w:spacing w:after="160" w:line="276"/>
      </w:pPr>
      <w:r>
        <w:rPr>
          <w:color w:val="1A1A1A"/>
          <w:sz w:val="21"/>
          <w:szCs w:val="21"/>
        </w:rPr>
        <w:t xml:space="preserve">The strategy only works if executed with the same discipline it asks of government: every claim sourced, every primary result auditable, every data source lawful. Built this way, "Haki na Ukweli" stops being a historical slogan and becomes the party's operating system.</w:t>
      </w:r>
    </w:p>
    <w:p>
      <w:pPr>
        <w:spacing w:after="200"/>
      </w:pPr>
    </w:p>
    <w:p>
      <w:pPr>
        <w:pBdr>
          <w:top w:val="single" w:color="1F3864" w:sz="6" w:space="8"/>
        </w:pBdr>
        <w:spacing w:before="200"/>
      </w:pPr>
      <w:r>
        <w:rPr>
          <w:i/>
          <w:iCs/>
          <w:color w:val="595959"/>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FORD-Asili 2027 — Ward-First Digital Party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2026-09-10T21:40:30.846Z</dcterms:created>
  <dcterms:modified xsi:type="dcterms:W3CDTF">2026-09-10T21:40:30.857Z</dcterms:modified>
</cp:coreProperties>
</file>

<file path=docProps/custom.xml><?xml version="1.0" encoding="utf-8"?>
<Properties xmlns="http://schemas.openxmlformats.org/officeDocument/2006/custom-properties" xmlns:vt="http://schemas.openxmlformats.org/officeDocument/2006/docPropsVTypes"/>
</file>