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r>
        <w:t xml:space="preserve"/>
      </w:r>
    </w:p>
    <w:p>
      <w:pPr>
        <w:spacing w:after="100" w:before="400"/>
        <w:jc w:val="center"/>
      </w:pPr>
      <w:r>
        <w:rPr>
          <w:rFonts w:ascii="Calibri" w:cs="Calibri" w:eastAsia="Calibri" w:hAnsi="Calibri"/>
          <w:b/>
          <w:bCs/>
          <w:color w:val="C9A227"/>
          <w:sz w:val="28"/>
          <w:szCs w:val="28"/>
        </w:rPr>
        <w:t xml:space="preserve">i3 ACADEMY</w:t>
      </w:r>
    </w:p>
    <w:p>
      <w:pPr>
        <w:spacing w:after="400"/>
        <w:jc w:val="center"/>
      </w:pPr>
      <w:r>
        <w:rPr>
          <w:rFonts w:ascii="Calibri" w:cs="Calibri" w:eastAsia="Calibri" w:hAnsi="Calibri"/>
          <w:i/>
          <w:iCs/>
          <w:color w:val="1B2A4A"/>
          <w:sz w:val="22"/>
          <w:szCs w:val="22"/>
        </w:rPr>
        <w:t xml:space="preserve">Certification Readiness Series</w:t>
      </w:r>
    </w:p>
    <w:p>
      <w:pPr>
        <w:spacing w:after="100" w:before="1000"/>
        <w:jc w:val="center"/>
      </w:pPr>
      <w:r>
        <w:rPr>
          <w:rFonts w:ascii="Calibri" w:cs="Calibri" w:eastAsia="Calibri" w:hAnsi="Calibri"/>
          <w:b/>
          <w:bCs/>
          <w:color w:val="1B2A4A"/>
          <w:sz w:val="24"/>
          <w:szCs w:val="24"/>
        </w:rPr>
        <w:t xml:space="preserve">IBM PROFESSIONAL CERTIFICATION PROGRAM</w:t>
      </w:r>
    </w:p>
    <w:p>
      <w:pPr>
        <w:spacing w:after="200"/>
        <w:jc w:val="center"/>
      </w:pPr>
      <w:r>
        <w:rPr>
          <w:rFonts w:ascii="Calibri" w:cs="Calibri" w:eastAsia="Calibri" w:hAnsi="Calibri"/>
          <w:b/>
          <w:bCs/>
          <w:color w:val="1B2A4A"/>
          <w:sz w:val="44"/>
          <w:szCs w:val="44"/>
        </w:rPr>
        <w:t xml:space="preserve">Exam C1000-207</w:t>
      </w:r>
    </w:p>
    <w:p>
      <w:pPr>
        <w:spacing w:after="600"/>
        <w:jc w:val="center"/>
      </w:pPr>
      <w:r>
        <w:rPr>
          <w:rFonts w:ascii="Calibri" w:cs="Calibri" w:eastAsia="Calibri" w:hAnsi="Calibri"/>
          <w:color w:val="0F1B33"/>
          <w:sz w:val="30"/>
          <w:szCs w:val="30"/>
        </w:rPr>
        <w:t xml:space="preserve">IBM watsonx Orchestrate AI Engineer v1 — Associate</w:t>
      </w:r>
    </w:p>
    <w:tbl>
      <w:tblPr>
        <w:tblW w:type="pct" w:w="60%"/>
        <w:jc w:val="center"/>
        <w:tblBorders>
          <w:top w:val="single" w:color="C9A227" w:sz="8"/>
          <w:left w:val="none"/>
          <w:bottom w:val="single" w:color="C9A227" w:sz="8"/>
          <w:right w:val="none"/>
          <w:insideH w:val="none"/>
          <w:insideV w:val="none"/>
        </w:tblBorders>
      </w:tblPr>
      <w:tblGrid>
        <w:gridCol w:w="100"/>
      </w:tblGrid>
      <w:tr>
        <w:tc>
          <w:tcPr>
            <w:shd w:fill="1B2A4A" w:val="clear"/>
            <w:tcMar>
              <w:top w:type="dxa" w:w="200"/>
              <w:left w:type="dxa" w:w="200"/>
              <w:bottom w:type="dxa" w:w="200"/>
              <w:right w:type="dxa" w:w="200"/>
            </w:tcMar>
          </w:tcPr>
          <w:p>
            <w:pPr>
              <w:jc w:val="center"/>
            </w:pPr>
            <w:r>
              <w:rPr>
                <w:rFonts w:ascii="Calibri" w:cs="Calibri" w:eastAsia="Calibri" w:hAnsi="Calibri"/>
                <w:b/>
                <w:bCs/>
                <w:color w:val="FFFFFF"/>
                <w:sz w:val="26"/>
                <w:szCs w:val="26"/>
              </w:rPr>
              <w:t xml:space="preserve">COMPREHENSIVE STUDY GUIDE</w:t>
            </w:r>
          </w:p>
          <w:p>
            <w:pPr>
              <w:spacing w:before="80"/>
              <w:jc w:val="center"/>
            </w:pPr>
            <w:r>
              <w:rPr>
                <w:rFonts w:ascii="Calibri" w:cs="Calibri" w:eastAsia="Calibri" w:hAnsi="Calibri"/>
                <w:color w:val="F5E9C6"/>
                <w:sz w:val="19"/>
                <w:szCs w:val="19"/>
              </w:rPr>
              <w:t xml:space="preserve">All 7 Domains · Detailed Objectives · Key Concepts · Glossary</w:t>
            </w:r>
          </w:p>
        </w:tc>
      </w:tr>
    </w:tbl>
    <w:p>
      <w:pPr>
        <w:spacing w:before="800"/>
      </w:pPr>
    </w:p>
    <w:p>
      <w:pPr>
        <w:spacing w:before="1400"/>
        <w:jc w:val="center"/>
      </w:pPr>
      <w:r>
        <w:rPr>
          <w:rFonts w:ascii="Calibri" w:cs="Calibri" w:eastAsia="Calibri" w:hAnsi="Calibri"/>
          <w:i/>
          <w:iCs/>
          <w:color w:val="1B2A4A"/>
          <w:sz w:val="20"/>
          <w:szCs w:val="20"/>
        </w:rPr>
        <w:t xml:space="preserve">Prepared for i3 Technologies Ltd — Nairobi, Kenya</w:t>
      </w:r>
    </w:p>
    <w:p>
      <w:pPr>
        <w:spacing w:before="100"/>
        <w:jc w:val="center"/>
      </w:pPr>
      <w:r>
        <w:rPr>
          <w:rFonts w:ascii="Calibri" w:cs="Calibri" w:eastAsia="Calibri" w:hAnsi="Calibri"/>
          <w:color w:val="222222"/>
          <w:sz w:val="18"/>
          <w:szCs w:val="18"/>
        </w:rPr>
        <w:t xml:space="preserve">IBM Authorised Training Partner · Anthropic Partner · Red Hat Authorised Training Partner</w:t>
      </w:r>
    </w:p>
    <w:p>
      <w:pPr>
        <w:spacing w:before="300"/>
        <w:jc w:val="center"/>
      </w:pPr>
      <w:r>
        <w:rPr>
          <w:rFonts w:ascii="Calibri" w:cs="Calibri" w:eastAsia="Calibri" w:hAnsi="Calibri"/>
          <w:color w:val="222222"/>
          <w:sz w:val="18"/>
          <w:szCs w:val="18"/>
        </w:rPr>
        <w:t xml:space="preserve">July 2026</w:t>
      </w:r>
    </w:p>
    <w:p>
      <w:r>
        <w:br w:type="page"/>
      </w:r>
    </w:p>
    <w:p>
      <w:pPr>
        <w:pStyle w:val="Heading1"/>
        <w:pBdr>
          <w:bottom w:val="single" w:color="C9A227" w:sz="12" w:space="4"/>
        </w:pBdr>
        <w:spacing w:after="200" w:before="400"/>
      </w:pPr>
      <w:r>
        <w:rPr>
          <w:rFonts w:ascii="Calibri" w:cs="Calibri" w:eastAsia="Calibri" w:hAnsi="Calibri"/>
          <w:b/>
          <w:bCs/>
          <w:color w:val="1B2A4A"/>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C9A227" w:sz="12" w:space="4"/>
        </w:pBdr>
        <w:spacing w:after="200" w:before="400"/>
      </w:pPr>
      <w:r>
        <w:rPr>
          <w:rFonts w:ascii="Calibri" w:cs="Calibri" w:eastAsia="Calibri" w:hAnsi="Calibri"/>
          <w:b/>
          <w:bCs/>
          <w:color w:val="1B2A4A"/>
          <w:sz w:val="32"/>
          <w:szCs w:val="32"/>
        </w:rPr>
        <w:t xml:space="preserve">How to Use This Study Guide</w:t>
      </w:r>
    </w:p>
    <w:p>
      <w:pPr>
        <w:spacing w:after="120" w:line="276"/>
      </w:pPr>
      <w:r>
        <w:rPr>
          <w:rFonts w:ascii="Calibri" w:cs="Calibri" w:eastAsia="Calibri" w:hAnsi="Calibri"/>
          <w:color w:val="222222"/>
          <w:sz w:val="21"/>
          <w:szCs w:val="21"/>
        </w:rPr>
        <w:t xml:space="preserve">This guide expands the official IBM C1000-207 Study Guide (IBM watsonx Orchestrate AI Engineer v1 — Associate) into a complete, self-contained learning resource. Every task and sub-objective published by IBM is retained in full, and each is paired with plain-language explanations, key concepts, worked examples, and exam tips drawn from the official watsonx Orchestrate documentation, the watsonx Orchestrate Developer (ADK) documentation, and IBM Developer tutorials and articles.</w:t>
      </w:r>
    </w:p>
    <w:p>
      <w:pPr>
        <w:spacing w:after="120" w:line="276"/>
      </w:pPr>
      <w:r>
        <w:rPr>
          <w:rFonts w:ascii="Calibri" w:cs="Calibri" w:eastAsia="Calibri" w:hAnsi="Calibri"/>
          <w:color w:val="222222"/>
          <w:sz w:val="21"/>
          <w:szCs w:val="21"/>
        </w:rPr>
        <w:t xml:space="preserve">Recommended study approach:</w:t>
      </w:r>
    </w:p>
    <w:p>
      <w:pPr>
        <w:pStyle w:val="ListParagraph"/>
        <w:numPr>
          <w:ilvl w:val="0"/>
          <w:numId w:val="2"/>
        </w:numPr>
        <w:spacing w:after="60" w:line="270"/>
      </w:pPr>
      <w:r>
        <w:rPr>
          <w:rFonts w:ascii="Calibri" w:cs="Calibri" w:eastAsia="Calibri" w:hAnsi="Calibri"/>
          <w:color w:val="222222"/>
          <w:sz w:val="21"/>
          <w:szCs w:val="21"/>
        </w:rPr>
        <w:t xml:space="preserve">Read each section overview first to build the mental model before drilling into individual tasks.</w:t>
      </w:r>
    </w:p>
    <w:p>
      <w:pPr>
        <w:pStyle w:val="ListParagraph"/>
        <w:numPr>
          <w:ilvl w:val="0"/>
          <w:numId w:val="2"/>
        </w:numPr>
        <w:spacing w:after="60" w:line="270"/>
      </w:pPr>
      <w:r>
        <w:rPr>
          <w:rFonts w:ascii="Calibri" w:cs="Calibri" w:eastAsia="Calibri" w:hAnsi="Calibri"/>
          <w:color w:val="222222"/>
          <w:sz w:val="21"/>
          <w:szCs w:val="21"/>
        </w:rPr>
        <w:t xml:space="preserve">For every task, ask yourself IBM's three framing questions: Do I know how to do this? Do I know why it matters? Do I know what happens if it's done wrong?</w:t>
      </w:r>
    </w:p>
    <w:p>
      <w:pPr>
        <w:pStyle w:val="ListParagraph"/>
        <w:numPr>
          <w:ilvl w:val="0"/>
          <w:numId w:val="2"/>
        </w:numPr>
        <w:spacing w:after="60" w:line="270"/>
      </w:pPr>
      <w:r>
        <w:rPr>
          <w:rFonts w:ascii="Calibri" w:cs="Calibri" w:eastAsia="Calibri" w:hAnsi="Calibri"/>
          <w:color w:val="222222"/>
          <w:sz w:val="21"/>
          <w:szCs w:val="21"/>
        </w:rPr>
        <w:t xml:space="preserve">Where a task references a CLI command, YAML structure, or console workflow, try it hands-on in the watsonx Orchestrate Developer Edition if you have credits available — this exam rewards practical familiarity, not just terminology.</w:t>
      </w:r>
    </w:p>
    <w:p>
      <w:pPr>
        <w:pStyle w:val="ListParagraph"/>
        <w:numPr>
          <w:ilvl w:val="0"/>
          <w:numId w:val="2"/>
        </w:numPr>
        <w:spacing w:after="60" w:line="270"/>
      </w:pPr>
      <w:r>
        <w:rPr>
          <w:rFonts w:ascii="Calibri" w:cs="Calibri" w:eastAsia="Calibri" w:hAnsi="Calibri"/>
          <w:color w:val="222222"/>
          <w:sz w:val="21"/>
          <w:szCs w:val="21"/>
        </w:rPr>
        <w:t xml:space="preserve">Use the glossary (Appendix A) as a rapid pre-exam refresher, and the CLI quick-reference (Appendix B) to consolidate ADK commands.</w:t>
      </w:r>
    </w:p>
    <w:p>
      <w:pPr>
        <w:pStyle w:val="ListParagraph"/>
        <w:numPr>
          <w:ilvl w:val="0"/>
          <w:numId w:val="2"/>
        </w:numPr>
        <w:spacing w:after="60" w:line="270"/>
      </w:pPr>
      <w:r>
        <w:rPr>
          <w:rFonts w:ascii="Calibri" w:cs="Calibri" w:eastAsia="Calibri" w:hAnsi="Calibri"/>
          <w:color w:val="222222"/>
          <w:sz w:val="21"/>
          <w:szCs w:val="21"/>
        </w:rPr>
        <w:t xml:space="preserve">After working through the guide, take the official sample test and assessment exam referenced in the Next Steps section.</w:t>
      </w:r>
    </w:p>
    <w:p>
      <w:pPr>
        <w:spacing w:after="100"/>
      </w:pPr>
    </w:p>
    <w:p>
      <w:pPr>
        <w:pStyle w:val="Heading2"/>
        <w:spacing w:after="150" w:before="300"/>
      </w:pPr>
      <w:r>
        <w:rPr>
          <w:rFonts w:ascii="Calibri" w:cs="Calibri" w:eastAsia="Calibri" w:hAnsi="Calibri"/>
          <w:b/>
          <w:bCs/>
          <w:color w:val="1B2A4A"/>
          <w:sz w:val="26"/>
          <w:szCs w:val="26"/>
        </w:rPr>
        <w:t xml:space="preserve">Exam Blueprint at a Glance</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900"/>
        <w:gridCol w:w="5600"/>
        <w:gridCol w:w="3200"/>
      </w:tblGrid>
      <w:tr>
        <w:trPr>
          <w:tblHeader/>
        </w:trPr>
        <w:tc>
          <w:tcPr>
            <w:tcW w:type="dxa" w:w="900"/>
            <w:shd w:fill="1B2A4A" w:val="clear"/>
            <w:tcMar>
              <w:top w:type="dxa" w:w="80"/>
              <w:left w:type="dxa" w:w="100"/>
              <w:bottom w:type="dxa" w:w="80"/>
              <w:right w:type="dxa" w:w="100"/>
            </w:tcMar>
          </w:tcPr>
          <w:p>
            <w:r>
              <w:rPr>
                <w:rFonts w:ascii="Calibri" w:cs="Calibri" w:eastAsia="Calibri" w:hAnsi="Calibri"/>
                <w:b/>
                <w:bCs/>
                <w:color w:val="FFFFFF"/>
                <w:sz w:val="20"/>
                <w:szCs w:val="20"/>
              </w:rPr>
              <w:t xml:space="preserve">#</w:t>
            </w:r>
          </w:p>
        </w:tc>
        <w:tc>
          <w:tcPr>
            <w:tcW w:type="dxa" w:w="5600"/>
            <w:shd w:fill="1B2A4A" w:val="clear"/>
            <w:tcMar>
              <w:top w:type="dxa" w:w="80"/>
              <w:left w:type="dxa" w:w="100"/>
              <w:bottom w:type="dxa" w:w="80"/>
              <w:right w:type="dxa" w:w="100"/>
            </w:tcMar>
          </w:tcPr>
          <w:p>
            <w:r>
              <w:rPr>
                <w:rFonts w:ascii="Calibri" w:cs="Calibri" w:eastAsia="Calibri" w:hAnsi="Calibri"/>
                <w:b/>
                <w:bCs/>
                <w:color w:val="FFFFFF"/>
                <w:sz w:val="20"/>
                <w:szCs w:val="20"/>
              </w:rPr>
              <w:t xml:space="preserve">Section</w:t>
            </w:r>
          </w:p>
        </w:tc>
        <w:tc>
          <w:tcPr>
            <w:tcW w:type="dxa" w:w="3200"/>
            <w:shd w:fill="1B2A4A" w:val="clear"/>
            <w:tcMar>
              <w:top w:type="dxa" w:w="80"/>
              <w:left w:type="dxa" w:w="100"/>
              <w:bottom w:type="dxa" w:w="80"/>
              <w:right w:type="dxa" w:w="100"/>
            </w:tcMar>
          </w:tcPr>
          <w:p>
            <w:r>
              <w:rPr>
                <w:rFonts w:ascii="Calibri" w:cs="Calibri" w:eastAsia="Calibri" w:hAnsi="Calibri"/>
                <w:b/>
                <w:bCs/>
                <w:color w:val="FFFFFF"/>
                <w:sz w:val="20"/>
                <w:szCs w:val="20"/>
              </w:rPr>
              <w:t xml:space="preserve">Weight</w:t>
            </w:r>
          </w:p>
        </w:tc>
      </w:tr>
      <w:tr>
        <w:tc>
          <w:tcPr>
            <w:tcW w:type="dxa" w:w="900"/>
            <w:shd w:fill="FFFFFF" w:val="clear"/>
            <w:tcMar>
              <w:top w:type="dxa" w:w="80"/>
              <w:left w:type="dxa" w:w="100"/>
              <w:bottom w:type="dxa" w:w="80"/>
              <w:right w:type="dxa" w:w="100"/>
            </w:tcMar>
          </w:tcPr>
          <w:p>
            <w:r>
              <w:rPr>
                <w:rFonts w:ascii="Calibri" w:cs="Calibri" w:eastAsia="Calibri" w:hAnsi="Calibri"/>
                <w:b/>
                <w:bCs/>
                <w:color w:val="1B2A4A"/>
                <w:sz w:val="20"/>
                <w:szCs w:val="20"/>
              </w:rPr>
              <w:t xml:space="preserve">1</w:t>
            </w:r>
          </w:p>
        </w:tc>
        <w:tc>
          <w:tcPr>
            <w:tcW w:type="dxa" w:w="5600"/>
            <w:shd w:fill="FFFFFF" w:val="clear"/>
            <w:tcMar>
              <w:top w:type="dxa" w:w="80"/>
              <w:left w:type="dxa" w:w="100"/>
              <w:bottom w:type="dxa" w:w="80"/>
              <w:right w:type="dxa" w:w="100"/>
            </w:tcMar>
          </w:tcPr>
          <w:p>
            <w:r>
              <w:rPr>
                <w:rFonts w:ascii="Calibri" w:cs="Calibri" w:eastAsia="Calibri" w:hAnsi="Calibri"/>
                <w:color w:val="222222"/>
                <w:sz w:val="20"/>
                <w:szCs w:val="20"/>
              </w:rPr>
              <w:t xml:space="preserve">Platform Architecture and Core Concepts</w:t>
            </w:r>
          </w:p>
        </w:tc>
        <w:tc>
          <w:tcPr>
            <w:tcW w:type="dxa" w:w="3200"/>
            <w:shd w:fill="FFFFFF" w:val="clear"/>
            <w:tcMar>
              <w:top w:type="dxa" w:w="80"/>
              <w:left w:type="dxa" w:w="100"/>
              <w:bottom w:type="dxa" w:w="80"/>
              <w:right w:type="dxa" w:w="100"/>
            </w:tcMar>
          </w:tcPr>
          <w:p>
            <w:r>
              <w:rPr>
                <w:rFonts w:ascii="Calibri" w:cs="Calibri" w:eastAsia="Calibri" w:hAnsi="Calibri"/>
                <w:b/>
                <w:bCs/>
                <w:color w:val="C9A227"/>
                <w:sz w:val="20"/>
                <w:szCs w:val="20"/>
              </w:rPr>
              <w:t xml:space="preserve">13%</w:t>
            </w:r>
          </w:p>
        </w:tc>
      </w:tr>
      <w:tr>
        <w:tc>
          <w:tcPr>
            <w:tcW w:type="dxa" w:w="900"/>
            <w:shd w:fill="F2F2F2" w:val="clear"/>
            <w:tcMar>
              <w:top w:type="dxa" w:w="80"/>
              <w:left w:type="dxa" w:w="100"/>
              <w:bottom w:type="dxa" w:w="80"/>
              <w:right w:type="dxa" w:w="100"/>
            </w:tcMar>
          </w:tcPr>
          <w:p>
            <w:r>
              <w:rPr>
                <w:rFonts w:ascii="Calibri" w:cs="Calibri" w:eastAsia="Calibri" w:hAnsi="Calibri"/>
                <w:b/>
                <w:bCs/>
                <w:color w:val="1B2A4A"/>
                <w:sz w:val="20"/>
                <w:szCs w:val="20"/>
              </w:rPr>
              <w:t xml:space="preserve">2</w:t>
            </w:r>
          </w:p>
        </w:tc>
        <w:tc>
          <w:tcPr>
            <w:tcW w:type="dxa" w:w="5600"/>
            <w:shd w:fill="F2F2F2" w:val="clear"/>
            <w:tcMar>
              <w:top w:type="dxa" w:w="80"/>
              <w:left w:type="dxa" w:w="100"/>
              <w:bottom w:type="dxa" w:w="80"/>
              <w:right w:type="dxa" w:w="100"/>
            </w:tcMar>
          </w:tcPr>
          <w:p>
            <w:r>
              <w:rPr>
                <w:rFonts w:ascii="Calibri" w:cs="Calibri" w:eastAsia="Calibri" w:hAnsi="Calibri"/>
                <w:color w:val="222222"/>
                <w:sz w:val="20"/>
                <w:szCs w:val="20"/>
              </w:rPr>
              <w:t xml:space="preserve">Agent and Assistant Integration</w:t>
            </w:r>
          </w:p>
        </w:tc>
        <w:tc>
          <w:tcPr>
            <w:tcW w:type="dxa" w:w="3200"/>
            <w:shd w:fill="F2F2F2" w:val="clear"/>
            <w:tcMar>
              <w:top w:type="dxa" w:w="80"/>
              <w:left w:type="dxa" w:w="100"/>
              <w:bottom w:type="dxa" w:w="80"/>
              <w:right w:type="dxa" w:w="100"/>
            </w:tcMar>
          </w:tcPr>
          <w:p>
            <w:r>
              <w:rPr>
                <w:rFonts w:ascii="Calibri" w:cs="Calibri" w:eastAsia="Calibri" w:hAnsi="Calibri"/>
                <w:b/>
                <w:bCs/>
                <w:color w:val="C9A227"/>
                <w:sz w:val="20"/>
                <w:szCs w:val="20"/>
              </w:rPr>
              <w:t xml:space="preserve">20%</w:t>
            </w:r>
          </w:p>
        </w:tc>
      </w:tr>
      <w:tr>
        <w:tc>
          <w:tcPr>
            <w:tcW w:type="dxa" w:w="900"/>
            <w:shd w:fill="FFFFFF" w:val="clear"/>
            <w:tcMar>
              <w:top w:type="dxa" w:w="80"/>
              <w:left w:type="dxa" w:w="100"/>
              <w:bottom w:type="dxa" w:w="80"/>
              <w:right w:type="dxa" w:w="100"/>
            </w:tcMar>
          </w:tcPr>
          <w:p>
            <w:r>
              <w:rPr>
                <w:rFonts w:ascii="Calibri" w:cs="Calibri" w:eastAsia="Calibri" w:hAnsi="Calibri"/>
                <w:b/>
                <w:bCs/>
                <w:color w:val="1B2A4A"/>
                <w:sz w:val="20"/>
                <w:szCs w:val="20"/>
              </w:rPr>
              <w:t xml:space="preserve">3</w:t>
            </w:r>
          </w:p>
        </w:tc>
        <w:tc>
          <w:tcPr>
            <w:tcW w:type="dxa" w:w="5600"/>
            <w:shd w:fill="FFFFFF" w:val="clear"/>
            <w:tcMar>
              <w:top w:type="dxa" w:w="80"/>
              <w:left w:type="dxa" w:w="100"/>
              <w:bottom w:type="dxa" w:w="80"/>
              <w:right w:type="dxa" w:w="100"/>
            </w:tcMar>
          </w:tcPr>
          <w:p>
            <w:r>
              <w:rPr>
                <w:rFonts w:ascii="Calibri" w:cs="Calibri" w:eastAsia="Calibri" w:hAnsi="Calibri"/>
                <w:color w:val="222222"/>
                <w:sz w:val="20"/>
                <w:szCs w:val="20"/>
              </w:rPr>
              <w:t xml:space="preserve">Workflow and Orchestration Design</w:t>
            </w:r>
          </w:p>
        </w:tc>
        <w:tc>
          <w:tcPr>
            <w:tcW w:type="dxa" w:w="3200"/>
            <w:shd w:fill="FFFFFF" w:val="clear"/>
            <w:tcMar>
              <w:top w:type="dxa" w:w="80"/>
              <w:left w:type="dxa" w:w="100"/>
              <w:bottom w:type="dxa" w:w="80"/>
              <w:right w:type="dxa" w:w="100"/>
            </w:tcMar>
          </w:tcPr>
          <w:p>
            <w:r>
              <w:rPr>
                <w:rFonts w:ascii="Calibri" w:cs="Calibri" w:eastAsia="Calibri" w:hAnsi="Calibri"/>
                <w:b/>
                <w:bCs/>
                <w:color w:val="C9A227"/>
                <w:sz w:val="20"/>
                <w:szCs w:val="20"/>
              </w:rPr>
              <w:t xml:space="preserve">14%</w:t>
            </w:r>
          </w:p>
        </w:tc>
      </w:tr>
      <w:tr>
        <w:tc>
          <w:tcPr>
            <w:tcW w:type="dxa" w:w="900"/>
            <w:shd w:fill="F2F2F2" w:val="clear"/>
            <w:tcMar>
              <w:top w:type="dxa" w:w="80"/>
              <w:left w:type="dxa" w:w="100"/>
              <w:bottom w:type="dxa" w:w="80"/>
              <w:right w:type="dxa" w:w="100"/>
            </w:tcMar>
          </w:tcPr>
          <w:p>
            <w:r>
              <w:rPr>
                <w:rFonts w:ascii="Calibri" w:cs="Calibri" w:eastAsia="Calibri" w:hAnsi="Calibri"/>
                <w:b/>
                <w:bCs/>
                <w:color w:val="1B2A4A"/>
                <w:sz w:val="20"/>
                <w:szCs w:val="20"/>
              </w:rPr>
              <w:t xml:space="preserve">4</w:t>
            </w:r>
          </w:p>
        </w:tc>
        <w:tc>
          <w:tcPr>
            <w:tcW w:type="dxa" w:w="5600"/>
            <w:shd w:fill="F2F2F2" w:val="clear"/>
            <w:tcMar>
              <w:top w:type="dxa" w:w="80"/>
              <w:left w:type="dxa" w:w="100"/>
              <w:bottom w:type="dxa" w:w="80"/>
              <w:right w:type="dxa" w:w="100"/>
            </w:tcMar>
          </w:tcPr>
          <w:p>
            <w:r>
              <w:rPr>
                <w:rFonts w:ascii="Calibri" w:cs="Calibri" w:eastAsia="Calibri" w:hAnsi="Calibri"/>
                <w:color w:val="222222"/>
                <w:sz w:val="20"/>
                <w:szCs w:val="20"/>
              </w:rPr>
              <w:t xml:space="preserve">Agent Development</w:t>
            </w:r>
          </w:p>
        </w:tc>
        <w:tc>
          <w:tcPr>
            <w:tcW w:type="dxa" w:w="3200"/>
            <w:shd w:fill="F2F2F2" w:val="clear"/>
            <w:tcMar>
              <w:top w:type="dxa" w:w="80"/>
              <w:left w:type="dxa" w:w="100"/>
              <w:bottom w:type="dxa" w:w="80"/>
              <w:right w:type="dxa" w:w="100"/>
            </w:tcMar>
          </w:tcPr>
          <w:p>
            <w:r>
              <w:rPr>
                <w:rFonts w:ascii="Calibri" w:cs="Calibri" w:eastAsia="Calibri" w:hAnsi="Calibri"/>
                <w:b/>
                <w:bCs/>
                <w:color w:val="C9A227"/>
                <w:sz w:val="20"/>
                <w:szCs w:val="20"/>
              </w:rPr>
              <w:t xml:space="preserve">18%</w:t>
            </w:r>
          </w:p>
        </w:tc>
      </w:tr>
      <w:tr>
        <w:tc>
          <w:tcPr>
            <w:tcW w:type="dxa" w:w="900"/>
            <w:shd w:fill="FFFFFF" w:val="clear"/>
            <w:tcMar>
              <w:top w:type="dxa" w:w="80"/>
              <w:left w:type="dxa" w:w="100"/>
              <w:bottom w:type="dxa" w:w="80"/>
              <w:right w:type="dxa" w:w="100"/>
            </w:tcMar>
          </w:tcPr>
          <w:p>
            <w:r>
              <w:rPr>
                <w:rFonts w:ascii="Calibri" w:cs="Calibri" w:eastAsia="Calibri" w:hAnsi="Calibri"/>
                <w:b/>
                <w:bCs/>
                <w:color w:val="1B2A4A"/>
                <w:sz w:val="20"/>
                <w:szCs w:val="20"/>
              </w:rPr>
              <w:t xml:space="preserve">5</w:t>
            </w:r>
          </w:p>
        </w:tc>
        <w:tc>
          <w:tcPr>
            <w:tcW w:type="dxa" w:w="5600"/>
            <w:shd w:fill="FFFFFF" w:val="clear"/>
            <w:tcMar>
              <w:top w:type="dxa" w:w="80"/>
              <w:left w:type="dxa" w:w="100"/>
              <w:bottom w:type="dxa" w:w="80"/>
              <w:right w:type="dxa" w:w="100"/>
            </w:tcMar>
          </w:tcPr>
          <w:p>
            <w:r>
              <w:rPr>
                <w:rFonts w:ascii="Calibri" w:cs="Calibri" w:eastAsia="Calibri" w:hAnsi="Calibri"/>
                <w:color w:val="222222"/>
                <w:sz w:val="20"/>
                <w:szCs w:val="20"/>
              </w:rPr>
              <w:t xml:space="preserve">Model Management</w:t>
            </w:r>
          </w:p>
        </w:tc>
        <w:tc>
          <w:tcPr>
            <w:tcW w:type="dxa" w:w="3200"/>
            <w:shd w:fill="FFFFFF" w:val="clear"/>
            <w:tcMar>
              <w:top w:type="dxa" w:w="80"/>
              <w:left w:type="dxa" w:w="100"/>
              <w:bottom w:type="dxa" w:w="80"/>
              <w:right w:type="dxa" w:w="100"/>
            </w:tcMar>
          </w:tcPr>
          <w:p>
            <w:r>
              <w:rPr>
                <w:rFonts w:ascii="Calibri" w:cs="Calibri" w:eastAsia="Calibri" w:hAnsi="Calibri"/>
                <w:b/>
                <w:bCs/>
                <w:color w:val="C9A227"/>
                <w:sz w:val="20"/>
                <w:szCs w:val="20"/>
              </w:rPr>
              <w:t xml:space="preserve">14%</w:t>
            </w:r>
          </w:p>
        </w:tc>
      </w:tr>
      <w:tr>
        <w:tc>
          <w:tcPr>
            <w:tcW w:type="dxa" w:w="900"/>
            <w:shd w:fill="F2F2F2" w:val="clear"/>
            <w:tcMar>
              <w:top w:type="dxa" w:w="80"/>
              <w:left w:type="dxa" w:w="100"/>
              <w:bottom w:type="dxa" w:w="80"/>
              <w:right w:type="dxa" w:w="100"/>
            </w:tcMar>
          </w:tcPr>
          <w:p>
            <w:r>
              <w:rPr>
                <w:rFonts w:ascii="Calibri" w:cs="Calibri" w:eastAsia="Calibri" w:hAnsi="Calibri"/>
                <w:b/>
                <w:bCs/>
                <w:color w:val="1B2A4A"/>
                <w:sz w:val="20"/>
                <w:szCs w:val="20"/>
              </w:rPr>
              <w:t xml:space="preserve">6</w:t>
            </w:r>
          </w:p>
        </w:tc>
        <w:tc>
          <w:tcPr>
            <w:tcW w:type="dxa" w:w="5600"/>
            <w:shd w:fill="F2F2F2" w:val="clear"/>
            <w:tcMar>
              <w:top w:type="dxa" w:w="80"/>
              <w:left w:type="dxa" w:w="100"/>
              <w:bottom w:type="dxa" w:w="80"/>
              <w:right w:type="dxa" w:w="100"/>
            </w:tcMar>
          </w:tcPr>
          <w:p>
            <w:r>
              <w:rPr>
                <w:rFonts w:ascii="Calibri" w:cs="Calibri" w:eastAsia="Calibri" w:hAnsi="Calibri"/>
                <w:color w:val="222222"/>
                <w:sz w:val="20"/>
                <w:szCs w:val="20"/>
              </w:rPr>
              <w:t xml:space="preserve">Security, Compliance, and Observability</w:t>
            </w:r>
          </w:p>
        </w:tc>
        <w:tc>
          <w:tcPr>
            <w:tcW w:type="dxa" w:w="3200"/>
            <w:shd w:fill="F2F2F2" w:val="clear"/>
            <w:tcMar>
              <w:top w:type="dxa" w:w="80"/>
              <w:left w:type="dxa" w:w="100"/>
              <w:bottom w:type="dxa" w:w="80"/>
              <w:right w:type="dxa" w:w="100"/>
            </w:tcMar>
          </w:tcPr>
          <w:p>
            <w:r>
              <w:rPr>
                <w:rFonts w:ascii="Calibri" w:cs="Calibri" w:eastAsia="Calibri" w:hAnsi="Calibri"/>
                <w:b/>
                <w:bCs/>
                <w:color w:val="C9A227"/>
                <w:sz w:val="20"/>
                <w:szCs w:val="20"/>
              </w:rPr>
              <w:t xml:space="preserve">11%</w:t>
            </w:r>
          </w:p>
        </w:tc>
      </w:tr>
      <w:tr>
        <w:tc>
          <w:tcPr>
            <w:tcW w:type="dxa" w:w="900"/>
            <w:shd w:fill="FFFFFF" w:val="clear"/>
            <w:tcMar>
              <w:top w:type="dxa" w:w="80"/>
              <w:left w:type="dxa" w:w="100"/>
              <w:bottom w:type="dxa" w:w="80"/>
              <w:right w:type="dxa" w:w="100"/>
            </w:tcMar>
          </w:tcPr>
          <w:p>
            <w:r>
              <w:rPr>
                <w:rFonts w:ascii="Calibri" w:cs="Calibri" w:eastAsia="Calibri" w:hAnsi="Calibri"/>
                <w:b/>
                <w:bCs/>
                <w:color w:val="1B2A4A"/>
                <w:sz w:val="20"/>
                <w:szCs w:val="20"/>
              </w:rPr>
              <w:t xml:space="preserve">7</w:t>
            </w:r>
          </w:p>
        </w:tc>
        <w:tc>
          <w:tcPr>
            <w:tcW w:type="dxa" w:w="5600"/>
            <w:shd w:fill="FFFFFF" w:val="clear"/>
            <w:tcMar>
              <w:top w:type="dxa" w:w="80"/>
              <w:left w:type="dxa" w:w="100"/>
              <w:bottom w:type="dxa" w:w="80"/>
              <w:right w:type="dxa" w:w="100"/>
            </w:tcMar>
          </w:tcPr>
          <w:p>
            <w:r>
              <w:rPr>
                <w:rFonts w:ascii="Calibri" w:cs="Calibri" w:eastAsia="Calibri" w:hAnsi="Calibri"/>
                <w:color w:val="222222"/>
                <w:sz w:val="20"/>
                <w:szCs w:val="20"/>
              </w:rPr>
              <w:t xml:space="preserve">Deployment, Scaling, Optimization, and Resiliency</w:t>
            </w:r>
          </w:p>
        </w:tc>
        <w:tc>
          <w:tcPr>
            <w:tcW w:type="dxa" w:w="3200"/>
            <w:shd w:fill="FFFFFF" w:val="clear"/>
            <w:tcMar>
              <w:top w:type="dxa" w:w="80"/>
              <w:left w:type="dxa" w:w="100"/>
              <w:bottom w:type="dxa" w:w="80"/>
              <w:right w:type="dxa" w:w="100"/>
            </w:tcMar>
          </w:tcPr>
          <w:p>
            <w:r>
              <w:rPr>
                <w:rFonts w:ascii="Calibri" w:cs="Calibri" w:eastAsia="Calibri" w:hAnsi="Calibri"/>
                <w:b/>
                <w:bCs/>
                <w:color w:val="C9A227"/>
                <w:sz w:val="20"/>
                <w:szCs w:val="20"/>
              </w:rPr>
              <w:t xml:space="preserve">10%</w:t>
            </w:r>
          </w:p>
        </w:tc>
      </w:tr>
    </w:tbl>
    <w:p>
      <w:pPr>
        <w:spacing w:after="200"/>
      </w:pPr>
    </w:p>
    <w:p>
      <w:pPr>
        <w:spacing w:after="120" w:line="276"/>
      </w:pPr>
      <w:r>
        <w:rPr>
          <w:rFonts w:ascii="Calibri" w:cs="Calibri" w:eastAsia="Calibri" w:hAnsi="Calibri"/>
          <w:color w:val="222222"/>
          <w:sz w:val="21"/>
          <w:szCs w:val="21"/>
        </w:rPr>
        <w:t xml:space="preserve">Sections 2 and 4 (Agent/Assistant Integration and Agent Development) together account for 38% of the exam — nearly two-fifths — so allocate your deepest study time there. Sections 6 and 7 are the lightest by weight but are frequently where candidates under-prepare, since they cover operational topics (RBAC, audit logs, CI/CD, environments) that are easy to skip when focused purely on building agents.</w:t>
      </w:r>
    </w:p>
    <w:p>
      <w:pPr>
        <w:pStyle w:val="Heading2"/>
        <w:spacing w:after="150" w:before="300"/>
      </w:pPr>
      <w:r>
        <w:rPr>
          <w:rFonts w:ascii="Calibri" w:cs="Calibri" w:eastAsia="Calibri" w:hAnsi="Calibri"/>
          <w:b/>
          <w:bCs/>
          <w:color w:val="1B2A4A"/>
          <w:sz w:val="26"/>
          <w:szCs w:val="26"/>
        </w:rPr>
        <w:t xml:space="preserve">Official Study Resources</w:t>
      </w:r>
    </w:p>
    <w:p>
      <w:pPr>
        <w:pStyle w:val="ListParagraph"/>
        <w:numPr>
          <w:ilvl w:val="0"/>
          <w:numId w:val="3"/>
        </w:numPr>
        <w:spacing w:after="60" w:line="270"/>
      </w:pPr>
      <w:r>
        <w:rPr>
          <w:rFonts w:ascii="Calibri" w:cs="Calibri" w:eastAsia="Calibri" w:hAnsi="Calibri"/>
          <w:color w:val="222222"/>
          <w:sz w:val="21"/>
          <w:szCs w:val="21"/>
        </w:rPr>
        <w:t xml:space="preserve">IBM watsonx Orchestrate Documentation — https://www.ibm.com/docs/en/watsonx/watson-orchestrate</w:t>
      </w:r>
    </w:p>
    <w:p>
      <w:pPr>
        <w:pStyle w:val="ListParagraph"/>
        <w:numPr>
          <w:ilvl w:val="0"/>
          <w:numId w:val="3"/>
        </w:numPr>
        <w:spacing w:after="60" w:line="270"/>
      </w:pPr>
      <w:r>
        <w:rPr>
          <w:rFonts w:ascii="Calibri" w:cs="Calibri" w:eastAsia="Calibri" w:hAnsi="Calibri"/>
          <w:color w:val="222222"/>
          <w:sz w:val="21"/>
          <w:szCs w:val="21"/>
        </w:rPr>
        <w:t xml:space="preserve">IBM Community (watsonx and AI blogs, articles, discussions) — https://community.ibm.com/community/user</w:t>
      </w:r>
    </w:p>
    <w:p>
      <w:pPr>
        <w:pStyle w:val="ListParagraph"/>
        <w:numPr>
          <w:ilvl w:val="0"/>
          <w:numId w:val="3"/>
        </w:numPr>
        <w:spacing w:after="60" w:line="270"/>
      </w:pPr>
      <w:r>
        <w:rPr>
          <w:rFonts w:ascii="Calibri" w:cs="Calibri" w:eastAsia="Calibri" w:hAnsi="Calibri"/>
          <w:color w:val="222222"/>
          <w:sz w:val="21"/>
          <w:szCs w:val="21"/>
        </w:rPr>
        <w:t xml:space="preserve">IBM Developer Portal — https://developer.ibm.com</w:t>
      </w:r>
    </w:p>
    <w:p>
      <w:pPr>
        <w:pStyle w:val="ListParagraph"/>
        <w:numPr>
          <w:ilvl w:val="0"/>
          <w:numId w:val="3"/>
        </w:numPr>
        <w:spacing w:after="60" w:line="270"/>
      </w:pPr>
      <w:r>
        <w:rPr>
          <w:rFonts w:ascii="Calibri" w:cs="Calibri" w:eastAsia="Calibri" w:hAnsi="Calibri"/>
          <w:color w:val="222222"/>
          <w:sz w:val="21"/>
          <w:szCs w:val="21"/>
        </w:rPr>
        <w:t xml:space="preserve">IBM Developer APIs Catalog — https://developer.ibm.com/apis</w:t>
      </w:r>
    </w:p>
    <w:p>
      <w:pPr>
        <w:pStyle w:val="ListParagraph"/>
        <w:numPr>
          <w:ilvl w:val="0"/>
          <w:numId w:val="3"/>
        </w:numPr>
        <w:spacing w:after="60" w:line="270"/>
      </w:pPr>
      <w:r>
        <w:rPr>
          <w:rFonts w:ascii="Calibri" w:cs="Calibri" w:eastAsia="Calibri" w:hAnsi="Calibri"/>
          <w:color w:val="222222"/>
          <w:sz w:val="21"/>
          <w:szCs w:val="21"/>
        </w:rPr>
        <w:t xml:space="preserve">IBM Developer Articles — https://developer.ibm.com/articles</w:t>
      </w:r>
    </w:p>
    <w:p>
      <w:pPr>
        <w:pStyle w:val="ListParagraph"/>
        <w:numPr>
          <w:ilvl w:val="0"/>
          <w:numId w:val="3"/>
        </w:numPr>
        <w:spacing w:after="60" w:line="270"/>
      </w:pPr>
      <w:r>
        <w:rPr>
          <w:rFonts w:ascii="Calibri" w:cs="Calibri" w:eastAsia="Calibri" w:hAnsi="Calibri"/>
          <w:color w:val="222222"/>
          <w:sz w:val="21"/>
          <w:szCs w:val="21"/>
        </w:rPr>
        <w:t xml:space="preserve">watsonx Orchestrate Developer (ADK) Documentation — https://developer.watson-orchestrate.ibm.com</w:t>
      </w:r>
    </w:p>
    <w:p>
      <w:pPr>
        <w:pStyle w:val="ListParagraph"/>
        <w:numPr>
          <w:ilvl w:val="0"/>
          <w:numId w:val="3"/>
        </w:numPr>
        <w:spacing w:after="60" w:line="270"/>
      </w:pPr>
      <w:r>
        <w:rPr>
          <w:rFonts w:ascii="Calibri" w:cs="Calibri" w:eastAsia="Calibri" w:hAnsi="Calibri"/>
          <w:color w:val="222222"/>
          <w:sz w:val="21"/>
          <w:szCs w:val="21"/>
        </w:rPr>
        <w:t xml:space="preserve">watsonx Orchestrate Security &amp; Governance Portal — https://connect.watson-orchestrate.ibm.com</w:t>
      </w:r>
    </w:p>
    <w:p>
      <w:r>
        <w:br w:type="page"/>
      </w:r>
    </w:p>
    <w:tbl>
      <w:tblPr>
        <w:tblW w:type="pct" w:w="100%"/>
        <w:tblBorders>
          <w:top w:val="none"/>
          <w:left w:val="none"/>
          <w:bottom w:val="none"/>
          <w:right w:val="none"/>
          <w:insideH w:val="none"/>
          <w:insideV w:val="none"/>
        </w:tblBorders>
      </w:tblPr>
      <w:tblGrid>
        <w:gridCol w:w="100"/>
      </w:tblGrid>
      <w:tr>
        <w:tc>
          <w:tcPr>
            <w:tcW w:type="pct" w:w="100%"/>
            <w:shd w:fill="1B2A4A" w:val="clear"/>
            <w:tcMar>
              <w:top w:type="dxa" w:w="200"/>
              <w:left w:type="dxa" w:w="250"/>
              <w:bottom w:type="dxa" w:w="200"/>
              <w:right w:type="dxa" w:w="250"/>
            </w:tcMar>
          </w:tcPr>
          <w:p>
            <w:r>
              <w:rPr>
                <w:rFonts w:ascii="Calibri" w:cs="Calibri" w:eastAsia="Calibri" w:hAnsi="Calibri"/>
                <w:b/>
                <w:bCs/>
                <w:color w:val="C9A227"/>
                <w:sz w:val="20"/>
                <w:szCs w:val="20"/>
              </w:rPr>
              <w:t xml:space="preserve">SECTION 1</w:t>
            </w:r>
          </w:p>
          <w:p>
            <w:pPr>
              <w:spacing w:before="60"/>
            </w:pPr>
            <w:r>
              <w:rPr>
                <w:rFonts w:ascii="Calibri" w:cs="Calibri" w:eastAsia="Calibri" w:hAnsi="Calibri"/>
                <w:b/>
                <w:bCs/>
                <w:color w:val="FFFFFF"/>
                <w:sz w:val="30"/>
                <w:szCs w:val="30"/>
              </w:rPr>
              <w:t xml:space="preserve">Platform Architecture and Core Concepts</w:t>
            </w:r>
          </w:p>
          <w:p>
            <w:pPr>
              <w:spacing w:before="60"/>
            </w:pPr>
            <w:r>
              <w:rPr>
                <w:rFonts w:ascii="Calibri" w:cs="Calibri" w:eastAsia="Calibri" w:hAnsi="Calibri"/>
                <w:i/>
                <w:iCs/>
                <w:color w:val="F5E9C6"/>
                <w:sz w:val="20"/>
                <w:szCs w:val="20"/>
              </w:rPr>
              <w:t xml:space="preserve">Exam Weight: approximately 13% of the C1000-207 exam</w:t>
            </w:r>
          </w:p>
        </w:tc>
      </w:tr>
    </w:tbl>
    <w:p>
      <w:pPr>
        <w:spacing w:after="200"/>
      </w:pPr>
    </w:p>
    <w:p>
      <w:pPr>
        <w:spacing w:after="120" w:line="276"/>
      </w:pPr>
      <w:r>
        <w:rPr>
          <w:rFonts w:ascii="Calibri" w:cs="Calibri" w:eastAsia="Calibri" w:hAnsi="Calibri"/>
          <w:color w:val="222222"/>
          <w:sz w:val="21"/>
          <w:szCs w:val="21"/>
        </w:rPr>
        <w:t xml:space="preserve">This section establishes the vocabulary and mental model for everything else in the exam. You need to be able to explain, in your own words, what watsonx Orchestrate is, how it relates to IBM Software Hub, and what each core capability does — without yet needing to build anything.</w:t>
      </w:r>
    </w:p>
    <w:p>
      <w:pPr>
        <w:pStyle w:val="Heading2"/>
        <w:spacing w:after="150" w:before="300"/>
      </w:pPr>
      <w:r>
        <w:rPr>
          <w:rFonts w:ascii="Calibri" w:cs="Calibri" w:eastAsia="Calibri" w:hAnsi="Calibri"/>
          <w:b/>
          <w:bCs/>
          <w:color w:val="1B2A4A"/>
          <w:sz w:val="26"/>
          <w:szCs w:val="26"/>
        </w:rPr>
        <w:t xml:space="preserve">Concept Primer: What Is watsonx Orchestrate?</w:t>
      </w:r>
    </w:p>
    <w:p>
      <w:pPr>
        <w:spacing w:after="120" w:line="276"/>
      </w:pPr>
      <w:r>
        <w:rPr>
          <w:rFonts w:ascii="Calibri" w:cs="Calibri" w:eastAsia="Calibri" w:hAnsi="Calibri"/>
          <w:color w:val="222222"/>
          <w:sz w:val="21"/>
          <w:szCs w:val="21"/>
        </w:rPr>
        <w:t xml:space="preserve">IBM watsonx Orchestrate is an agentic AI control plane: a platform for building, connecting, running, and governing AI agents that reason, plan, and act using large language models (LLMs), rather than simply following a fixed script. It sits above a Software Hub / IBM Cloud Pak for Data-style platform layer that provides the underlying compute, storage, identity, and licensing services (on IBM Cloud, AWS, or on-premises).</w:t>
      </w:r>
    </w:p>
    <w:tbl>
      <w:tblPr>
        <w:tblW w:type="pct" w:w="100%"/>
        <w:tblBorders>
          <w:top w:val="single" w:color="C9A227" w:sz="4"/>
          <w:left w:val="single" w:color="C9A227" w:sz="4"/>
          <w:bottom w:val="single" w:color="C9A227" w:sz="4"/>
          <w:right w:val="single" w:color="C9A227" w:sz="4"/>
          <w:insideH w:val="none"/>
          <w:insideV w:val="none"/>
        </w:tblBorders>
      </w:tblPr>
      <w:tblGrid>
        <w:gridCol w:w="100"/>
      </w:tblGrid>
      <w:tr>
        <w:tc>
          <w:tcPr>
            <w:shd w:fill="F5E9C6" w:val="clear"/>
            <w:tcMar>
              <w:top w:type="dxa" w:w="150"/>
              <w:left w:type="dxa" w:w="200"/>
              <w:bottom w:type="dxa" w:w="150"/>
              <w:right w:type="dxa" w:w="200"/>
            </w:tcMar>
          </w:tcPr>
          <w:p>
            <w:pPr>
              <w:spacing w:after="80"/>
            </w:pPr>
            <w:r>
              <w:rPr>
                <w:rFonts w:ascii="Calibri" w:cs="Calibri" w:eastAsia="Calibri" w:hAnsi="Calibri"/>
                <w:b/>
                <w:bCs/>
                <w:color w:val="0F1B33"/>
                <w:sz w:val="21"/>
                <w:szCs w:val="21"/>
              </w:rPr>
              <w:t xml:space="preserve">💡 Core Mental Model</w:t>
            </w:r>
          </w:p>
          <w:p>
            <w:pPr>
              <w:spacing w:after="40"/>
            </w:pPr>
            <w:r>
              <w:rPr>
                <w:rFonts w:ascii="Calibri" w:cs="Calibri" w:eastAsia="Calibri" w:hAnsi="Calibri"/>
                <w:color w:val="222222"/>
                <w:sz w:val="20"/>
                <w:szCs w:val="20"/>
              </w:rPr>
              <w:t xml:space="preserve">• An AI Assistant follows a mostly deterministic, designer-defined conversation flow (classic virtual-agent style).</w:t>
            </w:r>
          </w:p>
          <w:p>
            <w:pPr>
              <w:spacing w:after="40"/>
            </w:pPr>
            <w:r>
              <w:rPr>
                <w:rFonts w:ascii="Calibri" w:cs="Calibri" w:eastAsia="Calibri" w:hAnsi="Calibri"/>
                <w:color w:val="222222"/>
                <w:sz w:val="20"/>
                <w:szCs w:val="20"/>
              </w:rPr>
              <w:t xml:space="preserve">• An AI Agent reasons with an LLM in a Plan → Execute → Reflect loop, choosing which tools or collaborator agents to call to satisfy a goal.</w:t>
            </w:r>
          </w:p>
          <w:p>
            <w:pPr>
              <w:spacing w:after="40"/>
            </w:pPr>
            <w:r>
              <w:rPr>
                <w:rFonts w:ascii="Calibri" w:cs="Calibri" w:eastAsia="Calibri" w:hAnsi="Calibri"/>
                <w:color w:val="222222"/>
                <w:sz w:val="20"/>
                <w:szCs w:val="20"/>
              </w:rPr>
              <w:t xml:space="preserve">• Multi-agent orchestration composes many specialised agents (each scoped to one cognitive task) under a supervisor/orchestrator agent.</w:t>
            </w:r>
          </w:p>
          <w:p>
            <w:pPr>
              <w:spacing w:after="40"/>
            </w:pPr>
            <w:r>
              <w:rPr>
                <w:rFonts w:ascii="Calibri" w:cs="Calibri" w:eastAsia="Calibri" w:hAnsi="Calibri"/>
                <w:color w:val="222222"/>
                <w:sz w:val="20"/>
                <w:szCs w:val="20"/>
              </w:rPr>
              <w:t xml:space="preserve">• Everything an agent needs — its model, its tools, its knowledge, its collaborators — is captured in a declarative definition (YAML via the ADK, or the no-code Agent Builder UI).</w:t>
            </w:r>
          </w:p>
        </w:tc>
      </w:tr>
    </w:tbl>
    <w:tbl>
      <w:tblPr>
        <w:tblW w:type="pct" w:w="100%"/>
        <w:tblBorders>
          <w:top w:val="none"/>
          <w:left w:val="none"/>
          <w:bottom w:val="single" w:color="C9A227" w:sz="6"/>
          <w:right w:val="none"/>
          <w:insideH w:val="none"/>
          <w:insideV w:val="none"/>
        </w:tblBorders>
      </w:tblPr>
      <w:tblGrid>
        <w:gridCol w:w="100"/>
      </w:tblGrid>
      <w:tr>
        <w:tc>
          <w:tcPr>
            <w:shd w:fill="F2F2F2" w:val="clear"/>
            <w:tcMar>
              <w:top w:type="dxa" w:w="120"/>
              <w:left w:type="dxa" w:w="200"/>
              <w:bottom w:type="dxa" w:w="120"/>
              <w:right w:type="dxa" w:w="200"/>
            </w:tcMar>
          </w:tcPr>
          <w:p>
            <w:r>
              <w:rPr>
                <w:rFonts w:ascii="Calibri" w:cs="Calibri" w:eastAsia="Calibri" w:hAnsi="Calibri"/>
                <w:b/>
                <w:bCs/>
                <w:color w:val="C9A227"/>
                <w:sz w:val="23"/>
                <w:szCs w:val="23"/>
              </w:rPr>
              <w:t xml:space="preserve">TASK 1.1  </w:t>
            </w:r>
            <w:r>
              <w:rPr>
                <w:rFonts w:ascii="Calibri" w:cs="Calibri" w:eastAsia="Calibri" w:hAnsi="Calibri"/>
                <w:b/>
                <w:bCs/>
                <w:color w:val="1B2A4A"/>
                <w:sz w:val="23"/>
                <w:szCs w:val="23"/>
              </w:rPr>
              <w:t xml:space="preserve">Understand the Core Capabilities of the watsonx Orchestrate Platform</w:t>
            </w:r>
          </w:p>
        </w:tc>
      </w:tr>
    </w:tbl>
    <w:p>
      <w:pPr>
        <w:spacing w:after="100"/>
      </w:pPr>
    </w:p>
    <w:p>
      <w:pPr>
        <w:pStyle w:val="Heading3"/>
        <w:spacing w:after="100" w:before="220"/>
      </w:pPr>
      <w:r>
        <w:rPr>
          <w:rFonts w:ascii="Calibri" w:cs="Calibri" w:eastAsia="Calibri" w:hAnsi="Calibri"/>
          <w:b/>
          <w:bCs/>
          <w:color w:val="0F1B33"/>
          <w:sz w:val="23"/>
          <w:szCs w:val="23"/>
        </w:rPr>
        <w:t xml:space="preserve">1. Understand AI agents</w:t>
      </w:r>
    </w:p>
    <w:p>
      <w:pPr>
        <w:spacing w:after="80" w:before="160"/>
      </w:pPr>
      <w:r>
        <w:rPr>
          <w:rFonts w:ascii="Calibri" w:cs="Calibri" w:eastAsia="Calibri" w:hAnsi="Calibri"/>
          <w:b/>
          <w:bCs/>
          <w:i/>
          <w:iCs/>
          <w:color w:val="C9A227"/>
          <w:sz w:val="21"/>
          <w:szCs w:val="21"/>
        </w:rPr>
        <w:t xml:space="preserve">1.1 Describe AI orchestration</w:t>
      </w:r>
    </w:p>
    <w:p>
      <w:pPr>
        <w:spacing w:after="120" w:line="276"/>
      </w:pPr>
      <w:r>
        <w:rPr>
          <w:rFonts w:ascii="Calibri" w:cs="Calibri" w:eastAsia="Calibri" w:hAnsi="Calibri"/>
          <w:color w:val="222222"/>
          <w:sz w:val="21"/>
          <w:szCs w:val="21"/>
        </w:rPr>
        <w:t xml:space="preserve">AI orchestration is the coordination of multiple AI capabilities — models, tools, data sources, and other agents — toward a business outcome. Rather than a single monolithic prompt, orchestration decomposes a goal into a sequence of reasoning and action steps, deciding at each step whether the LLM can answer directly, whether a tool call is needed, or whether the task should be delegated to another agent.</w:t>
      </w:r>
    </w:p>
    <w:p>
      <w:pPr>
        <w:spacing w:after="80" w:before="160"/>
      </w:pPr>
      <w:r>
        <w:rPr>
          <w:rFonts w:ascii="Calibri" w:cs="Calibri" w:eastAsia="Calibri" w:hAnsi="Calibri"/>
          <w:b/>
          <w:bCs/>
          <w:i/>
          <w:iCs/>
          <w:color w:val="C9A227"/>
          <w:sz w:val="21"/>
          <w:szCs w:val="21"/>
        </w:rPr>
        <w:t xml:space="preserve">1.2 Explain the business need for AI Agent orchestration</w:t>
      </w:r>
    </w:p>
    <w:p>
      <w:pPr>
        <w:spacing w:after="120" w:line="276"/>
      </w:pPr>
      <w:r>
        <w:rPr>
          <w:rFonts w:ascii="Calibri" w:cs="Calibri" w:eastAsia="Calibri" w:hAnsi="Calibri"/>
          <w:color w:val="222222"/>
          <w:sz w:val="21"/>
          <w:szCs w:val="21"/>
        </w:rPr>
        <w:t xml:space="preserve">Enterprises accumulate agents and automations across many teams, vendors, and frameworks (in-house Python bots, vendor chatbots, RPA scripts, LangGraph/CrewAI agents). Without orchestration, this becomes fragmented: duplicated effort, inconsistent governance, and no single place to see what's running. AI Agent orchestration provides a control plane that unifies discovery, execution, monitoring and governance of that entire estate — regardless of which framework built each agent — so organisations get consistency, auditability, and reuse instead of one-off point solutions.</w:t>
      </w:r>
    </w:p>
    <w:p>
      <w:pPr>
        <w:pStyle w:val="Heading3"/>
        <w:spacing w:after="100" w:before="220"/>
      </w:pPr>
      <w:r>
        <w:rPr>
          <w:rFonts w:ascii="Calibri" w:cs="Calibri" w:eastAsia="Calibri" w:hAnsi="Calibri"/>
          <w:b/>
          <w:bCs/>
          <w:color w:val="0F1B33"/>
          <w:sz w:val="23"/>
          <w:szCs w:val="23"/>
        </w:rPr>
        <w:t xml:space="preserve">2. Describe Software Hub</w:t>
      </w:r>
    </w:p>
    <w:p>
      <w:pPr>
        <w:spacing w:after="80" w:before="160"/>
      </w:pPr>
      <w:r>
        <w:rPr>
          <w:rFonts w:ascii="Calibri" w:cs="Calibri" w:eastAsia="Calibri" w:hAnsi="Calibri"/>
          <w:b/>
          <w:bCs/>
          <w:i/>
          <w:iCs/>
          <w:color w:val="C9A227"/>
          <w:sz w:val="21"/>
          <w:szCs w:val="21"/>
        </w:rPr>
        <w:t xml:space="preserve">2.1 Articulate the interdependence of Software Hub and Orchestrate</w:t>
      </w:r>
    </w:p>
    <w:p>
      <w:pPr>
        <w:spacing w:after="120" w:line="276"/>
      </w:pPr>
      <w:r>
        <w:rPr>
          <w:rFonts w:ascii="Calibri" w:cs="Calibri" w:eastAsia="Calibri" w:hAnsi="Calibri"/>
          <w:color w:val="222222"/>
          <w:sz w:val="21"/>
          <w:szCs w:val="21"/>
        </w:rPr>
        <w:t xml:space="preserve">IBM Software Hub (built on Cloud Pak for Data architecture) is the foundational enterprise platform that hosts services such as watsonx Orchestrate, watsonx.ai, and watsonx.governance on-premises or in hybrid deployments. watsonx Orchestrate is delivered as a licensed service that runs on top of Software Hub — Software Hub supplies the cluster, storage, user management/IAM, and licensing/entitlement plumbing, while Orchestrate supplies the agent runtime, catalog, and orchestration logic. In SaaS deployments (IBM Cloud, AWS Marketplace) this substrate is managed by IBM, but the same architectural relationship holds: Orchestrate cannot run standalone — it depends on a hosting platform for identity, storage and governance services.</w:t>
      </w:r>
    </w:p>
    <w:p>
      <w:pPr>
        <w:pStyle w:val="Heading3"/>
        <w:spacing w:after="100" w:before="220"/>
      </w:pPr>
      <w:r>
        <w:rPr>
          <w:rFonts w:ascii="Calibri" w:cs="Calibri" w:eastAsia="Calibri" w:hAnsi="Calibri"/>
          <w:b/>
          <w:bCs/>
          <w:color w:val="0F1B33"/>
          <w:sz w:val="23"/>
          <w:szCs w:val="23"/>
        </w:rPr>
        <w:t xml:space="preserve">3. Define the watsonx Orchestrate platform and its purpose within the automation ecosystem</w:t>
      </w:r>
    </w:p>
    <w:p>
      <w:pPr>
        <w:spacing w:after="120" w:line="276"/>
      </w:pPr>
      <w:r>
        <w:rPr>
          <w:rFonts w:ascii="Calibri" w:cs="Calibri" w:eastAsia="Calibri" w:hAnsi="Calibri"/>
          <w:color w:val="222222"/>
          <w:sz w:val="21"/>
          <w:szCs w:val="21"/>
        </w:rPr>
        <w:t xml:space="preserve">watsonx Orchestrate's purpose is to let organisations build, deploy, and manage AI agents across business functions (HR, sales, procurement, finance, customer care, IT) from one governed, hybrid, open control plane — connecting to 700+ enterprise systems, supporting any agent framework, and providing security, governance and observability across the full agent lifecycle.</w:t>
      </w:r>
    </w:p>
    <w:p>
      <w:pPr>
        <w:pStyle w:val="Heading3"/>
        <w:spacing w:after="100" w:before="220"/>
      </w:pPr>
      <w:r>
        <w:rPr>
          <w:rFonts w:ascii="Calibri" w:cs="Calibri" w:eastAsia="Calibri" w:hAnsi="Calibri"/>
          <w:b/>
          <w:bCs/>
          <w:color w:val="0F1B33"/>
          <w:sz w:val="23"/>
          <w:szCs w:val="23"/>
        </w:rPr>
        <w:t xml:space="preserve">4. Identify and describe each core capability</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400"/>
        <w:gridCol w:w="7800"/>
      </w:tblGrid>
      <w:tr>
        <w:tc>
          <w:tcPr>
            <w:tcW w:type="dxa" w:w="1400"/>
            <w:shd w:fill="FFFFFF" w:val="clear"/>
            <w:tcMar>
              <w:top w:type="dxa" w:w="80"/>
              <w:left w:type="dxa" w:w="100"/>
              <w:bottom w:type="dxa" w:w="80"/>
              <w:right w:type="dxa" w:w="100"/>
            </w:tcMar>
            <w:vAlign w:val="center"/>
          </w:tcPr>
          <w:p>
            <w:pPr>
              <w:spacing w:after="0"/>
            </w:pPr>
            <w:r>
              <w:rPr>
                <w:rFonts w:ascii="Calibri" w:cs="Calibri" w:eastAsia="Calibri" w:hAnsi="Calibri"/>
                <w:b/>
                <w:bCs/>
                <w:color w:val="1B2A4A"/>
                <w:sz w:val="19"/>
                <w:szCs w:val="19"/>
              </w:rPr>
              <w:t xml:space="preserve">4.1 Environments</w:t>
            </w:r>
          </w:p>
        </w:tc>
        <w:tc>
          <w:tcPr>
            <w:tcW w:type="dxa" w:w="7800"/>
            <w:shd w:fill="FFFFFF" w:val="clear"/>
            <w:tcMar>
              <w:top w:type="dxa" w:w="80"/>
              <w:left w:type="dxa" w:w="100"/>
              <w:bottom w:type="dxa" w:w="80"/>
              <w:right w:type="dxa" w:w="100"/>
            </w:tcMar>
          </w:tcPr>
          <w:p>
            <w:pPr>
              <w:spacing w:after="0"/>
            </w:pPr>
            <w:r>
              <w:rPr>
                <w:rFonts w:ascii="Calibri" w:cs="Calibri" w:eastAsia="Calibri" w:hAnsi="Calibri"/>
                <w:b w:val="false"/>
                <w:bCs w:val="false"/>
                <w:color w:val="222222"/>
                <w:sz w:val="19"/>
                <w:szCs w:val="19"/>
              </w:rPr>
              <w:t xml:space="preserve">Dev, Test, and Prod environments isolate configuration, credentials, and agent versions so changes can be promoted safely through a lifecycle rather than edited directly in production.</w:t>
            </w:r>
          </w:p>
        </w:tc>
      </w:tr>
      <w:tr>
        <w:tc>
          <w:tcPr>
            <w:tcW w:type="dxa" w:w="1400"/>
            <w:shd w:fill="F2F2F2" w:val="clear"/>
            <w:tcMar>
              <w:top w:type="dxa" w:w="80"/>
              <w:left w:type="dxa" w:w="100"/>
              <w:bottom w:type="dxa" w:w="80"/>
              <w:right w:type="dxa" w:w="100"/>
            </w:tcMar>
            <w:vAlign w:val="center"/>
          </w:tcPr>
          <w:p>
            <w:pPr>
              <w:spacing w:after="0"/>
            </w:pPr>
            <w:r>
              <w:rPr>
                <w:rFonts w:ascii="Calibri" w:cs="Calibri" w:eastAsia="Calibri" w:hAnsi="Calibri"/>
                <w:b/>
                <w:bCs/>
                <w:color w:val="1B2A4A"/>
                <w:sz w:val="19"/>
                <w:szCs w:val="19"/>
              </w:rPr>
              <w:t xml:space="preserve">4.2 Agents &amp; Assistants</w:t>
            </w:r>
          </w:p>
        </w:tc>
        <w:tc>
          <w:tcPr>
            <w:tcW w:type="dxa" w:w="7800"/>
            <w:shd w:fill="F2F2F2" w:val="clear"/>
            <w:tcMar>
              <w:top w:type="dxa" w:w="80"/>
              <w:left w:type="dxa" w:w="100"/>
              <w:bottom w:type="dxa" w:w="80"/>
              <w:right w:type="dxa" w:w="100"/>
            </w:tcMar>
          </w:tcPr>
          <w:p>
            <w:pPr>
              <w:spacing w:after="0"/>
            </w:pPr>
            <w:r>
              <w:rPr>
                <w:rFonts w:ascii="Calibri" w:cs="Calibri" w:eastAsia="Calibri" w:hAnsi="Calibri"/>
                <w:b w:val="false"/>
                <w:bCs w:val="false"/>
                <w:color w:val="222222"/>
                <w:sz w:val="19"/>
                <w:szCs w:val="19"/>
              </w:rPr>
              <w:t xml:space="preserve">Agents reason autonomously via an LLM and can call tools/collaborators; assistants follow a more prescribed, designer-authored conversational flow (the classic watsonx Assistant model).</w:t>
            </w:r>
          </w:p>
        </w:tc>
      </w:tr>
      <w:tr>
        <w:tc>
          <w:tcPr>
            <w:tcW w:type="dxa" w:w="1400"/>
            <w:shd w:fill="FFFFFF" w:val="clear"/>
            <w:tcMar>
              <w:top w:type="dxa" w:w="80"/>
              <w:left w:type="dxa" w:w="100"/>
              <w:bottom w:type="dxa" w:w="80"/>
              <w:right w:type="dxa" w:w="100"/>
            </w:tcMar>
            <w:vAlign w:val="center"/>
          </w:tcPr>
          <w:p>
            <w:pPr>
              <w:spacing w:after="0"/>
            </w:pPr>
            <w:r>
              <w:rPr>
                <w:rFonts w:ascii="Calibri" w:cs="Calibri" w:eastAsia="Calibri" w:hAnsi="Calibri"/>
                <w:b/>
                <w:bCs/>
                <w:color w:val="1B2A4A"/>
                <w:sz w:val="19"/>
                <w:szCs w:val="19"/>
              </w:rPr>
              <w:t xml:space="preserve">4.3 Tools &amp; Connections</w:t>
            </w:r>
          </w:p>
        </w:tc>
        <w:tc>
          <w:tcPr>
            <w:tcW w:type="dxa" w:w="7800"/>
            <w:shd w:fill="FFFFFF" w:val="clear"/>
            <w:tcMar>
              <w:top w:type="dxa" w:w="80"/>
              <w:left w:type="dxa" w:w="100"/>
              <w:bottom w:type="dxa" w:w="80"/>
              <w:right w:type="dxa" w:w="100"/>
            </w:tcMar>
          </w:tcPr>
          <w:p>
            <w:pPr>
              <w:spacing w:after="0"/>
            </w:pPr>
            <w:r>
              <w:rPr>
                <w:rFonts w:ascii="Calibri" w:cs="Calibri" w:eastAsia="Calibri" w:hAnsi="Calibri"/>
                <w:b w:val="false"/>
                <w:bCs w:val="false"/>
                <w:color w:val="222222"/>
                <w:sz w:val="19"/>
                <w:szCs w:val="19"/>
              </w:rPr>
              <w:t xml:space="preserve">Tools are discrete callable capabilities (Python functions, OpenAPI operations, MCP-exposed functions, Langflow flows); connections are the secured credential/endpoint objects that let tools and agents reach external systems.</w:t>
            </w:r>
          </w:p>
        </w:tc>
      </w:tr>
      <w:tr>
        <w:tc>
          <w:tcPr>
            <w:tcW w:type="dxa" w:w="1400"/>
            <w:shd w:fill="F2F2F2" w:val="clear"/>
            <w:tcMar>
              <w:top w:type="dxa" w:w="80"/>
              <w:left w:type="dxa" w:w="100"/>
              <w:bottom w:type="dxa" w:w="80"/>
              <w:right w:type="dxa" w:w="100"/>
            </w:tcMar>
            <w:vAlign w:val="center"/>
          </w:tcPr>
          <w:p>
            <w:pPr>
              <w:spacing w:after="0"/>
            </w:pPr>
            <w:r>
              <w:rPr>
                <w:rFonts w:ascii="Calibri" w:cs="Calibri" w:eastAsia="Calibri" w:hAnsi="Calibri"/>
                <w:b/>
                <w:bCs/>
                <w:color w:val="1B2A4A"/>
                <w:sz w:val="19"/>
                <w:szCs w:val="19"/>
              </w:rPr>
              <w:t xml:space="preserve">4.4 Agentic Workflows</w:t>
            </w:r>
          </w:p>
        </w:tc>
        <w:tc>
          <w:tcPr>
            <w:tcW w:type="dxa" w:w="7800"/>
            <w:shd w:fill="F2F2F2" w:val="clear"/>
            <w:tcMar>
              <w:top w:type="dxa" w:w="80"/>
              <w:left w:type="dxa" w:w="100"/>
              <w:bottom w:type="dxa" w:w="80"/>
              <w:right w:type="dxa" w:w="100"/>
            </w:tcMar>
          </w:tcPr>
          <w:p>
            <w:pPr>
              <w:spacing w:after="0"/>
            </w:pPr>
            <w:r>
              <w:rPr>
                <w:rFonts w:ascii="Calibri" w:cs="Calibri" w:eastAsia="Calibri" w:hAnsi="Calibri"/>
                <w:b w:val="false"/>
                <w:bCs w:val="false"/>
                <w:color w:val="222222"/>
                <w:sz w:val="19"/>
                <w:szCs w:val="19"/>
              </w:rPr>
              <w:t xml:space="preserve">A structured flow definition — trigger, sequence of actions, decision points, outcomes — that can combine multiple tools, agents, code blocks, and human-in-the-loop steps into one repeatable automation.</w:t>
            </w:r>
          </w:p>
        </w:tc>
      </w:tr>
      <w:tr>
        <w:tc>
          <w:tcPr>
            <w:tcW w:type="dxa" w:w="1400"/>
            <w:shd w:fill="FFFFFF" w:val="clear"/>
            <w:tcMar>
              <w:top w:type="dxa" w:w="80"/>
              <w:left w:type="dxa" w:w="100"/>
              <w:bottom w:type="dxa" w:w="80"/>
              <w:right w:type="dxa" w:w="100"/>
            </w:tcMar>
            <w:vAlign w:val="center"/>
          </w:tcPr>
          <w:p>
            <w:pPr>
              <w:spacing w:after="0"/>
            </w:pPr>
            <w:r>
              <w:rPr>
                <w:rFonts w:ascii="Calibri" w:cs="Calibri" w:eastAsia="Calibri" w:hAnsi="Calibri"/>
                <w:b/>
                <w:bCs/>
                <w:color w:val="1B2A4A"/>
                <w:sz w:val="19"/>
                <w:szCs w:val="19"/>
              </w:rPr>
              <w:t xml:space="preserve">4.5 Knowledge Bases</w:t>
            </w:r>
          </w:p>
        </w:tc>
        <w:tc>
          <w:tcPr>
            <w:tcW w:type="dxa" w:w="7800"/>
            <w:shd w:fill="FFFFFF" w:val="clear"/>
            <w:tcMar>
              <w:top w:type="dxa" w:w="80"/>
              <w:left w:type="dxa" w:w="100"/>
              <w:bottom w:type="dxa" w:w="80"/>
              <w:right w:type="dxa" w:w="100"/>
            </w:tcMar>
          </w:tcPr>
          <w:p>
            <w:pPr>
              <w:spacing w:after="0"/>
            </w:pPr>
            <w:r>
              <w:rPr>
                <w:rFonts w:ascii="Calibri" w:cs="Calibri" w:eastAsia="Calibri" w:hAnsi="Calibri"/>
                <w:b w:val="false"/>
                <w:bCs w:val="false"/>
                <w:color w:val="222222"/>
                <w:sz w:val="19"/>
                <w:szCs w:val="19"/>
              </w:rPr>
              <w:t xml:space="preserve">Document/vector-store backed repositories that ground agent answers in enterprise content (RAG) instead of relying purely on model knowledge.</w:t>
            </w:r>
          </w:p>
        </w:tc>
      </w:tr>
      <w:tr>
        <w:tc>
          <w:tcPr>
            <w:tcW w:type="dxa" w:w="1400"/>
            <w:shd w:fill="F2F2F2" w:val="clear"/>
            <w:tcMar>
              <w:top w:type="dxa" w:w="80"/>
              <w:left w:type="dxa" w:w="100"/>
              <w:bottom w:type="dxa" w:w="80"/>
              <w:right w:type="dxa" w:w="100"/>
            </w:tcMar>
            <w:vAlign w:val="center"/>
          </w:tcPr>
          <w:p>
            <w:pPr>
              <w:spacing w:after="0"/>
            </w:pPr>
            <w:r>
              <w:rPr>
                <w:rFonts w:ascii="Calibri" w:cs="Calibri" w:eastAsia="Calibri" w:hAnsi="Calibri"/>
                <w:b/>
                <w:bCs/>
                <w:color w:val="1B2A4A"/>
                <w:sz w:val="19"/>
                <w:szCs w:val="19"/>
              </w:rPr>
              <w:t xml:space="preserve">4.6 ADK (Agent Development Kit)</w:t>
            </w:r>
          </w:p>
        </w:tc>
        <w:tc>
          <w:tcPr>
            <w:tcW w:type="dxa" w:w="7800"/>
            <w:shd w:fill="F2F2F2" w:val="clear"/>
            <w:tcMar>
              <w:top w:type="dxa" w:w="80"/>
              <w:left w:type="dxa" w:w="100"/>
              <w:bottom w:type="dxa" w:w="80"/>
              <w:right w:type="dxa" w:w="100"/>
            </w:tcMar>
          </w:tcPr>
          <w:p>
            <w:pPr>
              <w:spacing w:after="0"/>
            </w:pPr>
            <w:r>
              <w:rPr>
                <w:rFonts w:ascii="Calibri" w:cs="Calibri" w:eastAsia="Calibri" w:hAnsi="Calibri"/>
                <w:b w:val="false"/>
                <w:bCs w:val="false"/>
                <w:color w:val="222222"/>
                <w:sz w:val="19"/>
                <w:szCs w:val="19"/>
              </w:rPr>
              <w:t xml:space="preserve">The pro-code toolchain (CLI + Python SDK + Developer Edition) used to define, test, and deploy agents, tools, connections, and knowledge bases as versioned, git-friendly artifacts.</w:t>
            </w:r>
          </w:p>
        </w:tc>
      </w:tr>
      <w:tr>
        <w:tc>
          <w:tcPr>
            <w:tcW w:type="dxa" w:w="1400"/>
            <w:shd w:fill="FFFFFF" w:val="clear"/>
            <w:tcMar>
              <w:top w:type="dxa" w:w="80"/>
              <w:left w:type="dxa" w:w="100"/>
              <w:bottom w:type="dxa" w:w="80"/>
              <w:right w:type="dxa" w:w="100"/>
            </w:tcMar>
            <w:vAlign w:val="center"/>
          </w:tcPr>
          <w:p>
            <w:pPr>
              <w:spacing w:after="0"/>
            </w:pPr>
            <w:r>
              <w:rPr>
                <w:rFonts w:ascii="Calibri" w:cs="Calibri" w:eastAsia="Calibri" w:hAnsi="Calibri"/>
                <w:b/>
                <w:bCs/>
                <w:color w:val="1B2A4A"/>
                <w:sz w:val="19"/>
                <w:szCs w:val="19"/>
              </w:rPr>
              <w:t xml:space="preserve">4.7 Catalog of Reusable Assets</w:t>
            </w:r>
          </w:p>
        </w:tc>
        <w:tc>
          <w:tcPr>
            <w:tcW w:type="dxa" w:w="7800"/>
            <w:shd w:fill="FFFFFF" w:val="clear"/>
            <w:tcMar>
              <w:top w:type="dxa" w:w="80"/>
              <w:left w:type="dxa" w:w="100"/>
              <w:bottom w:type="dxa" w:w="80"/>
              <w:right w:type="dxa" w:w="100"/>
            </w:tcMar>
          </w:tcPr>
          <w:p>
            <w:pPr>
              <w:spacing w:after="0"/>
            </w:pPr>
            <w:r>
              <w:rPr>
                <w:rFonts w:ascii="Calibri" w:cs="Calibri" w:eastAsia="Calibri" w:hAnsi="Calibri"/>
                <w:b w:val="false"/>
                <w:bCs w:val="false"/>
                <w:color w:val="222222"/>
                <w:sz w:val="19"/>
                <w:szCs w:val="19"/>
              </w:rPr>
              <w:t xml:space="preserve">A governed catalog of prebuilt IBM and partner agents/tools (Agent Catalog) that can be deployed as-is or used as a starting point, with RBAC and lifecycle management applied.</w:t>
            </w:r>
          </w:p>
        </w:tc>
      </w:tr>
      <w:tr>
        <w:tc>
          <w:tcPr>
            <w:tcW w:type="dxa" w:w="1400"/>
            <w:shd w:fill="F2F2F2" w:val="clear"/>
            <w:tcMar>
              <w:top w:type="dxa" w:w="80"/>
              <w:left w:type="dxa" w:w="100"/>
              <w:bottom w:type="dxa" w:w="80"/>
              <w:right w:type="dxa" w:w="100"/>
            </w:tcMar>
            <w:vAlign w:val="center"/>
          </w:tcPr>
          <w:p>
            <w:pPr>
              <w:spacing w:after="0"/>
            </w:pPr>
            <w:r>
              <w:rPr>
                <w:rFonts w:ascii="Calibri" w:cs="Calibri" w:eastAsia="Calibri" w:hAnsi="Calibri"/>
                <w:b/>
                <w:bCs/>
                <w:color w:val="1B2A4A"/>
                <w:sz w:val="19"/>
                <w:szCs w:val="19"/>
              </w:rPr>
              <w:t xml:space="preserve">4.8 AI Gateway &amp; model policies</w:t>
            </w:r>
          </w:p>
        </w:tc>
        <w:tc>
          <w:tcPr>
            <w:tcW w:type="dxa" w:w="7800"/>
            <w:shd w:fill="F2F2F2" w:val="clear"/>
            <w:tcMar>
              <w:top w:type="dxa" w:w="80"/>
              <w:left w:type="dxa" w:w="100"/>
              <w:bottom w:type="dxa" w:w="80"/>
              <w:right w:type="dxa" w:w="100"/>
            </w:tcMar>
          </w:tcPr>
          <w:p>
            <w:pPr>
              <w:spacing w:after="0"/>
            </w:pPr>
            <w:r>
              <w:rPr>
                <w:rFonts w:ascii="Calibri" w:cs="Calibri" w:eastAsia="Calibri" w:hAnsi="Calibri"/>
                <w:b w:val="false"/>
                <w:bCs w:val="false"/>
                <w:color w:val="222222"/>
                <w:sz w:val="19"/>
                <w:szCs w:val="19"/>
              </w:rPr>
              <w:t xml:space="preserve">A unified layer for registering and routing to multiple LLM/embedding providers (IBM, AWS Bedrock, OpenAI, Ollama, etc.) with policies controlling model selection, failover, and guardrails.</w:t>
            </w:r>
          </w:p>
        </w:tc>
      </w:tr>
    </w:tbl>
    <w:p>
      <w:pPr>
        <w:pStyle w:val="Heading3"/>
        <w:spacing w:after="100" w:before="220"/>
      </w:pPr>
      <w:r>
        <w:rPr>
          <w:rFonts w:ascii="Calibri" w:cs="Calibri" w:eastAsia="Calibri" w:hAnsi="Calibri"/>
          <w:b/>
          <w:bCs/>
          <w:color w:val="0F1B33"/>
          <w:sz w:val="23"/>
          <w:szCs w:val="23"/>
        </w:rPr>
        <w:t xml:space="preserve">5. Explain how these capabilities work together to enable end-to-end automation</w:t>
      </w:r>
    </w:p>
    <w:p>
      <w:pPr>
        <w:spacing w:after="120" w:line="276"/>
      </w:pPr>
      <w:r>
        <w:rPr>
          <w:rFonts w:ascii="Calibri" w:cs="Calibri" w:eastAsia="Calibri" w:hAnsi="Calibri"/>
          <w:color w:val="222222"/>
          <w:sz w:val="21"/>
          <w:szCs w:val="21"/>
        </w:rPr>
        <w:t xml:space="preserve">A typical flow: a user request enters via a channel → is routed to an orchestrator/supervisor agent → the agent's LLM (selected and routed via AI Gateway) reasons about intent → the agent calls tools/connections or delegates to collaborator agents/agentic workflows → any needed enterprise knowledge is retrieved from a Knowledge Base → the result is returned through the same channel, while every step is captured for observability and governance. Environments and the Catalog ensure this whole chain can be built once, tested safely, and promoted with confidence.</w:t>
      </w:r>
    </w:p>
    <w:p>
      <w:pPr>
        <w:pStyle w:val="Heading3"/>
        <w:spacing w:after="100" w:before="220"/>
      </w:pPr>
      <w:r>
        <w:rPr>
          <w:rFonts w:ascii="Calibri" w:cs="Calibri" w:eastAsia="Calibri" w:hAnsi="Calibri"/>
          <w:b/>
          <w:bCs/>
          <w:color w:val="0F1B33"/>
          <w:sz w:val="23"/>
          <w:szCs w:val="23"/>
        </w:rPr>
        <w:t xml:space="preserve">6. Recognize where governance, scalability, and security apply within the platform</w:t>
      </w:r>
    </w:p>
    <w:p>
      <w:pPr>
        <w:pStyle w:val="ListParagraph"/>
        <w:numPr>
          <w:ilvl w:val="0"/>
          <w:numId w:val="3"/>
        </w:numPr>
        <w:spacing w:after="60" w:line="270"/>
      </w:pPr>
      <w:r>
        <w:rPr>
          <w:rFonts w:ascii="Calibri" w:cs="Calibri" w:eastAsia="Calibri" w:hAnsi="Calibri"/>
          <w:color w:val="222222"/>
          <w:sz w:val="21"/>
          <w:szCs w:val="21"/>
        </w:rPr>
        <w:t xml:space="preserve">Governance: model policies, RBAC, the governed Agent Catalog, and lifecycle promotion gates (draft → live).</w:t>
      </w:r>
    </w:p>
    <w:p>
      <w:pPr>
        <w:pStyle w:val="ListParagraph"/>
        <w:numPr>
          <w:ilvl w:val="0"/>
          <w:numId w:val="3"/>
        </w:numPr>
        <w:spacing w:after="60" w:line="270"/>
      </w:pPr>
      <w:r>
        <w:rPr>
          <w:rFonts w:ascii="Calibri" w:cs="Calibri" w:eastAsia="Calibri" w:hAnsi="Calibri"/>
          <w:color w:val="222222"/>
          <w:sz w:val="21"/>
          <w:szCs w:val="21"/>
        </w:rPr>
        <w:t xml:space="preserve">Scalability: multi-agent composition, reusable tools/knowledge bases, environment isolation, and AI Gateway load-balancing/failover across model providers.</w:t>
      </w:r>
    </w:p>
    <w:p>
      <w:pPr>
        <w:pStyle w:val="ListParagraph"/>
        <w:numPr>
          <w:ilvl w:val="0"/>
          <w:numId w:val="3"/>
        </w:numPr>
        <w:spacing w:after="60" w:line="270"/>
      </w:pPr>
      <w:r>
        <w:rPr>
          <w:rFonts w:ascii="Calibri" w:cs="Calibri" w:eastAsia="Calibri" w:hAnsi="Calibri"/>
          <w:color w:val="222222"/>
          <w:sz w:val="21"/>
          <w:szCs w:val="21"/>
        </w:rPr>
        <w:t xml:space="preserve">Security: authentication/authorization on connections, encrypted credential storage, audit logging, and prompt-security controls (see Section 6).</w:t>
      </w:r>
    </w:p>
    <w:p>
      <w:pPr>
        <w:pStyle w:val="Heading3"/>
        <w:spacing w:after="100" w:before="220"/>
      </w:pPr>
      <w:r>
        <w:rPr>
          <w:rFonts w:ascii="Calibri" w:cs="Calibri" w:eastAsia="Calibri" w:hAnsi="Calibri"/>
          <w:b/>
          <w:bCs/>
          <w:color w:val="0F1B33"/>
          <w:sz w:val="23"/>
          <w:szCs w:val="23"/>
        </w:rPr>
        <w:t xml:space="preserve">7. Differentiate between built-in and custom (ADK-based) components</w:t>
      </w:r>
    </w:p>
    <w:p>
      <w:pPr>
        <w:spacing w:after="120" w:line="276"/>
      </w:pPr>
      <w:r>
        <w:rPr>
          <w:rFonts w:ascii="Calibri" w:cs="Calibri" w:eastAsia="Calibri" w:hAnsi="Calibri"/>
          <w:color w:val="222222"/>
          <w:sz w:val="21"/>
          <w:szCs w:val="21"/>
        </w:rPr>
        <w:t xml:space="preserve">Built-in components are those shipped and maintained by IBM or partners in the Agent Catalog / Agent Builder — ready to configure and deploy with minimal effort. Custom (ADK-based) components are authored by your own developers using the Agent Development Kit — Python tools, custom agent YAML definitions, imported OpenAPI or MCP tools, and Langflow flows — giving full control over logic, but requiring your team to own testing, versioning, and maintenance.</w:t>
      </w:r>
    </w:p>
    <w:p>
      <w:pPr>
        <w:spacing w:after="150"/>
      </w:pPr>
    </w:p>
    <w:tbl>
      <w:tblPr>
        <w:tblW w:type="pct" w:w="100%"/>
        <w:tblBorders>
          <w:top w:val="none"/>
          <w:left w:val="none"/>
          <w:bottom w:val="single" w:color="C9A227" w:sz="6"/>
          <w:right w:val="none"/>
          <w:insideH w:val="none"/>
          <w:insideV w:val="none"/>
        </w:tblBorders>
      </w:tblPr>
      <w:tblGrid>
        <w:gridCol w:w="100"/>
      </w:tblGrid>
      <w:tr>
        <w:tc>
          <w:tcPr>
            <w:shd w:fill="F2F2F2" w:val="clear"/>
            <w:tcMar>
              <w:top w:type="dxa" w:w="120"/>
              <w:left w:type="dxa" w:w="200"/>
              <w:bottom w:type="dxa" w:w="120"/>
              <w:right w:type="dxa" w:w="200"/>
            </w:tcMar>
          </w:tcPr>
          <w:p>
            <w:r>
              <w:rPr>
                <w:rFonts w:ascii="Calibri" w:cs="Calibri" w:eastAsia="Calibri" w:hAnsi="Calibri"/>
                <w:b/>
                <w:bCs/>
                <w:color w:val="C9A227"/>
                <w:sz w:val="23"/>
                <w:szCs w:val="23"/>
              </w:rPr>
              <w:t xml:space="preserve">TASK 1.2  </w:t>
            </w:r>
            <w:r>
              <w:rPr>
                <w:rFonts w:ascii="Calibri" w:cs="Calibri" w:eastAsia="Calibri" w:hAnsi="Calibri"/>
                <w:b/>
                <w:bCs/>
                <w:color w:val="1B2A4A"/>
                <w:sz w:val="23"/>
                <w:szCs w:val="23"/>
              </w:rPr>
              <w:t xml:space="preserve">Scope watsonx Orchestrate for a Business Use Case</w:t>
            </w:r>
          </w:p>
        </w:tc>
      </w:tr>
    </w:tbl>
    <w:p>
      <w:pPr>
        <w:spacing w:after="100"/>
      </w:pPr>
    </w:p>
    <w:p>
      <w:pPr>
        <w:pStyle w:val="Heading3"/>
        <w:spacing w:after="100" w:before="220"/>
      </w:pPr>
      <w:r>
        <w:rPr>
          <w:rFonts w:ascii="Calibri" w:cs="Calibri" w:eastAsia="Calibri" w:hAnsi="Calibri"/>
          <w:b/>
          <w:bCs/>
          <w:color w:val="0F1B33"/>
          <w:sz w:val="23"/>
          <w:szCs w:val="23"/>
        </w:rPr>
        <w:t xml:space="preserve">1–2. Identify when watsonx Orchestrate is the appropriate solution; characteristics of suitable processes</w:t>
      </w:r>
    </w:p>
    <w:p>
      <w:pPr>
        <w:spacing w:after="120" w:line="276"/>
      </w:pPr>
      <w:r>
        <w:rPr>
          <w:rFonts w:ascii="Calibri" w:cs="Calibri" w:eastAsia="Calibri" w:hAnsi="Calibri"/>
          <w:color w:val="222222"/>
          <w:sz w:val="21"/>
          <w:szCs w:val="21"/>
        </w:rPr>
        <w:t xml:space="preserve">Orchestrate is the right fit for processes that are repetitive, rule-based, multi-step, have reasonably standardized inputs, and produce predictable outcomes — the kind of work that consumes staff time but doesn't require deep custom model training.</w:t>
      </w:r>
    </w:p>
    <w:p>
      <w:pPr>
        <w:pStyle w:val="Heading3"/>
        <w:spacing w:after="100" w:before="220"/>
      </w:pPr>
      <w:r>
        <w:rPr>
          <w:rFonts w:ascii="Calibri" w:cs="Calibri" w:eastAsia="Calibri" w:hAnsi="Calibri"/>
          <w:b/>
          <w:bCs/>
          <w:color w:val="0F1B33"/>
          <w:sz w:val="23"/>
          <w:szCs w:val="23"/>
        </w:rPr>
        <w:t xml:space="preserve">3–4. Suitable vs. unsuitable scenarios</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400"/>
        <w:gridCol w:w="7800"/>
      </w:tblGrid>
      <w:tr>
        <w:tc>
          <w:tcPr>
            <w:tcW w:type="dxa" w:w="1400"/>
            <w:shd w:fill="FFFFFF" w:val="clear"/>
            <w:tcMar>
              <w:top w:type="dxa" w:w="80"/>
              <w:left w:type="dxa" w:w="100"/>
              <w:bottom w:type="dxa" w:w="80"/>
              <w:right w:type="dxa" w:w="100"/>
            </w:tcMar>
            <w:vAlign w:val="center"/>
          </w:tcPr>
          <w:p>
            <w:pPr>
              <w:spacing w:after="0"/>
            </w:pPr>
            <w:r>
              <w:rPr>
                <w:rFonts w:ascii="Calibri" w:cs="Calibri" w:eastAsia="Calibri" w:hAnsi="Calibri"/>
                <w:b/>
                <w:bCs/>
                <w:color w:val="1B2A4A"/>
                <w:sz w:val="19"/>
                <w:szCs w:val="19"/>
              </w:rPr>
              <w:t xml:space="preserve">Good fit</w:t>
            </w:r>
          </w:p>
        </w:tc>
        <w:tc>
          <w:tcPr>
            <w:tcW w:type="dxa" w:w="7800"/>
            <w:shd w:fill="FFFFFF" w:val="clear"/>
            <w:tcMar>
              <w:top w:type="dxa" w:w="80"/>
              <w:left w:type="dxa" w:w="100"/>
              <w:bottom w:type="dxa" w:w="80"/>
              <w:right w:type="dxa" w:w="100"/>
            </w:tcMar>
          </w:tcPr>
          <w:p>
            <w:pPr>
              <w:spacing w:after="0"/>
            </w:pPr>
            <w:r>
              <w:rPr>
                <w:rFonts w:ascii="Calibri" w:cs="Calibri" w:eastAsia="Calibri" w:hAnsi="Calibri"/>
                <w:b w:val="false"/>
                <w:bCs w:val="false"/>
                <w:color w:val="222222"/>
                <w:sz w:val="19"/>
                <w:szCs w:val="19"/>
              </w:rPr>
              <w:t xml:space="preserve">Task automation (approvals, data lookups, report generation), human-in-the-loop workflows (approval gates, escalations), and cross-system orchestration (pulling/pushing data across ERP, CRM, HRIS).</w:t>
            </w:r>
          </w:p>
        </w:tc>
      </w:tr>
      <w:tr>
        <w:tc>
          <w:tcPr>
            <w:tcW w:type="dxa" w:w="1400"/>
            <w:shd w:fill="F2F2F2" w:val="clear"/>
            <w:tcMar>
              <w:top w:type="dxa" w:w="80"/>
              <w:left w:type="dxa" w:w="100"/>
              <w:bottom w:type="dxa" w:w="80"/>
              <w:right w:type="dxa" w:w="100"/>
            </w:tcMar>
            <w:vAlign w:val="center"/>
          </w:tcPr>
          <w:p>
            <w:pPr>
              <w:spacing w:after="0"/>
            </w:pPr>
            <w:r>
              <w:rPr>
                <w:rFonts w:ascii="Calibri" w:cs="Calibri" w:eastAsia="Calibri" w:hAnsi="Calibri"/>
                <w:b/>
                <w:bCs/>
                <w:color w:val="1B2A4A"/>
                <w:sz w:val="19"/>
                <w:szCs w:val="19"/>
              </w:rPr>
              <w:t xml:space="preserve">Poor fit</w:t>
            </w:r>
          </w:p>
        </w:tc>
        <w:tc>
          <w:tcPr>
            <w:tcW w:type="dxa" w:w="7800"/>
            <w:shd w:fill="F2F2F2" w:val="clear"/>
            <w:tcMar>
              <w:top w:type="dxa" w:w="80"/>
              <w:left w:type="dxa" w:w="100"/>
              <w:bottom w:type="dxa" w:w="80"/>
              <w:right w:type="dxa" w:w="100"/>
            </w:tcMar>
          </w:tcPr>
          <w:p>
            <w:pPr>
              <w:spacing w:after="0"/>
            </w:pPr>
            <w:r>
              <w:rPr>
                <w:rFonts w:ascii="Calibri" w:cs="Calibri" w:eastAsia="Calibri" w:hAnsi="Calibri"/>
                <w:b w:val="false"/>
                <w:bCs w:val="false"/>
                <w:color w:val="222222"/>
                <w:sz w:val="19"/>
                <w:szCs w:val="19"/>
              </w:rPr>
              <w:t xml:space="preserve">Highly custom software development, complex ML model training/pipelines, and unstructured decision-making that has no definable success criteria or repeatable pattern.</w:t>
            </w:r>
          </w:p>
        </w:tc>
      </w:tr>
    </w:tbl>
    <w:p>
      <w:pPr>
        <w:pStyle w:val="Heading3"/>
        <w:spacing w:after="100" w:before="220"/>
      </w:pPr>
      <w:r>
        <w:rPr>
          <w:rFonts w:ascii="Calibri" w:cs="Calibri" w:eastAsia="Calibri" w:hAnsi="Calibri"/>
          <w:b/>
          <w:bCs/>
          <w:color w:val="0F1B33"/>
          <w:sz w:val="23"/>
          <w:szCs w:val="23"/>
        </w:rPr>
        <w:t xml:space="preserve">5. Analyze an existing business process to prepare it for automation</w:t>
      </w:r>
    </w:p>
    <w:p>
      <w:pPr>
        <w:pStyle w:val="ListParagraph"/>
        <w:numPr>
          <w:ilvl w:val="0"/>
          <w:numId w:val="3"/>
        </w:numPr>
        <w:spacing w:after="60" w:line="270"/>
      </w:pPr>
      <w:r>
        <w:rPr>
          <w:rFonts w:ascii="Calibri" w:cs="Calibri" w:eastAsia="Calibri" w:hAnsi="Calibri"/>
          <w:color w:val="222222"/>
          <w:sz w:val="21"/>
          <w:szCs w:val="21"/>
        </w:rPr>
        <w:t xml:space="preserve">5.1 Identify process triggers, actors, systems, and required data — what starts the process, who is involved, and what systems/data it touches.</w:t>
      </w:r>
    </w:p>
    <w:p>
      <w:pPr>
        <w:pStyle w:val="ListParagraph"/>
        <w:numPr>
          <w:ilvl w:val="0"/>
          <w:numId w:val="3"/>
        </w:numPr>
        <w:spacing w:after="60" w:line="270"/>
      </w:pPr>
      <w:r>
        <w:rPr>
          <w:rFonts w:ascii="Calibri" w:cs="Calibri" w:eastAsia="Calibri" w:hAnsi="Calibri"/>
          <w:color w:val="222222"/>
          <w:sz w:val="21"/>
          <w:szCs w:val="21"/>
        </w:rPr>
        <w:t xml:space="preserve">5.2 Recognize dependencies and handoffs — where work passes between people, teams, or systems.</w:t>
      </w:r>
    </w:p>
    <w:p>
      <w:pPr>
        <w:pStyle w:val="ListParagraph"/>
        <w:numPr>
          <w:ilvl w:val="0"/>
          <w:numId w:val="3"/>
        </w:numPr>
        <w:spacing w:after="60" w:line="270"/>
      </w:pPr>
      <w:r>
        <w:rPr>
          <w:rFonts w:ascii="Calibri" w:cs="Calibri" w:eastAsia="Calibri" w:hAnsi="Calibri"/>
          <w:color w:val="222222"/>
          <w:sz w:val="21"/>
          <w:szCs w:val="21"/>
        </w:rPr>
        <w:t xml:space="preserve">5.3 Determine required decisions, approvals, and conditions — the branching logic and human checkpoints needed.</w:t>
      </w:r>
    </w:p>
    <w:p>
      <w:pPr>
        <w:pStyle w:val="ListParagraph"/>
        <w:numPr>
          <w:ilvl w:val="0"/>
          <w:numId w:val="3"/>
        </w:numPr>
        <w:spacing w:after="60" w:line="270"/>
      </w:pPr>
      <w:r>
        <w:rPr>
          <w:rFonts w:ascii="Calibri" w:cs="Calibri" w:eastAsia="Calibri" w:hAnsi="Calibri"/>
          <w:color w:val="222222"/>
          <w:sz w:val="21"/>
          <w:szCs w:val="21"/>
        </w:rPr>
        <w:t xml:space="preserve">5.4 Identify desired outcomes and success metrics — what "done" looks like and how you'll measure it (cycle time, error rate, cost).</w:t>
      </w:r>
    </w:p>
    <w:tbl>
      <w:tblPr>
        <w:tblW w:type="pct" w:w="100%"/>
        <w:tblBorders>
          <w:top w:val="single" w:color="C9A227" w:sz="4"/>
          <w:left w:val="single" w:color="C9A227" w:sz="4"/>
          <w:bottom w:val="single" w:color="C9A227" w:sz="4"/>
          <w:right w:val="single" w:color="C9A227" w:sz="4"/>
          <w:insideH w:val="none"/>
          <w:insideV w:val="none"/>
        </w:tblBorders>
      </w:tblPr>
      <w:tblGrid>
        <w:gridCol w:w="100"/>
      </w:tblGrid>
      <w:tr>
        <w:tc>
          <w:tcPr>
            <w:shd w:fill="F5E9C6" w:val="clear"/>
            <w:tcMar>
              <w:top w:type="dxa" w:w="150"/>
              <w:left w:type="dxa" w:w="200"/>
              <w:bottom w:type="dxa" w:w="150"/>
              <w:right w:type="dxa" w:w="200"/>
            </w:tcMar>
          </w:tcPr>
          <w:p>
            <w:pPr>
              <w:spacing w:after="80"/>
            </w:pPr>
            <w:r>
              <w:rPr>
                <w:rFonts w:ascii="Calibri" w:cs="Calibri" w:eastAsia="Calibri" w:hAnsi="Calibri"/>
                <w:b/>
                <w:bCs/>
                <w:color w:val="0F1B33"/>
                <w:sz w:val="21"/>
                <w:szCs w:val="21"/>
              </w:rPr>
              <w:t xml:space="preserve">💡 Exam Tip — Section 1</w:t>
            </w:r>
          </w:p>
          <w:p>
            <w:pPr>
              <w:spacing w:after="40"/>
            </w:pPr>
            <w:r>
              <w:rPr>
                <w:rFonts w:ascii="Calibri" w:cs="Calibri" w:eastAsia="Calibri" w:hAnsi="Calibri"/>
                <w:color w:val="222222"/>
                <w:sz w:val="20"/>
                <w:szCs w:val="20"/>
              </w:rPr>
              <w:t xml:space="preserve">• Expect scenario questions asking you to judge whether Orchestrate is appropriate for a described process — look for repeatable, rule-based patterns vs. open-ended judgment calls.</w:t>
            </w:r>
          </w:p>
          <w:p>
            <w:pPr>
              <w:spacing w:after="40"/>
            </w:pPr>
            <w:r>
              <w:rPr>
                <w:rFonts w:ascii="Calibri" w:cs="Calibri" w:eastAsia="Calibri" w:hAnsi="Calibri"/>
                <w:color w:val="222222"/>
                <w:sz w:val="20"/>
                <w:szCs w:val="20"/>
              </w:rPr>
              <w:t xml:space="preserve">• Know the Environments concept (Dev/Test/Prod) cold — it recurs in Sections 4 and 7.</w:t>
            </w:r>
          </w:p>
          <w:p>
            <w:pPr>
              <w:spacing w:after="40"/>
            </w:pPr>
            <w:r>
              <w:rPr>
                <w:rFonts w:ascii="Calibri" w:cs="Calibri" w:eastAsia="Calibri" w:hAnsi="Calibri"/>
                <w:color w:val="222222"/>
                <w:sz w:val="20"/>
                <w:szCs w:val="20"/>
              </w:rPr>
              <w:t xml:space="preserve">• Be able to state, in one sentence each, the difference between an Agent and an Assistant — this distinction is tested again in Section 2.</w:t>
            </w:r>
          </w:p>
        </w:tc>
      </w:tr>
    </w:tbl>
    <w:p>
      <w:r>
        <w:br w:type="page"/>
      </w:r>
    </w:p>
    <w:tbl>
      <w:tblPr>
        <w:tblW w:type="pct" w:w="100%"/>
        <w:tblBorders>
          <w:top w:val="none"/>
          <w:left w:val="none"/>
          <w:bottom w:val="none"/>
          <w:right w:val="none"/>
          <w:insideH w:val="none"/>
          <w:insideV w:val="none"/>
        </w:tblBorders>
      </w:tblPr>
      <w:tblGrid>
        <w:gridCol w:w="100"/>
      </w:tblGrid>
      <w:tr>
        <w:tc>
          <w:tcPr>
            <w:tcW w:type="pct" w:w="100%"/>
            <w:shd w:fill="1B2A4A" w:val="clear"/>
            <w:tcMar>
              <w:top w:type="dxa" w:w="200"/>
              <w:left w:type="dxa" w:w="250"/>
              <w:bottom w:type="dxa" w:w="200"/>
              <w:right w:type="dxa" w:w="250"/>
            </w:tcMar>
          </w:tcPr>
          <w:p>
            <w:r>
              <w:rPr>
                <w:rFonts w:ascii="Calibri" w:cs="Calibri" w:eastAsia="Calibri" w:hAnsi="Calibri"/>
                <w:b/>
                <w:bCs/>
                <w:color w:val="C9A227"/>
                <w:sz w:val="20"/>
                <w:szCs w:val="20"/>
              </w:rPr>
              <w:t xml:space="preserve">SECTION 2</w:t>
            </w:r>
          </w:p>
          <w:p>
            <w:pPr>
              <w:spacing w:before="60"/>
            </w:pPr>
            <w:r>
              <w:rPr>
                <w:rFonts w:ascii="Calibri" w:cs="Calibri" w:eastAsia="Calibri" w:hAnsi="Calibri"/>
                <w:b/>
                <w:bCs/>
                <w:color w:val="FFFFFF"/>
                <w:sz w:val="30"/>
                <w:szCs w:val="30"/>
              </w:rPr>
              <w:t xml:space="preserve">Agent and Assistant Integration</w:t>
            </w:r>
          </w:p>
          <w:p>
            <w:pPr>
              <w:spacing w:before="60"/>
            </w:pPr>
            <w:r>
              <w:rPr>
                <w:rFonts w:ascii="Calibri" w:cs="Calibri" w:eastAsia="Calibri" w:hAnsi="Calibri"/>
                <w:i/>
                <w:iCs/>
                <w:color w:val="F5E9C6"/>
                <w:sz w:val="20"/>
                <w:szCs w:val="20"/>
              </w:rPr>
              <w:t xml:space="preserve">Exam Weight: approximately 20% of the C1000-207 exam</w:t>
            </w:r>
          </w:p>
        </w:tc>
      </w:tr>
    </w:tbl>
    <w:p>
      <w:pPr>
        <w:spacing w:after="200"/>
      </w:pPr>
    </w:p>
    <w:p>
      <w:pPr>
        <w:spacing w:after="120" w:line="276"/>
      </w:pPr>
      <w:r>
        <w:rPr>
          <w:rFonts w:ascii="Calibri" w:cs="Calibri" w:eastAsia="Calibri" w:hAnsi="Calibri"/>
          <w:color w:val="222222"/>
          <w:sz w:val="21"/>
          <w:szCs w:val="21"/>
        </w:rPr>
        <w:t xml:space="preserve">At 20% of the exam, this is the single heaviest-weighted section. It covers how agents and assistants are integrated with each other, how external and third-party agents are connected, how multi-agent orchestration is composed, and how Langflow provides a visual alternative to code-based orchestration.</w:t>
      </w:r>
    </w:p>
    <w:tbl>
      <w:tblPr>
        <w:tblW w:type="pct" w:w="100%"/>
        <w:tblBorders>
          <w:top w:val="none"/>
          <w:left w:val="none"/>
          <w:bottom w:val="single" w:color="C9A227" w:sz="6"/>
          <w:right w:val="none"/>
          <w:insideH w:val="none"/>
          <w:insideV w:val="none"/>
        </w:tblBorders>
      </w:tblPr>
      <w:tblGrid>
        <w:gridCol w:w="100"/>
      </w:tblGrid>
      <w:tr>
        <w:tc>
          <w:tcPr>
            <w:shd w:fill="F2F2F2" w:val="clear"/>
            <w:tcMar>
              <w:top w:type="dxa" w:w="120"/>
              <w:left w:type="dxa" w:w="200"/>
              <w:bottom w:type="dxa" w:w="120"/>
              <w:right w:type="dxa" w:w="200"/>
            </w:tcMar>
          </w:tcPr>
          <w:p>
            <w:r>
              <w:rPr>
                <w:rFonts w:ascii="Calibri" w:cs="Calibri" w:eastAsia="Calibri" w:hAnsi="Calibri"/>
                <w:b/>
                <w:bCs/>
                <w:color w:val="C9A227"/>
                <w:sz w:val="23"/>
                <w:szCs w:val="23"/>
              </w:rPr>
              <w:t xml:space="preserve">TASK 2.1  </w:t>
            </w:r>
            <w:r>
              <w:rPr>
                <w:rFonts w:ascii="Calibri" w:cs="Calibri" w:eastAsia="Calibri" w:hAnsi="Calibri"/>
                <w:b/>
                <w:bCs/>
                <w:color w:val="1B2A4A"/>
                <w:sz w:val="23"/>
                <w:szCs w:val="23"/>
              </w:rPr>
              <w:t xml:space="preserve">Design and Implement Integrations</w:t>
            </w:r>
          </w:p>
        </w:tc>
      </w:tr>
    </w:tbl>
    <w:p>
      <w:pPr>
        <w:spacing w:after="100"/>
      </w:pPr>
    </w:p>
    <w:p>
      <w:pPr>
        <w:pStyle w:val="Heading3"/>
        <w:spacing w:after="100" w:before="220"/>
      </w:pPr>
      <w:r>
        <w:rPr>
          <w:rFonts w:ascii="Calibri" w:cs="Calibri" w:eastAsia="Calibri" w:hAnsi="Calibri"/>
          <w:b/>
          <w:bCs/>
          <w:color w:val="0F1B33"/>
          <w:sz w:val="23"/>
          <w:szCs w:val="23"/>
        </w:rPr>
        <w:t xml:space="preserve">1–2. Define, distinguish, and summarize Assistants vs. Agents</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400"/>
        <w:gridCol w:w="7800"/>
      </w:tblGrid>
      <w:tr>
        <w:tc>
          <w:tcPr>
            <w:tcW w:type="dxa" w:w="1400"/>
            <w:shd w:fill="FFFFFF" w:val="clear"/>
            <w:tcMar>
              <w:top w:type="dxa" w:w="80"/>
              <w:left w:type="dxa" w:w="100"/>
              <w:bottom w:type="dxa" w:w="80"/>
              <w:right w:type="dxa" w:w="100"/>
            </w:tcMar>
            <w:vAlign w:val="center"/>
          </w:tcPr>
          <w:p>
            <w:pPr>
              <w:spacing w:after="0"/>
            </w:pPr>
            <w:r>
              <w:rPr>
                <w:rFonts w:ascii="Calibri" w:cs="Calibri" w:eastAsia="Calibri" w:hAnsi="Calibri"/>
                <w:b/>
                <w:bCs/>
                <w:color w:val="1B2A4A"/>
                <w:sz w:val="19"/>
                <w:szCs w:val="19"/>
              </w:rPr>
              <w:t xml:space="preserve">Assistant</w:t>
            </w:r>
          </w:p>
        </w:tc>
        <w:tc>
          <w:tcPr>
            <w:tcW w:type="dxa" w:w="7800"/>
            <w:shd w:fill="FFFFFF" w:val="clear"/>
            <w:tcMar>
              <w:top w:type="dxa" w:w="80"/>
              <w:left w:type="dxa" w:w="100"/>
              <w:bottom w:type="dxa" w:w="80"/>
              <w:right w:type="dxa" w:w="100"/>
            </w:tcMar>
          </w:tcPr>
          <w:p>
            <w:pPr>
              <w:spacing w:after="0"/>
            </w:pPr>
            <w:r>
              <w:rPr>
                <w:rFonts w:ascii="Calibri" w:cs="Calibri" w:eastAsia="Calibri" w:hAnsi="Calibri"/>
                <w:b w:val="false"/>
                <w:bCs w:val="false"/>
                <w:color w:val="222222"/>
                <w:sz w:val="19"/>
                <w:szCs w:val="19"/>
              </w:rPr>
              <w:t xml:space="preserve">A conversational entity following a largely deterministic, designer-authored flow (actions/intents), well suited to prescribed processes such as FAQ handling or guided transactions.</w:t>
            </w:r>
          </w:p>
        </w:tc>
      </w:tr>
      <w:tr>
        <w:tc>
          <w:tcPr>
            <w:tcW w:type="dxa" w:w="1400"/>
            <w:shd w:fill="F2F2F2" w:val="clear"/>
            <w:tcMar>
              <w:top w:type="dxa" w:w="80"/>
              <w:left w:type="dxa" w:w="100"/>
              <w:bottom w:type="dxa" w:w="80"/>
              <w:right w:type="dxa" w:w="100"/>
            </w:tcMar>
            <w:vAlign w:val="center"/>
          </w:tcPr>
          <w:p>
            <w:pPr>
              <w:spacing w:after="0"/>
            </w:pPr>
            <w:r>
              <w:rPr>
                <w:rFonts w:ascii="Calibri" w:cs="Calibri" w:eastAsia="Calibri" w:hAnsi="Calibri"/>
                <w:b/>
                <w:bCs/>
                <w:color w:val="1B2A4A"/>
                <w:sz w:val="19"/>
                <w:szCs w:val="19"/>
              </w:rPr>
              <w:t xml:space="preserve">Agent</w:t>
            </w:r>
          </w:p>
        </w:tc>
        <w:tc>
          <w:tcPr>
            <w:tcW w:type="dxa" w:w="7800"/>
            <w:shd w:fill="F2F2F2" w:val="clear"/>
            <w:tcMar>
              <w:top w:type="dxa" w:w="80"/>
              <w:left w:type="dxa" w:w="100"/>
              <w:bottom w:type="dxa" w:w="80"/>
              <w:right w:type="dxa" w:w="100"/>
            </w:tcMar>
          </w:tcPr>
          <w:p>
            <w:pPr>
              <w:spacing w:after="0"/>
            </w:pPr>
            <w:r>
              <w:rPr>
                <w:rFonts w:ascii="Calibri" w:cs="Calibri" w:eastAsia="Calibri" w:hAnsi="Calibri"/>
                <w:b w:val="false"/>
                <w:bCs w:val="false"/>
                <w:color w:val="222222"/>
                <w:sz w:val="19"/>
                <w:szCs w:val="19"/>
              </w:rPr>
              <w:t xml:space="preserve">Combines an LLM with a profile, tools, optional knowledge, and optional collaborator agents; it plans and reasons dynamically rather than following a fixed script, adapting its approach per request.</w:t>
            </w:r>
          </w:p>
        </w:tc>
      </w:tr>
    </w:tbl>
    <w:p>
      <w:pPr>
        <w:pStyle w:val="Heading3"/>
        <w:spacing w:after="100" w:before="220"/>
      </w:pPr>
      <w:r>
        <w:rPr>
          <w:rFonts w:ascii="Calibri" w:cs="Calibri" w:eastAsia="Calibri" w:hAnsi="Calibri"/>
          <w:b/>
          <w:bCs/>
          <w:color w:val="0F1B33"/>
          <w:sz w:val="23"/>
          <w:szCs w:val="23"/>
        </w:rPr>
        <w:t xml:space="preserve">3. Identify specific use cases and tasks the integration needs to support</w:t>
      </w:r>
    </w:p>
    <w:p>
      <w:pPr>
        <w:spacing w:after="120" w:line="276"/>
      </w:pPr>
      <w:r>
        <w:rPr>
          <w:rFonts w:ascii="Calibri" w:cs="Calibri" w:eastAsia="Calibri" w:hAnsi="Calibri"/>
          <w:color w:val="222222"/>
          <w:sz w:val="21"/>
          <w:szCs w:val="21"/>
        </w:rPr>
        <w:t xml:space="preserve">Typical integration patterns include: an agent invoking a legacy assistant for a well-defined sub-task, an agent enriching its answers using an assistant's existing conversation flow, or an assistant escalating an ambiguous request to a reasoning agent when the fixed flow cannot handle it.</w:t>
      </w:r>
    </w:p>
    <w:p>
      <w:pPr>
        <w:pStyle w:val="Heading3"/>
        <w:spacing w:after="100" w:before="220"/>
      </w:pPr>
      <w:r>
        <w:rPr>
          <w:rFonts w:ascii="Calibri" w:cs="Calibri" w:eastAsia="Calibri" w:hAnsi="Calibri"/>
          <w:b/>
          <w:bCs/>
          <w:color w:val="0F1B33"/>
          <w:sz w:val="23"/>
          <w:szCs w:val="23"/>
        </w:rPr>
        <w:t xml:space="preserve">4. Implement integration in WXO</w:t>
      </w:r>
    </w:p>
    <w:p>
      <w:pPr>
        <w:spacing w:after="80" w:before="160"/>
      </w:pPr>
      <w:r>
        <w:rPr>
          <w:rFonts w:ascii="Calibri" w:cs="Calibri" w:eastAsia="Calibri" w:hAnsi="Calibri"/>
          <w:b/>
          <w:bCs/>
          <w:i/>
          <w:iCs/>
          <w:color w:val="C9A227"/>
          <w:sz w:val="21"/>
          <w:szCs w:val="21"/>
        </w:rPr>
        <w:t xml:space="preserve">4.1 Steps for integration</w:t>
      </w:r>
    </w:p>
    <w:p>
      <w:pPr>
        <w:pStyle w:val="ListParagraph"/>
        <w:numPr>
          <w:ilvl w:val="0"/>
          <w:numId w:val="2"/>
        </w:numPr>
        <w:spacing w:after="60" w:line="270"/>
      </w:pPr>
      <w:r>
        <w:rPr>
          <w:rFonts w:ascii="Calibri" w:cs="Calibri" w:eastAsia="Calibri" w:hAnsi="Calibri"/>
          <w:color w:val="222222"/>
          <w:sz w:val="21"/>
          <w:szCs w:val="21"/>
        </w:rPr>
        <w:t xml:space="preserve">Identify the assistant/agent to be integrated and confirm it exposes a supported interface (native, external_chat, or A2A).</w:t>
      </w:r>
    </w:p>
    <w:p>
      <w:pPr>
        <w:pStyle w:val="ListParagraph"/>
        <w:numPr>
          <w:ilvl w:val="0"/>
          <w:numId w:val="2"/>
        </w:numPr>
        <w:spacing w:after="60" w:line="270"/>
      </w:pPr>
      <w:r>
        <w:rPr>
          <w:rFonts w:ascii="Calibri" w:cs="Calibri" w:eastAsia="Calibri" w:hAnsi="Calibri"/>
          <w:color w:val="222222"/>
          <w:sz w:val="21"/>
          <w:szCs w:val="21"/>
        </w:rPr>
        <w:t xml:space="preserve">Create the necessary connection (credentials/endpoint) in watsonx Orchestrate.</w:t>
      </w:r>
    </w:p>
    <w:p>
      <w:pPr>
        <w:pStyle w:val="ListParagraph"/>
        <w:numPr>
          <w:ilvl w:val="0"/>
          <w:numId w:val="2"/>
        </w:numPr>
        <w:spacing w:after="60" w:line="270"/>
      </w:pPr>
      <w:r>
        <w:rPr>
          <w:rFonts w:ascii="Calibri" w:cs="Calibri" w:eastAsia="Calibri" w:hAnsi="Calibri"/>
          <w:color w:val="222222"/>
          <w:sz w:val="21"/>
          <w:szCs w:val="21"/>
        </w:rPr>
        <w:t xml:space="preserve">Add the assistant/agent as a collaborator on the orchestrator/supervisor agent, with a clear description so the LLM knows when to route to it.</w:t>
      </w:r>
    </w:p>
    <w:p>
      <w:pPr>
        <w:pStyle w:val="ListParagraph"/>
        <w:numPr>
          <w:ilvl w:val="0"/>
          <w:numId w:val="2"/>
        </w:numPr>
        <w:spacing w:after="60" w:line="270"/>
      </w:pPr>
      <w:r>
        <w:rPr>
          <w:rFonts w:ascii="Calibri" w:cs="Calibri" w:eastAsia="Calibri" w:hAnsi="Calibri"/>
          <w:color w:val="222222"/>
          <w:sz w:val="21"/>
          <w:szCs w:val="21"/>
        </w:rPr>
        <w:t xml:space="preserve">Test the integration in the chat UI or via the ADK evaluation framework before promoting to Test/Prod.</w:t>
      </w:r>
    </w:p>
    <w:p>
      <w:pPr>
        <w:spacing w:after="150"/>
      </w:pPr>
    </w:p>
    <w:tbl>
      <w:tblPr>
        <w:tblW w:type="pct" w:w="100%"/>
        <w:tblBorders>
          <w:top w:val="none"/>
          <w:left w:val="none"/>
          <w:bottom w:val="single" w:color="C9A227" w:sz="6"/>
          <w:right w:val="none"/>
          <w:insideH w:val="none"/>
          <w:insideV w:val="none"/>
        </w:tblBorders>
      </w:tblPr>
      <w:tblGrid>
        <w:gridCol w:w="100"/>
      </w:tblGrid>
      <w:tr>
        <w:tc>
          <w:tcPr>
            <w:shd w:fill="F2F2F2" w:val="clear"/>
            <w:tcMar>
              <w:top w:type="dxa" w:w="120"/>
              <w:left w:type="dxa" w:w="200"/>
              <w:bottom w:type="dxa" w:w="120"/>
              <w:right w:type="dxa" w:w="200"/>
            </w:tcMar>
          </w:tcPr>
          <w:p>
            <w:r>
              <w:rPr>
                <w:rFonts w:ascii="Calibri" w:cs="Calibri" w:eastAsia="Calibri" w:hAnsi="Calibri"/>
                <w:b/>
                <w:bCs/>
                <w:color w:val="C9A227"/>
                <w:sz w:val="23"/>
                <w:szCs w:val="23"/>
              </w:rPr>
              <w:t xml:space="preserve">TASK 2.2  </w:t>
            </w:r>
            <w:r>
              <w:rPr>
                <w:rFonts w:ascii="Calibri" w:cs="Calibri" w:eastAsia="Calibri" w:hAnsi="Calibri"/>
                <w:b/>
                <w:bCs/>
                <w:color w:val="1B2A4A"/>
                <w:sz w:val="23"/>
                <w:szCs w:val="23"/>
              </w:rPr>
              <w:t xml:space="preserve">Configure External Agents</w:t>
            </w:r>
          </w:p>
        </w:tc>
      </w:tr>
    </w:tbl>
    <w:p>
      <w:pPr>
        <w:spacing w:after="100"/>
      </w:pPr>
    </w:p>
    <w:p>
      <w:pPr>
        <w:pStyle w:val="Heading3"/>
        <w:spacing w:after="100" w:before="220"/>
      </w:pPr>
      <w:r>
        <w:rPr>
          <w:rFonts w:ascii="Calibri" w:cs="Calibri" w:eastAsia="Calibri" w:hAnsi="Calibri"/>
          <w:b/>
          <w:bCs/>
          <w:color w:val="0F1B33"/>
          <w:sz w:val="23"/>
          <w:szCs w:val="23"/>
        </w:rPr>
        <w:t xml:space="preserve">1–2. Describe external agents and their business value</w:t>
      </w:r>
    </w:p>
    <w:p>
      <w:pPr>
        <w:spacing w:after="120" w:line="276"/>
      </w:pPr>
      <w:r>
        <w:rPr>
          <w:rFonts w:ascii="Calibri" w:cs="Calibri" w:eastAsia="Calibri" w:hAnsi="Calibri"/>
          <w:color w:val="222222"/>
          <w:sz w:val="21"/>
          <w:szCs w:val="21"/>
        </w:rPr>
        <w:t xml:space="preserve">External agents are agents that run outside watsonx Orchestrate's native runtime — for example, on watsonx.ai Agent Lab, Salesforce Agentforce, Amazon Bedrock AgentCore, or a custom LangGraph/CrewAI deployment — but are wired into Orchestrate so they can be invoked like any native collaborator. The business value is investment protection: organisations don't need to rebuild agents already built on other frameworks; they consolidate them under one governed, observable control plane.</w:t>
      </w:r>
    </w:p>
    <w:p>
      <w:pPr>
        <w:pStyle w:val="Heading3"/>
        <w:spacing w:after="100" w:before="220"/>
      </w:pPr>
      <w:r>
        <w:rPr>
          <w:rFonts w:ascii="Calibri" w:cs="Calibri" w:eastAsia="Calibri" w:hAnsi="Calibri"/>
          <w:b/>
          <w:bCs/>
          <w:color w:val="0F1B33"/>
          <w:sz w:val="23"/>
          <w:szCs w:val="23"/>
        </w:rPr>
        <w:t xml:space="preserve">3. Distinguish AI assistants, Agents, collaborator agents, and external agents</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400"/>
        <w:gridCol w:w="7800"/>
      </w:tblGrid>
      <w:tr>
        <w:tc>
          <w:tcPr>
            <w:tcW w:type="dxa" w:w="1400"/>
            <w:shd w:fill="FFFFFF" w:val="clear"/>
            <w:tcMar>
              <w:top w:type="dxa" w:w="80"/>
              <w:left w:type="dxa" w:w="100"/>
              <w:bottom w:type="dxa" w:w="80"/>
              <w:right w:type="dxa" w:w="100"/>
            </w:tcMar>
            <w:vAlign w:val="center"/>
          </w:tcPr>
          <w:p>
            <w:pPr>
              <w:spacing w:after="0"/>
            </w:pPr>
            <w:r>
              <w:rPr>
                <w:rFonts w:ascii="Calibri" w:cs="Calibri" w:eastAsia="Calibri" w:hAnsi="Calibri"/>
                <w:b/>
                <w:bCs/>
                <w:color w:val="1B2A4A"/>
                <w:sz w:val="19"/>
                <w:szCs w:val="19"/>
              </w:rPr>
              <w:t xml:space="preserve">AI Assistant</w:t>
            </w:r>
          </w:p>
        </w:tc>
        <w:tc>
          <w:tcPr>
            <w:tcW w:type="dxa" w:w="7800"/>
            <w:shd w:fill="FFFFFF" w:val="clear"/>
            <w:tcMar>
              <w:top w:type="dxa" w:w="80"/>
              <w:left w:type="dxa" w:w="100"/>
              <w:bottom w:type="dxa" w:w="80"/>
              <w:right w:type="dxa" w:w="100"/>
            </w:tcMar>
          </w:tcPr>
          <w:p>
            <w:pPr>
              <w:spacing w:after="0"/>
            </w:pPr>
            <w:r>
              <w:rPr>
                <w:rFonts w:ascii="Calibri" w:cs="Calibri" w:eastAsia="Calibri" w:hAnsi="Calibri"/>
                <w:b w:val="false"/>
                <w:bCs w:val="false"/>
                <w:color w:val="222222"/>
                <w:sz w:val="19"/>
                <w:szCs w:val="19"/>
              </w:rPr>
              <w:t xml:space="preserve">Deterministic, flow-based conversational entity (classic watsonx Assistant model).</w:t>
            </w:r>
          </w:p>
        </w:tc>
      </w:tr>
      <w:tr>
        <w:tc>
          <w:tcPr>
            <w:tcW w:type="dxa" w:w="1400"/>
            <w:shd w:fill="F2F2F2" w:val="clear"/>
            <w:tcMar>
              <w:top w:type="dxa" w:w="80"/>
              <w:left w:type="dxa" w:w="100"/>
              <w:bottom w:type="dxa" w:w="80"/>
              <w:right w:type="dxa" w:w="100"/>
            </w:tcMar>
            <w:vAlign w:val="center"/>
          </w:tcPr>
          <w:p>
            <w:pPr>
              <w:spacing w:after="0"/>
            </w:pPr>
            <w:r>
              <w:rPr>
                <w:rFonts w:ascii="Calibri" w:cs="Calibri" w:eastAsia="Calibri" w:hAnsi="Calibri"/>
                <w:b/>
                <w:bCs/>
                <w:color w:val="1B2A4A"/>
                <w:sz w:val="19"/>
                <w:szCs w:val="19"/>
              </w:rPr>
              <w:t xml:space="preserve">Agent (native)</w:t>
            </w:r>
          </w:p>
        </w:tc>
        <w:tc>
          <w:tcPr>
            <w:tcW w:type="dxa" w:w="7800"/>
            <w:shd w:fill="F2F2F2" w:val="clear"/>
            <w:tcMar>
              <w:top w:type="dxa" w:w="80"/>
              <w:left w:type="dxa" w:w="100"/>
              <w:bottom w:type="dxa" w:w="80"/>
              <w:right w:type="dxa" w:w="100"/>
            </w:tcMar>
          </w:tcPr>
          <w:p>
            <w:pPr>
              <w:spacing w:after="0"/>
            </w:pPr>
            <w:r>
              <w:rPr>
                <w:rFonts w:ascii="Calibri" w:cs="Calibri" w:eastAsia="Calibri" w:hAnsi="Calibri"/>
                <w:b w:val="false"/>
                <w:bCs w:val="false"/>
                <w:color w:val="222222"/>
                <w:sz w:val="19"/>
                <w:szCs w:val="19"/>
              </w:rPr>
              <w:t xml:space="preserve">Built and run inside watsonx Orchestrate using the ADK; has an LLM, tools, knowledge, and can have collaborators.</w:t>
            </w:r>
          </w:p>
        </w:tc>
      </w:tr>
      <w:tr>
        <w:tc>
          <w:tcPr>
            <w:tcW w:type="dxa" w:w="1400"/>
            <w:shd w:fill="FFFFFF" w:val="clear"/>
            <w:tcMar>
              <w:top w:type="dxa" w:w="80"/>
              <w:left w:type="dxa" w:w="100"/>
              <w:bottom w:type="dxa" w:w="80"/>
              <w:right w:type="dxa" w:w="100"/>
            </w:tcMar>
            <w:vAlign w:val="center"/>
          </w:tcPr>
          <w:p>
            <w:pPr>
              <w:spacing w:after="0"/>
            </w:pPr>
            <w:r>
              <w:rPr>
                <w:rFonts w:ascii="Calibri" w:cs="Calibri" w:eastAsia="Calibri" w:hAnsi="Calibri"/>
                <w:b/>
                <w:bCs/>
                <w:color w:val="1B2A4A"/>
                <w:sz w:val="19"/>
                <w:szCs w:val="19"/>
              </w:rPr>
              <w:t xml:space="preserve">Collaborator agent</w:t>
            </w:r>
          </w:p>
        </w:tc>
        <w:tc>
          <w:tcPr>
            <w:tcW w:type="dxa" w:w="7800"/>
            <w:shd w:fill="FFFFFF" w:val="clear"/>
            <w:tcMar>
              <w:top w:type="dxa" w:w="80"/>
              <w:left w:type="dxa" w:w="100"/>
              <w:bottom w:type="dxa" w:w="80"/>
              <w:right w:type="dxa" w:w="100"/>
            </w:tcMar>
          </w:tcPr>
          <w:p>
            <w:pPr>
              <w:spacing w:after="0"/>
            </w:pPr>
            <w:r>
              <w:rPr>
                <w:rFonts w:ascii="Calibri" w:cs="Calibri" w:eastAsia="Calibri" w:hAnsi="Calibri"/>
                <w:b w:val="false"/>
                <w:bCs w:val="false"/>
                <w:color w:val="222222"/>
                <w:sz w:val="19"/>
                <w:szCs w:val="19"/>
              </w:rPr>
              <w:t xml:space="preserve">Any agent (native or external) that a parent/orchestrator agent is permitted to delegate sub-tasks to.</w:t>
            </w:r>
          </w:p>
        </w:tc>
      </w:tr>
      <w:tr>
        <w:tc>
          <w:tcPr>
            <w:tcW w:type="dxa" w:w="1400"/>
            <w:shd w:fill="F2F2F2" w:val="clear"/>
            <w:tcMar>
              <w:top w:type="dxa" w:w="80"/>
              <w:left w:type="dxa" w:w="100"/>
              <w:bottom w:type="dxa" w:w="80"/>
              <w:right w:type="dxa" w:w="100"/>
            </w:tcMar>
            <w:vAlign w:val="center"/>
          </w:tcPr>
          <w:p>
            <w:pPr>
              <w:spacing w:after="0"/>
            </w:pPr>
            <w:r>
              <w:rPr>
                <w:rFonts w:ascii="Calibri" w:cs="Calibri" w:eastAsia="Calibri" w:hAnsi="Calibri"/>
                <w:b/>
                <w:bCs/>
                <w:color w:val="1B2A4A"/>
                <w:sz w:val="19"/>
                <w:szCs w:val="19"/>
              </w:rPr>
              <w:t xml:space="preserve">External agent</w:t>
            </w:r>
          </w:p>
        </w:tc>
        <w:tc>
          <w:tcPr>
            <w:tcW w:type="dxa" w:w="7800"/>
            <w:shd w:fill="F2F2F2" w:val="clear"/>
            <w:tcMar>
              <w:top w:type="dxa" w:w="80"/>
              <w:left w:type="dxa" w:w="100"/>
              <w:bottom w:type="dxa" w:w="80"/>
              <w:right w:type="dxa" w:w="100"/>
            </w:tcMar>
          </w:tcPr>
          <w:p>
            <w:pPr>
              <w:spacing w:after="0"/>
            </w:pPr>
            <w:r>
              <w:rPr>
                <w:rFonts w:ascii="Calibri" w:cs="Calibri" w:eastAsia="Calibri" w:hAnsi="Calibri"/>
                <w:b w:val="false"/>
                <w:bCs w:val="false"/>
                <w:color w:val="222222"/>
                <w:sz w:val="19"/>
                <w:szCs w:val="19"/>
              </w:rPr>
              <w:t xml:space="preserve">An agent hosted outside Orchestrate's native runtime, integrated through a protocol such as external_chat, an AI-service/Agent Connect endpoint, or the open Agent2Agent (A2A) protocol.</w:t>
            </w:r>
          </w:p>
        </w:tc>
      </w:tr>
    </w:tbl>
    <w:p>
      <w:pPr>
        <w:pStyle w:val="Heading3"/>
        <w:spacing w:after="100" w:before="220"/>
      </w:pPr>
      <w:r>
        <w:rPr>
          <w:rFonts w:ascii="Calibri" w:cs="Calibri" w:eastAsia="Calibri" w:hAnsi="Calibri"/>
          <w:b/>
          <w:bCs/>
          <w:color w:val="0F1B33"/>
          <w:sz w:val="23"/>
          <w:szCs w:val="23"/>
        </w:rPr>
        <w:t xml:space="preserve">4. Configure External A2A agents by using ADK</w:t>
      </w:r>
    </w:p>
    <w:p>
      <w:pPr>
        <w:spacing w:after="120" w:line="276"/>
      </w:pPr>
      <w:r>
        <w:rPr>
          <w:rFonts w:ascii="Calibri" w:cs="Calibri" w:eastAsia="Calibri" w:hAnsi="Calibri"/>
          <w:color w:val="222222"/>
          <w:sz w:val="21"/>
          <w:szCs w:val="21"/>
        </w:rPr>
        <w:t xml:space="preserve">Agent2Agent (A2A) is an open protocol for agent interoperability. External A2A agents can only be configured through the watsonx Orchestrate ADK (not the no-code Agent Builder), reflecting their more technical, cross-framework nature. Configuration involves registering the external agent's A2A endpoint and credentials as a connection, then referencing it as an external collaborator in an agent's YAML definition.</w:t>
      </w:r>
    </w:p>
    <w:p>
      <w:pPr>
        <w:pStyle w:val="Heading3"/>
        <w:spacing w:after="100" w:before="220"/>
      </w:pPr>
      <w:r>
        <w:rPr>
          <w:rFonts w:ascii="Calibri" w:cs="Calibri" w:eastAsia="Calibri" w:hAnsi="Calibri"/>
          <w:b/>
          <w:bCs/>
          <w:color w:val="0F1B33"/>
          <w:sz w:val="23"/>
          <w:szCs w:val="23"/>
        </w:rPr>
        <w:t xml:space="preserve">5. Demonstrate how to configure and integrate different (external) agents</w:t>
      </w:r>
    </w:p>
    <w:p>
      <w:pPr>
        <w:pStyle w:val="ListParagraph"/>
        <w:numPr>
          <w:ilvl w:val="0"/>
          <w:numId w:val="3"/>
        </w:numPr>
        <w:spacing w:after="60" w:line="270"/>
      </w:pPr>
      <w:r>
        <w:rPr>
          <w:rFonts w:ascii="Calibri" w:cs="Calibri" w:eastAsia="Calibri" w:hAnsi="Calibri"/>
          <w:color w:val="222222"/>
          <w:sz w:val="21"/>
          <w:szCs w:val="21"/>
        </w:rPr>
        <w:t xml:space="preserve">Agents hosted on watsonx.ai Agent Lab — imported via an AI Service or Agent Connect ('/v1/chat') endpoint.</w:t>
      </w:r>
    </w:p>
    <w:p>
      <w:pPr>
        <w:pStyle w:val="ListParagraph"/>
        <w:numPr>
          <w:ilvl w:val="0"/>
          <w:numId w:val="3"/>
        </w:numPr>
        <w:spacing w:after="60" w:line="270"/>
      </w:pPr>
      <w:r>
        <w:rPr>
          <w:rFonts w:ascii="Calibri" w:cs="Calibri" w:eastAsia="Calibri" w:hAnsi="Calibri"/>
          <w:color w:val="222222"/>
          <w:sz w:val="21"/>
          <w:szCs w:val="21"/>
        </w:rPr>
        <w:t xml:space="preserve">Agents from third-party platforms (e.g., Salesforce Agentforce, Amazon Bedrock AgentCore) — integrated via A2A or an OpenAI-compatible chat-completions endpoint.</w:t>
      </w:r>
    </w:p>
    <w:p>
      <w:pPr>
        <w:pStyle w:val="ListParagraph"/>
        <w:numPr>
          <w:ilvl w:val="0"/>
          <w:numId w:val="3"/>
        </w:numPr>
        <w:spacing w:after="60" w:line="270"/>
      </w:pPr>
      <w:r>
        <w:rPr>
          <w:rFonts w:ascii="Calibri" w:cs="Calibri" w:eastAsia="Calibri" w:hAnsi="Calibri"/>
          <w:color w:val="222222"/>
          <w:sz w:val="21"/>
          <w:szCs w:val="21"/>
        </w:rPr>
        <w:t xml:space="preserve">LangGraph agents — can be imported directly into watsonx Orchestrate and run under the same governance layer.</w:t>
      </w:r>
    </w:p>
    <w:p>
      <w:pPr>
        <w:pStyle w:val="Heading3"/>
        <w:spacing w:after="100" w:before="220"/>
      </w:pPr>
      <w:r>
        <w:rPr>
          <w:rFonts w:ascii="Calibri" w:cs="Calibri" w:eastAsia="Calibri" w:hAnsi="Calibri"/>
          <w:b/>
          <w:bCs/>
          <w:color w:val="0F1B33"/>
          <w:sz w:val="23"/>
          <w:szCs w:val="23"/>
        </w:rPr>
        <w:t xml:space="preserve">6. Identify/List agents supported by watsonx Orchestrate</w:t>
      </w:r>
    </w:p>
    <w:p>
      <w:pPr>
        <w:spacing w:after="120" w:line="276"/>
      </w:pPr>
      <w:r>
        <w:rPr>
          <w:rFonts w:ascii="Calibri" w:cs="Calibri" w:eastAsia="Calibri" w:hAnsi="Calibri"/>
          <w:color w:val="222222"/>
          <w:sz w:val="21"/>
          <w:szCs w:val="21"/>
        </w:rPr>
        <w:t xml:space="preserve">As of the current release generation, natively supported external agent types include IBM native agents, Langflow agents, LangGraph agents, and agents built on the open A2A protocol — with broader framework interoperability continuing to expand.</w:t>
      </w:r>
    </w:p>
    <w:p>
      <w:pPr>
        <w:spacing w:after="150"/>
      </w:pPr>
    </w:p>
    <w:tbl>
      <w:tblPr>
        <w:tblW w:type="pct" w:w="100%"/>
        <w:tblBorders>
          <w:top w:val="none"/>
          <w:left w:val="none"/>
          <w:bottom w:val="single" w:color="C9A227" w:sz="6"/>
          <w:right w:val="none"/>
          <w:insideH w:val="none"/>
          <w:insideV w:val="none"/>
        </w:tblBorders>
      </w:tblPr>
      <w:tblGrid>
        <w:gridCol w:w="100"/>
      </w:tblGrid>
      <w:tr>
        <w:tc>
          <w:tcPr>
            <w:shd w:fill="F2F2F2" w:val="clear"/>
            <w:tcMar>
              <w:top w:type="dxa" w:w="120"/>
              <w:left w:type="dxa" w:w="200"/>
              <w:bottom w:type="dxa" w:w="120"/>
              <w:right w:type="dxa" w:w="200"/>
            </w:tcMar>
          </w:tcPr>
          <w:p>
            <w:r>
              <w:rPr>
                <w:rFonts w:ascii="Calibri" w:cs="Calibri" w:eastAsia="Calibri" w:hAnsi="Calibri"/>
                <w:b/>
                <w:bCs/>
                <w:color w:val="C9A227"/>
                <w:sz w:val="23"/>
                <w:szCs w:val="23"/>
              </w:rPr>
              <w:t xml:space="preserve">TASK 2.3  </w:t>
            </w:r>
            <w:r>
              <w:rPr>
                <w:rFonts w:ascii="Calibri" w:cs="Calibri" w:eastAsia="Calibri" w:hAnsi="Calibri"/>
                <w:b/>
                <w:bCs/>
                <w:color w:val="1B2A4A"/>
                <w:sz w:val="23"/>
                <w:szCs w:val="23"/>
              </w:rPr>
              <w:t xml:space="preserve">Create Multi-Agent Orchestration</w:t>
            </w:r>
          </w:p>
        </w:tc>
      </w:tr>
    </w:tbl>
    <w:p>
      <w:pPr>
        <w:spacing w:after="100"/>
      </w:pPr>
    </w:p>
    <w:p>
      <w:pPr>
        <w:pStyle w:val="Heading3"/>
        <w:spacing w:after="100" w:before="220"/>
      </w:pPr>
      <w:r>
        <w:rPr>
          <w:rFonts w:ascii="Calibri" w:cs="Calibri" w:eastAsia="Calibri" w:hAnsi="Calibri"/>
          <w:b/>
          <w:bCs/>
          <w:color w:val="0F1B33"/>
          <w:sz w:val="23"/>
          <w:szCs w:val="23"/>
        </w:rPr>
        <w:t xml:space="preserve">1. Define Multi-Agent Orchestration</w:t>
      </w:r>
    </w:p>
    <w:p>
      <w:pPr>
        <w:spacing w:after="120" w:line="276"/>
      </w:pPr>
      <w:r>
        <w:rPr>
          <w:rFonts w:ascii="Calibri" w:cs="Calibri" w:eastAsia="Calibri" w:hAnsi="Calibri"/>
          <w:color w:val="222222"/>
          <w:sz w:val="21"/>
          <w:szCs w:val="21"/>
        </w:rPr>
        <w:t xml:space="preserve">Multi-agent orchestration is the coordination of multiple autonomous, specialised agents — each scoped to a narrower cognitive task — under one or more supervisor/orchestrator agents, so that complex requests are decomposed and routed to the right specialist rather than handled by one overloaded generalist agent.</w:t>
      </w:r>
    </w:p>
    <w:p>
      <w:pPr>
        <w:pStyle w:val="Heading3"/>
        <w:spacing w:after="100" w:before="220"/>
      </w:pPr>
      <w:r>
        <w:rPr>
          <w:rFonts w:ascii="Calibri" w:cs="Calibri" w:eastAsia="Calibri" w:hAnsi="Calibri"/>
          <w:b/>
          <w:bCs/>
          <w:color w:val="0F1B33"/>
          <w:sz w:val="23"/>
          <w:szCs w:val="23"/>
        </w:rPr>
        <w:t xml:space="preserve">2. Describe Agent Catalog and its business value</w:t>
      </w:r>
    </w:p>
    <w:p>
      <w:pPr>
        <w:spacing w:after="120" w:line="276"/>
      </w:pPr>
      <w:r>
        <w:rPr>
          <w:rFonts w:ascii="Calibri" w:cs="Calibri" w:eastAsia="Calibri" w:hAnsi="Calibri"/>
          <w:color w:val="222222"/>
          <w:sz w:val="21"/>
          <w:szCs w:val="21"/>
        </w:rPr>
        <w:t xml:space="preserve">The Agent Catalog is a governed repository of prebuilt IBM and partner agents and tools spanning many business domains (HR, sales, procurement, finance, IT). Its business value is speed to value: teams can deploy proven, pre-integrated agents (with connectors already built for systems like Workday, SAP, and Salesforce) instead of building integrations from scratch, while RBAC and lifecycle governance keep usage controlled.</w:t>
      </w:r>
    </w:p>
    <w:p>
      <w:pPr>
        <w:pStyle w:val="Heading3"/>
        <w:spacing w:after="100" w:before="220"/>
      </w:pPr>
      <w:r>
        <w:rPr>
          <w:rFonts w:ascii="Calibri" w:cs="Calibri" w:eastAsia="Calibri" w:hAnsi="Calibri"/>
          <w:b/>
          <w:bCs/>
          <w:color w:val="0F1B33"/>
          <w:sz w:val="23"/>
          <w:szCs w:val="23"/>
        </w:rPr>
        <w:t xml:space="preserve">3. Describe the business value of Multi-Agent Orchestration</w:t>
      </w:r>
    </w:p>
    <w:p>
      <w:pPr>
        <w:pStyle w:val="ListParagraph"/>
        <w:numPr>
          <w:ilvl w:val="0"/>
          <w:numId w:val="3"/>
        </w:numPr>
        <w:spacing w:after="60" w:line="270"/>
      </w:pPr>
      <w:r>
        <w:rPr>
          <w:rFonts w:ascii="Calibri" w:cs="Calibri" w:eastAsia="Calibri" w:hAnsi="Calibri"/>
          <w:color w:val="222222"/>
          <w:sz w:val="21"/>
          <w:szCs w:val="21"/>
        </w:rPr>
        <w:t xml:space="preserve">Improves decision-making by letting each agent specialise, rather than one agent trying to reason about everything.</w:t>
      </w:r>
    </w:p>
    <w:p>
      <w:pPr>
        <w:pStyle w:val="ListParagraph"/>
        <w:numPr>
          <w:ilvl w:val="0"/>
          <w:numId w:val="3"/>
        </w:numPr>
        <w:spacing w:after="60" w:line="270"/>
      </w:pPr>
      <w:r>
        <w:rPr>
          <w:rFonts w:ascii="Calibri" w:cs="Calibri" w:eastAsia="Calibri" w:hAnsi="Calibri"/>
          <w:color w:val="222222"/>
          <w:sz w:val="21"/>
          <w:szCs w:val="21"/>
        </w:rPr>
        <w:t xml:space="preserve">Improves resource use and system performance — accuracy tends to degrade once a single agent is given more than roughly ten tools, so decomposing into specialists keeps each agent's tool set manageable.</w:t>
      </w:r>
    </w:p>
    <w:p>
      <w:pPr>
        <w:pStyle w:val="ListParagraph"/>
        <w:numPr>
          <w:ilvl w:val="0"/>
          <w:numId w:val="3"/>
        </w:numPr>
        <w:spacing w:after="60" w:line="270"/>
      </w:pPr>
      <w:r>
        <w:rPr>
          <w:rFonts w:ascii="Calibri" w:cs="Calibri" w:eastAsia="Calibri" w:hAnsi="Calibri"/>
          <w:color w:val="222222"/>
          <w:sz w:val="21"/>
          <w:szCs w:val="21"/>
        </w:rPr>
        <w:t xml:space="preserve">Helps organisations respond swiftly and accurately by parallelising and routing work to the right specialist agent.</w:t>
      </w:r>
    </w:p>
    <w:p>
      <w:pPr>
        <w:pStyle w:val="Heading3"/>
        <w:spacing w:after="100" w:before="220"/>
      </w:pPr>
      <w:r>
        <w:rPr>
          <w:rFonts w:ascii="Calibri" w:cs="Calibri" w:eastAsia="Calibri" w:hAnsi="Calibri"/>
          <w:b/>
          <w:bCs/>
          <w:color w:val="0F1B33"/>
          <w:sz w:val="23"/>
          <w:szCs w:val="23"/>
        </w:rPr>
        <w:t xml:space="preserve">4. Demonstrate how to apply Multi-Agent Orchestration in WXO</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400"/>
        <w:gridCol w:w="7800"/>
      </w:tblGrid>
      <w:tr>
        <w:tc>
          <w:tcPr>
            <w:tcW w:type="dxa" w:w="1400"/>
            <w:shd w:fill="FFFFFF" w:val="clear"/>
            <w:tcMar>
              <w:top w:type="dxa" w:w="80"/>
              <w:left w:type="dxa" w:w="100"/>
              <w:bottom w:type="dxa" w:w="80"/>
              <w:right w:type="dxa" w:w="100"/>
            </w:tcMar>
            <w:vAlign w:val="center"/>
          </w:tcPr>
          <w:p>
            <w:pPr>
              <w:spacing w:after="0"/>
            </w:pPr>
            <w:r>
              <w:rPr>
                <w:rFonts w:ascii="Calibri" w:cs="Calibri" w:eastAsia="Calibri" w:hAnsi="Calibri"/>
                <w:b/>
                <w:bCs/>
                <w:color w:val="1B2A4A"/>
                <w:sz w:val="19"/>
                <w:szCs w:val="19"/>
              </w:rPr>
              <w:t xml:space="preserve">4.1 Agents from third-party platforms</w:t>
            </w:r>
          </w:p>
        </w:tc>
        <w:tc>
          <w:tcPr>
            <w:tcW w:type="dxa" w:w="7800"/>
            <w:shd w:fill="FFFFFF" w:val="clear"/>
            <w:tcMar>
              <w:top w:type="dxa" w:w="80"/>
              <w:left w:type="dxa" w:w="100"/>
              <w:bottom w:type="dxa" w:w="80"/>
              <w:right w:type="dxa" w:w="100"/>
            </w:tcMar>
          </w:tcPr>
          <w:p>
            <w:pPr>
              <w:spacing w:after="0"/>
            </w:pPr>
            <w:r>
              <w:rPr>
                <w:rFonts w:ascii="Calibri" w:cs="Calibri" w:eastAsia="Calibri" w:hAnsi="Calibri"/>
                <w:b w:val="false"/>
                <w:bCs w:val="false"/>
                <w:color w:val="222222"/>
                <w:sz w:val="19"/>
                <w:szCs w:val="19"/>
              </w:rPr>
              <w:t xml:space="preserve">Registered as external collaborators (A2A or compatible endpoint) and added to an orchestrator agent's collaborator list.</w:t>
            </w:r>
          </w:p>
        </w:tc>
      </w:tr>
      <w:tr>
        <w:tc>
          <w:tcPr>
            <w:tcW w:type="dxa" w:w="1400"/>
            <w:shd w:fill="F2F2F2" w:val="clear"/>
            <w:tcMar>
              <w:top w:type="dxa" w:w="80"/>
              <w:left w:type="dxa" w:w="100"/>
              <w:bottom w:type="dxa" w:w="80"/>
              <w:right w:type="dxa" w:w="100"/>
            </w:tcMar>
            <w:vAlign w:val="center"/>
          </w:tcPr>
          <w:p>
            <w:pPr>
              <w:spacing w:after="0"/>
            </w:pPr>
            <w:r>
              <w:rPr>
                <w:rFonts w:ascii="Calibri" w:cs="Calibri" w:eastAsia="Calibri" w:hAnsi="Calibri"/>
                <w:b/>
                <w:bCs/>
                <w:color w:val="1B2A4A"/>
                <w:sz w:val="19"/>
                <w:szCs w:val="19"/>
              </w:rPr>
              <w:t xml:space="preserve">4.2 Agents from watsonx.ai</w:t>
            </w:r>
          </w:p>
        </w:tc>
        <w:tc>
          <w:tcPr>
            <w:tcW w:type="dxa" w:w="7800"/>
            <w:shd w:fill="F2F2F2" w:val="clear"/>
            <w:tcMar>
              <w:top w:type="dxa" w:w="80"/>
              <w:left w:type="dxa" w:w="100"/>
              <w:bottom w:type="dxa" w:w="80"/>
              <w:right w:type="dxa" w:w="100"/>
            </w:tcMar>
          </w:tcPr>
          <w:p>
            <w:pPr>
              <w:spacing w:after="0"/>
            </w:pPr>
            <w:r>
              <w:rPr>
                <w:rFonts w:ascii="Calibri" w:cs="Calibri" w:eastAsia="Calibri" w:hAnsi="Calibri"/>
                <w:b w:val="false"/>
                <w:bCs w:val="false"/>
                <w:color w:val="222222"/>
                <w:sz w:val="19"/>
                <w:szCs w:val="19"/>
              </w:rPr>
              <w:t xml:space="preserve">Imported from Agent Lab via an AI Service or Agent Connect endpoint and used as collaborators.</w:t>
            </w:r>
          </w:p>
        </w:tc>
      </w:tr>
      <w:tr>
        <w:tc>
          <w:tcPr>
            <w:tcW w:type="dxa" w:w="1400"/>
            <w:shd w:fill="FFFFFF" w:val="clear"/>
            <w:tcMar>
              <w:top w:type="dxa" w:w="80"/>
              <w:left w:type="dxa" w:w="100"/>
              <w:bottom w:type="dxa" w:w="80"/>
              <w:right w:type="dxa" w:w="100"/>
            </w:tcMar>
            <w:vAlign w:val="center"/>
          </w:tcPr>
          <w:p>
            <w:pPr>
              <w:spacing w:after="0"/>
            </w:pPr>
            <w:r>
              <w:rPr>
                <w:rFonts w:ascii="Calibri" w:cs="Calibri" w:eastAsia="Calibri" w:hAnsi="Calibri"/>
                <w:b/>
                <w:bCs/>
                <w:color w:val="1B2A4A"/>
                <w:sz w:val="19"/>
                <w:szCs w:val="19"/>
              </w:rPr>
              <w:t xml:space="preserve">4.3 WXO assistants as Collaborator Agents</w:t>
            </w:r>
          </w:p>
        </w:tc>
        <w:tc>
          <w:tcPr>
            <w:tcW w:type="dxa" w:w="7800"/>
            <w:shd w:fill="FFFFFF" w:val="clear"/>
            <w:tcMar>
              <w:top w:type="dxa" w:w="80"/>
              <w:left w:type="dxa" w:w="100"/>
              <w:bottom w:type="dxa" w:w="80"/>
              <w:right w:type="dxa" w:w="100"/>
            </w:tcMar>
          </w:tcPr>
          <w:p>
            <w:pPr>
              <w:spacing w:after="0"/>
            </w:pPr>
            <w:r>
              <w:rPr>
                <w:rFonts w:ascii="Calibri" w:cs="Calibri" w:eastAsia="Calibri" w:hAnsi="Calibri"/>
                <w:b w:val="false"/>
                <w:bCs w:val="false"/>
                <w:color w:val="222222"/>
                <w:sz w:val="19"/>
                <w:szCs w:val="19"/>
              </w:rPr>
              <w:t xml:space="preserve">Existing watsonx Assistant flows can be exposed to an orchestrator agent as a collaborator for well-defined sub-tasks.</w:t>
            </w:r>
          </w:p>
        </w:tc>
      </w:tr>
      <w:tr>
        <w:tc>
          <w:tcPr>
            <w:tcW w:type="dxa" w:w="1400"/>
            <w:shd w:fill="F2F2F2" w:val="clear"/>
            <w:tcMar>
              <w:top w:type="dxa" w:w="80"/>
              <w:left w:type="dxa" w:w="100"/>
              <w:bottom w:type="dxa" w:w="80"/>
              <w:right w:type="dxa" w:w="100"/>
            </w:tcMar>
            <w:vAlign w:val="center"/>
          </w:tcPr>
          <w:p>
            <w:pPr>
              <w:spacing w:after="0"/>
            </w:pPr>
            <w:r>
              <w:rPr>
                <w:rFonts w:ascii="Calibri" w:cs="Calibri" w:eastAsia="Calibri" w:hAnsi="Calibri"/>
                <w:b/>
                <w:bCs/>
                <w:color w:val="1B2A4A"/>
                <w:sz w:val="19"/>
                <w:szCs w:val="19"/>
              </w:rPr>
              <w:t xml:space="preserve">4.4 AI assistants as Agents</w:t>
            </w:r>
          </w:p>
        </w:tc>
        <w:tc>
          <w:tcPr>
            <w:tcW w:type="dxa" w:w="7800"/>
            <w:shd w:fill="F2F2F2" w:val="clear"/>
            <w:tcMar>
              <w:top w:type="dxa" w:w="80"/>
              <w:left w:type="dxa" w:w="100"/>
              <w:bottom w:type="dxa" w:w="80"/>
              <w:right w:type="dxa" w:w="100"/>
            </w:tcMar>
          </w:tcPr>
          <w:p>
            <w:pPr>
              <w:spacing w:after="0"/>
            </w:pPr>
            <w:r>
              <w:rPr>
                <w:rFonts w:ascii="Calibri" w:cs="Calibri" w:eastAsia="Calibri" w:hAnsi="Calibri"/>
                <w:b w:val="false"/>
                <w:bCs w:val="false"/>
                <w:color w:val="222222"/>
                <w:sz w:val="19"/>
                <w:szCs w:val="19"/>
              </w:rPr>
              <w:t xml:space="preserve">An assistant's capability can be wrapped and presented to the orchestration layer in agent form so it participates in multi-agent routing.</w:t>
            </w:r>
          </w:p>
        </w:tc>
      </w:tr>
      <w:tr>
        <w:tc>
          <w:tcPr>
            <w:tcW w:type="dxa" w:w="1400"/>
            <w:shd w:fill="FFFFFF" w:val="clear"/>
            <w:tcMar>
              <w:top w:type="dxa" w:w="80"/>
              <w:left w:type="dxa" w:w="100"/>
              <w:bottom w:type="dxa" w:w="80"/>
              <w:right w:type="dxa" w:w="100"/>
            </w:tcMar>
            <w:vAlign w:val="center"/>
          </w:tcPr>
          <w:p>
            <w:pPr>
              <w:spacing w:after="0"/>
            </w:pPr>
            <w:r>
              <w:rPr>
                <w:rFonts w:ascii="Calibri" w:cs="Calibri" w:eastAsia="Calibri" w:hAnsi="Calibri"/>
                <w:b/>
                <w:bCs/>
                <w:color w:val="1B2A4A"/>
                <w:sz w:val="19"/>
                <w:szCs w:val="19"/>
              </w:rPr>
              <w:t xml:space="preserve">4.5 External A2A agents by using ADK</w:t>
            </w:r>
          </w:p>
        </w:tc>
        <w:tc>
          <w:tcPr>
            <w:tcW w:type="dxa" w:w="7800"/>
            <w:shd w:fill="FFFFFF" w:val="clear"/>
            <w:tcMar>
              <w:top w:type="dxa" w:w="80"/>
              <w:left w:type="dxa" w:w="100"/>
              <w:bottom w:type="dxa" w:w="80"/>
              <w:right w:type="dxa" w:w="100"/>
            </w:tcMar>
          </w:tcPr>
          <w:p>
            <w:pPr>
              <w:spacing w:after="0"/>
            </w:pPr>
            <w:r>
              <w:rPr>
                <w:rFonts w:ascii="Calibri" w:cs="Calibri" w:eastAsia="Calibri" w:hAnsi="Calibri"/>
                <w:b w:val="false"/>
                <w:bCs w:val="false"/>
                <w:color w:val="222222"/>
                <w:sz w:val="19"/>
                <w:szCs w:val="19"/>
              </w:rPr>
              <w:t xml:space="preserve">Configured exclusively through the ADK, as described in Task 2.2.</w:t>
            </w:r>
          </w:p>
        </w:tc>
      </w:tr>
    </w:tbl>
    <w:tbl>
      <w:tblPr>
        <w:tblW w:type="pct" w:w="100%"/>
        <w:tblBorders>
          <w:top w:val="single" w:color="C9A227" w:sz="4"/>
          <w:left w:val="single" w:color="C9A227" w:sz="4"/>
          <w:bottom w:val="single" w:color="C9A227" w:sz="4"/>
          <w:right w:val="single" w:color="C9A227" w:sz="4"/>
          <w:insideH w:val="none"/>
          <w:insideV w:val="none"/>
        </w:tblBorders>
      </w:tblPr>
      <w:tblGrid>
        <w:gridCol w:w="100"/>
      </w:tblGrid>
      <w:tr>
        <w:tc>
          <w:tcPr>
            <w:shd w:fill="F5E9C6" w:val="clear"/>
            <w:tcMar>
              <w:top w:type="dxa" w:w="150"/>
              <w:left w:type="dxa" w:w="200"/>
              <w:bottom w:type="dxa" w:w="150"/>
              <w:right w:type="dxa" w:w="200"/>
            </w:tcMar>
          </w:tcPr>
          <w:p>
            <w:pPr>
              <w:spacing w:after="80"/>
            </w:pPr>
            <w:r>
              <w:rPr>
                <w:rFonts w:ascii="Calibri" w:cs="Calibri" w:eastAsia="Calibri" w:hAnsi="Calibri"/>
                <w:b/>
                <w:bCs/>
                <w:color w:val="0F1B33"/>
                <w:sz w:val="21"/>
                <w:szCs w:val="21"/>
              </w:rPr>
              <w:t xml:space="preserve">💡 Best-Practice Design Pattern</w:t>
            </w:r>
          </w:p>
          <w:p>
            <w:pPr>
              <w:spacing w:after="40"/>
            </w:pPr>
            <w:r>
              <w:rPr>
                <w:rFonts w:ascii="Calibri" w:cs="Calibri" w:eastAsia="Calibri" w:hAnsi="Calibri"/>
                <w:color w:val="222222"/>
                <w:sz w:val="20"/>
                <w:szCs w:val="20"/>
              </w:rPr>
              <w:t xml:space="preserve">• Use one main orchestrator/supervisor agent with domain-specific collaborator agents underneath it.</w:t>
            </w:r>
          </w:p>
          <w:p>
            <w:pPr>
              <w:spacing w:after="40"/>
            </w:pPr>
            <w:r>
              <w:rPr>
                <w:rFonts w:ascii="Calibri" w:cs="Calibri" w:eastAsia="Calibri" w:hAnsi="Calibri"/>
                <w:color w:val="222222"/>
                <w:sz w:val="20"/>
                <w:szCs w:val="20"/>
              </w:rPr>
              <w:t xml:space="preserve">• Organise agents by business domain or use case rather than by technical function.</w:t>
            </w:r>
          </w:p>
          <w:p>
            <w:pPr>
              <w:spacing w:after="40"/>
            </w:pPr>
            <w:r>
              <w:rPr>
                <w:rFonts w:ascii="Calibri" w:cs="Calibri" w:eastAsia="Calibri" w:hAnsi="Calibri"/>
                <w:color w:val="222222"/>
                <w:sz w:val="20"/>
                <w:szCs w:val="20"/>
              </w:rPr>
              <w:t xml:space="preserve">• Avoid deep nesting of collaborators — each additional layer adds latency and reasoning complexity.</w:t>
            </w:r>
          </w:p>
          <w:p>
            <w:pPr>
              <w:spacing w:after="40"/>
            </w:pPr>
            <w:r>
              <w:rPr>
                <w:rFonts w:ascii="Calibri" w:cs="Calibri" w:eastAsia="Calibri" w:hAnsi="Calibri"/>
                <w:color w:val="222222"/>
                <w:sz w:val="20"/>
                <w:szCs w:val="20"/>
              </w:rPr>
              <w:t xml:space="preserve">• Recommended ceiling: about 10 sub-agents/tools per agent for reliable tool selection accuracy.</w:t>
            </w:r>
          </w:p>
        </w:tc>
      </w:tr>
    </w:tbl>
    <w:p>
      <w:pPr>
        <w:spacing w:after="150"/>
      </w:pPr>
    </w:p>
    <w:tbl>
      <w:tblPr>
        <w:tblW w:type="pct" w:w="100%"/>
        <w:tblBorders>
          <w:top w:val="none"/>
          <w:left w:val="none"/>
          <w:bottom w:val="single" w:color="C9A227" w:sz="6"/>
          <w:right w:val="none"/>
          <w:insideH w:val="none"/>
          <w:insideV w:val="none"/>
        </w:tblBorders>
      </w:tblPr>
      <w:tblGrid>
        <w:gridCol w:w="100"/>
      </w:tblGrid>
      <w:tr>
        <w:tc>
          <w:tcPr>
            <w:shd w:fill="F2F2F2" w:val="clear"/>
            <w:tcMar>
              <w:top w:type="dxa" w:w="120"/>
              <w:left w:type="dxa" w:w="200"/>
              <w:bottom w:type="dxa" w:w="120"/>
              <w:right w:type="dxa" w:w="200"/>
            </w:tcMar>
          </w:tcPr>
          <w:p>
            <w:r>
              <w:rPr>
                <w:rFonts w:ascii="Calibri" w:cs="Calibri" w:eastAsia="Calibri" w:hAnsi="Calibri"/>
                <w:b/>
                <w:bCs/>
                <w:color w:val="C9A227"/>
                <w:sz w:val="23"/>
                <w:szCs w:val="23"/>
              </w:rPr>
              <w:t xml:space="preserve">TASK 2.4  </w:t>
            </w:r>
            <w:r>
              <w:rPr>
                <w:rFonts w:ascii="Calibri" w:cs="Calibri" w:eastAsia="Calibri" w:hAnsi="Calibri"/>
                <w:b/>
                <w:bCs/>
                <w:color w:val="1B2A4A"/>
                <w:sz w:val="23"/>
                <w:szCs w:val="23"/>
              </w:rPr>
              <w:t xml:space="preserve">Describe Langflow Integration as a Visual Orchestration Option</w:t>
            </w:r>
          </w:p>
        </w:tc>
      </w:tr>
    </w:tbl>
    <w:p>
      <w:pPr>
        <w:spacing w:after="100"/>
      </w:pPr>
    </w:p>
    <w:p>
      <w:pPr>
        <w:pStyle w:val="Heading3"/>
        <w:spacing w:after="100" w:before="220"/>
      </w:pPr>
      <w:r>
        <w:rPr>
          <w:rFonts w:ascii="Calibri" w:cs="Calibri" w:eastAsia="Calibri" w:hAnsi="Calibri"/>
          <w:b/>
          <w:bCs/>
          <w:color w:val="0F1B33"/>
          <w:sz w:val="23"/>
          <w:szCs w:val="23"/>
        </w:rPr>
        <w:t xml:space="preserve">1–2. Describe Langflow and its business value</w:t>
      </w:r>
    </w:p>
    <w:p>
      <w:pPr>
        <w:spacing w:after="120" w:line="276"/>
      </w:pPr>
      <w:r>
        <w:rPr>
          <w:rFonts w:ascii="Calibri" w:cs="Calibri" w:eastAsia="Calibri" w:hAnsi="Calibri"/>
          <w:color w:val="222222"/>
          <w:sz w:val="21"/>
          <w:szCs w:val="21"/>
        </w:rPr>
        <w:t xml:space="preserve">Langflow is an open-source, visual, drag-and-drop builder for LLM applications (RAG pipelines, agent loops, custom tools). Within watsonx Orchestrate, Langflow gives teams that prefer visual composition — or that already have complex pipelines modelled in Langflow — a way to build sophisticated logic without hand-writing Python, while still governing the result as a standard Orchestrate tool.</w:t>
      </w:r>
    </w:p>
    <w:p>
      <w:pPr>
        <w:pStyle w:val="Heading3"/>
        <w:spacing w:after="100" w:before="220"/>
      </w:pPr>
      <w:r>
        <w:rPr>
          <w:rFonts w:ascii="Calibri" w:cs="Calibri" w:eastAsia="Calibri" w:hAnsi="Calibri"/>
          <w:b/>
          <w:bCs/>
          <w:color w:val="0F1B33"/>
          <w:sz w:val="23"/>
          <w:szCs w:val="23"/>
        </w:rPr>
        <w:t xml:space="preserve">3. Distinguish Langflow tools from AI assistants, Agentic Workflows, tools, collaborator agents, and external agents</w:t>
      </w:r>
    </w:p>
    <w:p>
      <w:pPr>
        <w:spacing w:after="120" w:line="276"/>
      </w:pPr>
      <w:r>
        <w:rPr>
          <w:rFonts w:ascii="Calibri" w:cs="Calibri" w:eastAsia="Calibri" w:hAnsi="Calibri"/>
          <w:color w:val="222222"/>
          <w:sz w:val="21"/>
          <w:szCs w:val="21"/>
        </w:rPr>
        <w:t xml:space="preserve">A Langflow flow is imported and treated as a tool (tool kind 'langflow') — a discrete callable capability an agent can invoke — not as an agent, assistant, or workflow in its own right. It differs from a native Python or OpenAPI tool only in how it was authored (visually, in Langflow, versus in code or an API spec).</w:t>
      </w:r>
    </w:p>
    <w:p>
      <w:pPr>
        <w:pStyle w:val="Heading3"/>
        <w:spacing w:after="100" w:before="220"/>
      </w:pPr>
      <w:r>
        <w:rPr>
          <w:rFonts w:ascii="Calibri" w:cs="Calibri" w:eastAsia="Calibri" w:hAnsi="Calibri"/>
          <w:b/>
          <w:bCs/>
          <w:color w:val="0F1B33"/>
          <w:sz w:val="23"/>
          <w:szCs w:val="23"/>
        </w:rPr>
        <w:t xml:space="preserve">4. Configure Langflow tools for watsonx Orchestrate using ADK Start ADK</w:t>
      </w:r>
    </w:p>
    <w:p>
      <w:pPr>
        <w:pStyle w:val="ListParagraph"/>
        <w:numPr>
          <w:ilvl w:val="0"/>
          <w:numId w:val="2"/>
        </w:numPr>
        <w:spacing w:after="60" w:line="270"/>
      </w:pPr>
      <w:r>
        <w:rPr>
          <w:rFonts w:ascii="Calibri" w:cs="Calibri" w:eastAsia="Calibri" w:hAnsi="Calibri"/>
          <w:color w:val="222222"/>
          <w:sz w:val="21"/>
          <w:szCs w:val="21"/>
        </w:rPr>
        <w:t xml:space="preserve">Start the watsonx Orchestrate Developer Edition with the --with-langflow flag to enable the embedded Langflow visual editor (typically on port 7861).</w:t>
      </w:r>
    </w:p>
    <w:p>
      <w:pPr>
        <w:pStyle w:val="ListParagraph"/>
        <w:numPr>
          <w:ilvl w:val="0"/>
          <w:numId w:val="2"/>
        </w:numPr>
        <w:spacing w:after="60" w:line="270"/>
      </w:pPr>
      <w:r>
        <w:rPr>
          <w:rFonts w:ascii="Calibri" w:cs="Calibri" w:eastAsia="Calibri" w:hAnsi="Calibri"/>
          <w:color w:val="222222"/>
          <w:sz w:val="21"/>
          <w:szCs w:val="21"/>
        </w:rPr>
        <w:t xml:space="preserve">Design or import a flow in the Langflow visual editor.</w:t>
      </w:r>
    </w:p>
    <w:p>
      <w:pPr>
        <w:pStyle w:val="ListParagraph"/>
        <w:numPr>
          <w:ilvl w:val="0"/>
          <w:numId w:val="2"/>
        </w:numPr>
        <w:spacing w:after="60" w:line="270"/>
      </w:pPr>
      <w:r>
        <w:rPr>
          <w:rFonts w:ascii="Calibri" w:cs="Calibri" w:eastAsia="Calibri" w:hAnsi="Calibri"/>
          <w:color w:val="222222"/>
          <w:sz w:val="21"/>
          <w:szCs w:val="21"/>
        </w:rPr>
        <w:t xml:space="preserve">Export the flow as JSON.</w:t>
      </w:r>
    </w:p>
    <w:p>
      <w:pPr>
        <w:pStyle w:val="ListParagraph"/>
        <w:numPr>
          <w:ilvl w:val="0"/>
          <w:numId w:val="2"/>
        </w:numPr>
        <w:spacing w:after="60" w:line="270"/>
      </w:pPr>
      <w:r>
        <w:rPr>
          <w:rFonts w:ascii="Calibri" w:cs="Calibri" w:eastAsia="Calibri" w:hAnsi="Calibri"/>
          <w:color w:val="222222"/>
          <w:sz w:val="21"/>
          <w:szCs w:val="21"/>
        </w:rPr>
        <w:t xml:space="preserve">Import the JSON into watsonx Orchestrate as a tool using the ADK CLI (orchestrate tools import -k langflow ...), mapping any required credentials to Orchestrate connections.</w:t>
      </w:r>
    </w:p>
    <w:p>
      <w:pPr>
        <w:pStyle w:val="Heading3"/>
        <w:spacing w:after="100" w:before="220"/>
      </w:pPr>
      <w:r>
        <w:rPr>
          <w:rFonts w:ascii="Calibri" w:cs="Calibri" w:eastAsia="Calibri" w:hAnsi="Calibri"/>
          <w:b/>
          <w:bCs/>
          <w:color w:val="0F1B33"/>
          <w:sz w:val="23"/>
          <w:szCs w:val="23"/>
        </w:rPr>
        <w:t xml:space="preserve">5. Integrate Langflow tools into watsonx Orchestrate agents</w:t>
      </w:r>
    </w:p>
    <w:p>
      <w:pPr>
        <w:spacing w:after="120" w:line="276"/>
      </w:pPr>
      <w:r>
        <w:rPr>
          <w:rFonts w:ascii="Calibri" w:cs="Calibri" w:eastAsia="Calibri" w:hAnsi="Calibri"/>
          <w:color w:val="222222"/>
          <w:sz w:val="21"/>
          <w:szCs w:val="21"/>
        </w:rPr>
        <w:t xml:space="preserve">Once imported, a Langflow-based tool is attached to an agent's YAML definition exactly like any other tool, and the agent's LLM decides when to invoke it based on the tool's description.</w:t>
      </w:r>
    </w:p>
    <w:p>
      <w:pPr>
        <w:pStyle w:val="Heading3"/>
        <w:spacing w:after="100" w:before="220"/>
      </w:pPr>
      <w:r>
        <w:rPr>
          <w:rFonts w:ascii="Calibri" w:cs="Calibri" w:eastAsia="Calibri" w:hAnsi="Calibri"/>
          <w:b/>
          <w:bCs/>
          <w:color w:val="0F1B33"/>
          <w:sz w:val="23"/>
          <w:szCs w:val="23"/>
        </w:rPr>
        <w:t xml:space="preserve">6. Identify/List supported Langflow components and integration capabilities</w:t>
      </w:r>
    </w:p>
    <w:p>
      <w:pPr>
        <w:pStyle w:val="ListParagraph"/>
        <w:numPr>
          <w:ilvl w:val="0"/>
          <w:numId w:val="3"/>
        </w:numPr>
        <w:spacing w:after="60" w:line="270"/>
      </w:pPr>
      <w:r>
        <w:rPr>
          <w:rFonts w:ascii="Calibri" w:cs="Calibri" w:eastAsia="Calibri" w:hAnsi="Calibri"/>
          <w:color w:val="222222"/>
          <w:sz w:val="21"/>
          <w:szCs w:val="21"/>
        </w:rPr>
        <w:t xml:space="preserve">Standard Langflow components (Chat Input/Output, LLM nodes, retrievers, custom Python components) can all be included in an exported flow.</w:t>
      </w:r>
    </w:p>
    <w:p>
      <w:pPr>
        <w:pStyle w:val="ListParagraph"/>
        <w:numPr>
          <w:ilvl w:val="0"/>
          <w:numId w:val="3"/>
        </w:numPr>
        <w:spacing w:after="60" w:line="270"/>
      </w:pPr>
      <w:r>
        <w:rPr>
          <w:rFonts w:ascii="Calibri" w:cs="Calibri" w:eastAsia="Calibri" w:hAnsi="Calibri"/>
          <w:color w:val="222222"/>
          <w:sz w:val="21"/>
          <w:szCs w:val="21"/>
        </w:rPr>
        <w:t xml:space="preserve">Custom Langflow components can be built and imported, extending what a Langflow-based tool can do beyond the stock component library.</w:t>
      </w:r>
    </w:p>
    <w:p>
      <w:pPr>
        <w:pStyle w:val="ListParagraph"/>
        <w:numPr>
          <w:ilvl w:val="0"/>
          <w:numId w:val="3"/>
        </w:numPr>
        <w:spacing w:after="60" w:line="270"/>
      </w:pPr>
      <w:r>
        <w:rPr>
          <w:rFonts w:ascii="Calibri" w:cs="Calibri" w:eastAsia="Calibri" w:hAnsi="Calibri"/>
          <w:color w:val="222222"/>
          <w:sz w:val="21"/>
          <w:szCs w:val="21"/>
        </w:rPr>
        <w:t xml:space="preserve">Langflow flows can also be exposed as an MCP server ('Publish as MCP Server'), giving an alternative integration path via MCP rather than direct JSON import.</w:t>
      </w:r>
    </w:p>
    <w:p>
      <w:r>
        <w:br w:type="page"/>
      </w:r>
    </w:p>
    <w:tbl>
      <w:tblPr>
        <w:tblW w:type="pct" w:w="100%"/>
        <w:tblBorders>
          <w:top w:val="none"/>
          <w:left w:val="none"/>
          <w:bottom w:val="none"/>
          <w:right w:val="none"/>
          <w:insideH w:val="none"/>
          <w:insideV w:val="none"/>
        </w:tblBorders>
      </w:tblPr>
      <w:tblGrid>
        <w:gridCol w:w="100"/>
      </w:tblGrid>
      <w:tr>
        <w:tc>
          <w:tcPr>
            <w:tcW w:type="pct" w:w="100%"/>
            <w:shd w:fill="1B2A4A" w:val="clear"/>
            <w:tcMar>
              <w:top w:type="dxa" w:w="200"/>
              <w:left w:type="dxa" w:w="250"/>
              <w:bottom w:type="dxa" w:w="200"/>
              <w:right w:type="dxa" w:w="250"/>
            </w:tcMar>
          </w:tcPr>
          <w:p>
            <w:r>
              <w:rPr>
                <w:rFonts w:ascii="Calibri" w:cs="Calibri" w:eastAsia="Calibri" w:hAnsi="Calibri"/>
                <w:b/>
                <w:bCs/>
                <w:color w:val="C9A227"/>
                <w:sz w:val="20"/>
                <w:szCs w:val="20"/>
              </w:rPr>
              <w:t xml:space="preserve">SECTION 3</w:t>
            </w:r>
          </w:p>
          <w:p>
            <w:pPr>
              <w:spacing w:before="60"/>
            </w:pPr>
            <w:r>
              <w:rPr>
                <w:rFonts w:ascii="Calibri" w:cs="Calibri" w:eastAsia="Calibri" w:hAnsi="Calibri"/>
                <w:b/>
                <w:bCs/>
                <w:color w:val="FFFFFF"/>
                <w:sz w:val="30"/>
                <w:szCs w:val="30"/>
              </w:rPr>
              <w:t xml:space="preserve">Workflow and Orchestration Design</w:t>
            </w:r>
          </w:p>
          <w:p>
            <w:pPr>
              <w:spacing w:before="60"/>
            </w:pPr>
            <w:r>
              <w:rPr>
                <w:rFonts w:ascii="Calibri" w:cs="Calibri" w:eastAsia="Calibri" w:hAnsi="Calibri"/>
                <w:i/>
                <w:iCs/>
                <w:color w:val="F5E9C6"/>
                <w:sz w:val="20"/>
                <w:szCs w:val="20"/>
              </w:rPr>
              <w:t xml:space="preserve">Exam Weight: approximately 14% of the C1000-207 exam</w:t>
            </w:r>
          </w:p>
        </w:tc>
      </w:tr>
    </w:tbl>
    <w:p>
      <w:pPr>
        <w:spacing w:after="200"/>
      </w:pPr>
    </w:p>
    <w:p>
      <w:pPr>
        <w:spacing w:after="120" w:line="276"/>
      </w:pPr>
      <w:r>
        <w:rPr>
          <w:rFonts w:ascii="Calibri" w:cs="Calibri" w:eastAsia="Calibri" w:hAnsi="Calibri"/>
          <w:color w:val="222222"/>
          <w:sz w:val="21"/>
          <w:szCs w:val="21"/>
        </w:rPr>
        <w:t xml:space="preserve">This section covers the structured, more deterministic side of automation — Agentic Workflows and Flow Builder — plus the two other major ways of extending an agent's reach: MCP tool integration and pre-built domain agents.</w:t>
      </w:r>
    </w:p>
    <w:tbl>
      <w:tblPr>
        <w:tblW w:type="pct" w:w="100%"/>
        <w:tblBorders>
          <w:top w:val="none"/>
          <w:left w:val="none"/>
          <w:bottom w:val="single" w:color="C9A227" w:sz="6"/>
          <w:right w:val="none"/>
          <w:insideH w:val="none"/>
          <w:insideV w:val="none"/>
        </w:tblBorders>
      </w:tblPr>
      <w:tblGrid>
        <w:gridCol w:w="100"/>
      </w:tblGrid>
      <w:tr>
        <w:tc>
          <w:tcPr>
            <w:shd w:fill="F2F2F2" w:val="clear"/>
            <w:tcMar>
              <w:top w:type="dxa" w:w="120"/>
              <w:left w:type="dxa" w:w="200"/>
              <w:bottom w:type="dxa" w:w="120"/>
              <w:right w:type="dxa" w:w="200"/>
            </w:tcMar>
          </w:tcPr>
          <w:p>
            <w:r>
              <w:rPr>
                <w:rFonts w:ascii="Calibri" w:cs="Calibri" w:eastAsia="Calibri" w:hAnsi="Calibri"/>
                <w:b/>
                <w:bCs/>
                <w:color w:val="C9A227"/>
                <w:sz w:val="23"/>
                <w:szCs w:val="23"/>
              </w:rPr>
              <w:t xml:space="preserve">TASK 3.1  </w:t>
            </w:r>
            <w:r>
              <w:rPr>
                <w:rFonts w:ascii="Calibri" w:cs="Calibri" w:eastAsia="Calibri" w:hAnsi="Calibri"/>
                <w:b/>
                <w:bCs/>
                <w:color w:val="1B2A4A"/>
                <w:sz w:val="23"/>
                <w:szCs w:val="23"/>
              </w:rPr>
              <w:t xml:space="preserve">Build Agentic Workflows</w:t>
            </w:r>
          </w:p>
        </w:tc>
      </w:tr>
    </w:tbl>
    <w:p>
      <w:pPr>
        <w:spacing w:after="100"/>
      </w:pPr>
    </w:p>
    <w:p>
      <w:pPr>
        <w:pStyle w:val="Heading3"/>
        <w:spacing w:after="100" w:before="220"/>
      </w:pPr>
      <w:r>
        <w:rPr>
          <w:rFonts w:ascii="Calibri" w:cs="Calibri" w:eastAsia="Calibri" w:hAnsi="Calibri"/>
          <w:b/>
          <w:bCs/>
          <w:color w:val="0F1B33"/>
          <w:sz w:val="23"/>
          <w:szCs w:val="23"/>
        </w:rPr>
        <w:t xml:space="preserve">1. Describe how to create an agentic workflow</w:t>
      </w:r>
    </w:p>
    <w:p>
      <w:pPr>
        <w:spacing w:after="120" w:line="276"/>
      </w:pPr>
      <w:r>
        <w:rPr>
          <w:rFonts w:ascii="Calibri" w:cs="Calibri" w:eastAsia="Calibri" w:hAnsi="Calibri"/>
          <w:color w:val="222222"/>
          <w:sz w:val="21"/>
          <w:szCs w:val="21"/>
        </w:rPr>
        <w:t xml:space="preserve">An agentic workflow is created visually (or via YAML/ADK) in the Flow Builder by chaining nodes — tools, agents, code blocks, and control structures (conditions, loops) — into a defined sequence, so that multi-step business logic that benefits from determinism (e.g., 'always validate before submitting') is captured explicitly rather than left entirely to LLM reasoning.</w:t>
      </w:r>
    </w:p>
    <w:p>
      <w:pPr>
        <w:pStyle w:val="Heading3"/>
        <w:spacing w:after="100" w:before="220"/>
      </w:pPr>
      <w:r>
        <w:rPr>
          <w:rFonts w:ascii="Calibri" w:cs="Calibri" w:eastAsia="Calibri" w:hAnsi="Calibri"/>
          <w:b/>
          <w:bCs/>
          <w:color w:val="0F1B33"/>
          <w:sz w:val="23"/>
          <w:szCs w:val="23"/>
        </w:rPr>
        <w:t xml:space="preserve">2. Explain how to add user activities to a workflow</w:t>
      </w:r>
    </w:p>
    <w:p>
      <w:pPr>
        <w:spacing w:after="120" w:line="276"/>
      </w:pPr>
      <w:r>
        <w:rPr>
          <w:rFonts w:ascii="Calibri" w:cs="Calibri" w:eastAsia="Calibri" w:hAnsi="Calibri"/>
          <w:color w:val="222222"/>
          <w:sz w:val="21"/>
          <w:szCs w:val="21"/>
        </w:rPr>
        <w:t xml:space="preserve">User activities (human-in-the-loop steps) pause the workflow to collect input, request an approval, or hand off a decision to a person, then resume automatically once the person responds — with the interaction captured for audit purposes.</w:t>
      </w:r>
    </w:p>
    <w:p>
      <w:pPr>
        <w:pStyle w:val="Heading3"/>
        <w:spacing w:after="100" w:before="220"/>
      </w:pPr>
      <w:r>
        <w:rPr>
          <w:rFonts w:ascii="Calibri" w:cs="Calibri" w:eastAsia="Calibri" w:hAnsi="Calibri"/>
          <w:b/>
          <w:bCs/>
          <w:color w:val="0F1B33"/>
          <w:sz w:val="23"/>
          <w:szCs w:val="23"/>
        </w:rPr>
        <w:t xml:space="preserve">3. Articulate adding generative prompts in a workflow</w:t>
      </w:r>
    </w:p>
    <w:p>
      <w:pPr>
        <w:spacing w:after="120" w:line="276"/>
      </w:pPr>
      <w:r>
        <w:rPr>
          <w:rFonts w:ascii="Calibri" w:cs="Calibri" w:eastAsia="Calibri" w:hAnsi="Calibri"/>
          <w:color w:val="222222"/>
          <w:sz w:val="21"/>
          <w:szCs w:val="21"/>
        </w:rPr>
        <w:t xml:space="preserve">A generative/LLM prompt step can be inserted into an otherwise deterministic flow to handle a sub-task that benefits from language understanding or generation (e.g., summarizing a document, classifying free-text input) before the flow continues with structured logic.</w:t>
      </w:r>
    </w:p>
    <w:p>
      <w:pPr>
        <w:pStyle w:val="Heading3"/>
        <w:spacing w:after="100" w:before="220"/>
      </w:pPr>
      <w:r>
        <w:rPr>
          <w:rFonts w:ascii="Calibri" w:cs="Calibri" w:eastAsia="Calibri" w:hAnsi="Calibri"/>
          <w:b/>
          <w:bCs/>
          <w:color w:val="0F1B33"/>
          <w:sz w:val="23"/>
          <w:szCs w:val="23"/>
        </w:rPr>
        <w:t xml:space="preserve">4. Explain how code blocks are used</w:t>
      </w:r>
    </w:p>
    <w:p>
      <w:pPr>
        <w:spacing w:after="120" w:line="276"/>
      </w:pPr>
      <w:r>
        <w:rPr>
          <w:rFonts w:ascii="Calibri" w:cs="Calibri" w:eastAsia="Calibri" w:hAnsi="Calibri"/>
          <w:color w:val="222222"/>
          <w:sz w:val="21"/>
          <w:szCs w:val="21"/>
        </w:rPr>
        <w:t xml:space="preserve">Code blocks let you embed custom logic (typically Python) directly in a flow step for data transformation, validation, or calculations that don't warrant a full standalone tool.</w:t>
      </w:r>
    </w:p>
    <w:p>
      <w:pPr>
        <w:pStyle w:val="Heading3"/>
        <w:spacing w:after="100" w:before="220"/>
      </w:pPr>
      <w:r>
        <w:rPr>
          <w:rFonts w:ascii="Calibri" w:cs="Calibri" w:eastAsia="Calibri" w:hAnsi="Calibri"/>
          <w:b/>
          <w:bCs/>
          <w:color w:val="0F1B33"/>
          <w:sz w:val="23"/>
          <w:szCs w:val="23"/>
        </w:rPr>
        <w:t xml:space="preserve">5. Define the flow outline used in Orchestrate</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400"/>
        <w:gridCol w:w="7800"/>
      </w:tblGrid>
      <w:tr>
        <w:tc>
          <w:tcPr>
            <w:tcW w:type="dxa" w:w="1400"/>
            <w:shd w:fill="FFFFFF" w:val="clear"/>
            <w:tcMar>
              <w:top w:type="dxa" w:w="80"/>
              <w:left w:type="dxa" w:w="100"/>
              <w:bottom w:type="dxa" w:w="80"/>
              <w:right w:type="dxa" w:w="100"/>
            </w:tcMar>
            <w:vAlign w:val="center"/>
          </w:tcPr>
          <w:p>
            <w:pPr>
              <w:spacing w:after="0"/>
            </w:pPr>
            <w:r>
              <w:rPr>
                <w:rFonts w:ascii="Calibri" w:cs="Calibri" w:eastAsia="Calibri" w:hAnsi="Calibri"/>
                <w:b/>
                <w:bCs/>
                <w:color w:val="1B2A4A"/>
                <w:sz w:val="19"/>
                <w:szCs w:val="19"/>
              </w:rPr>
              <w:t xml:space="preserve">5.1 Flow pattern</w:t>
            </w:r>
          </w:p>
        </w:tc>
        <w:tc>
          <w:tcPr>
            <w:tcW w:type="dxa" w:w="7800"/>
            <w:shd w:fill="FFFFFF" w:val="clear"/>
            <w:tcMar>
              <w:top w:type="dxa" w:w="80"/>
              <w:left w:type="dxa" w:w="100"/>
              <w:bottom w:type="dxa" w:w="80"/>
              <w:right w:type="dxa" w:w="100"/>
            </w:tcMar>
          </w:tcPr>
          <w:p>
            <w:pPr>
              <w:spacing w:after="0"/>
            </w:pPr>
            <w:r>
              <w:rPr>
                <w:rFonts w:ascii="Calibri" w:cs="Calibri" w:eastAsia="Calibri" w:hAnsi="Calibri"/>
                <w:b w:val="false"/>
                <w:bCs w:val="false"/>
                <w:color w:val="222222"/>
                <w:sz w:val="19"/>
                <w:szCs w:val="19"/>
              </w:rPr>
              <w:t xml:space="preserve">Trigger → sequence of actions → decision points → outcomes. A flow starts from a trigger (a user request, schedule, or event), executes a sequence of actions, evaluates decision points/conditions, and produces defined outcomes.</w:t>
            </w:r>
          </w:p>
        </w:tc>
      </w:tr>
      <w:tr>
        <w:tc>
          <w:tcPr>
            <w:tcW w:type="dxa" w:w="1400"/>
            <w:shd w:fill="F2F2F2" w:val="clear"/>
            <w:tcMar>
              <w:top w:type="dxa" w:w="80"/>
              <w:left w:type="dxa" w:w="100"/>
              <w:bottom w:type="dxa" w:w="80"/>
              <w:right w:type="dxa" w:w="100"/>
            </w:tcMar>
            <w:vAlign w:val="center"/>
          </w:tcPr>
          <w:p>
            <w:pPr>
              <w:spacing w:after="0"/>
            </w:pPr>
            <w:r>
              <w:rPr>
                <w:rFonts w:ascii="Calibri" w:cs="Calibri" w:eastAsia="Calibri" w:hAnsi="Calibri"/>
                <w:b/>
                <w:bCs/>
                <w:color w:val="1B2A4A"/>
                <w:sz w:val="19"/>
                <w:szCs w:val="19"/>
              </w:rPr>
              <w:t xml:space="preserve">5.2 Required agents and skills</w:t>
            </w:r>
          </w:p>
        </w:tc>
        <w:tc>
          <w:tcPr>
            <w:tcW w:type="dxa" w:w="7800"/>
            <w:shd w:fill="F2F2F2" w:val="clear"/>
            <w:tcMar>
              <w:top w:type="dxa" w:w="80"/>
              <w:left w:type="dxa" w:w="100"/>
              <w:bottom w:type="dxa" w:w="80"/>
              <w:right w:type="dxa" w:w="100"/>
            </w:tcMar>
          </w:tcPr>
          <w:p>
            <w:pPr>
              <w:spacing w:after="0"/>
            </w:pPr>
            <w:r>
              <w:rPr>
                <w:rFonts w:ascii="Calibri" w:cs="Calibri" w:eastAsia="Calibri" w:hAnsi="Calibri"/>
                <w:b w:val="false"/>
                <w:bCs w:val="false"/>
                <w:color w:val="222222"/>
                <w:sz w:val="19"/>
                <w:szCs w:val="19"/>
              </w:rPr>
              <w:t xml:space="preserve">Before building, identify which steps require an agent's reasoning versus a deterministic tool call, and which reusable skills/tools already exist in the catalog.</w:t>
            </w:r>
          </w:p>
        </w:tc>
      </w:tr>
    </w:tbl>
    <w:p>
      <w:pPr>
        <w:spacing w:after="150"/>
      </w:pPr>
    </w:p>
    <w:tbl>
      <w:tblPr>
        <w:tblW w:type="pct" w:w="100%"/>
        <w:tblBorders>
          <w:top w:val="none"/>
          <w:left w:val="none"/>
          <w:bottom w:val="single" w:color="C9A227" w:sz="6"/>
          <w:right w:val="none"/>
          <w:insideH w:val="none"/>
          <w:insideV w:val="none"/>
        </w:tblBorders>
      </w:tblPr>
      <w:tblGrid>
        <w:gridCol w:w="100"/>
      </w:tblGrid>
      <w:tr>
        <w:tc>
          <w:tcPr>
            <w:shd w:fill="F2F2F2" w:val="clear"/>
            <w:tcMar>
              <w:top w:type="dxa" w:w="120"/>
              <w:left w:type="dxa" w:w="200"/>
              <w:bottom w:type="dxa" w:w="120"/>
              <w:right w:type="dxa" w:w="200"/>
            </w:tcMar>
          </w:tcPr>
          <w:p>
            <w:r>
              <w:rPr>
                <w:rFonts w:ascii="Calibri" w:cs="Calibri" w:eastAsia="Calibri" w:hAnsi="Calibri"/>
                <w:b/>
                <w:bCs/>
                <w:color w:val="C9A227"/>
                <w:sz w:val="23"/>
                <w:szCs w:val="23"/>
              </w:rPr>
              <w:t xml:space="preserve">TASK 3.2  </w:t>
            </w:r>
            <w:r>
              <w:rPr>
                <w:rFonts w:ascii="Calibri" w:cs="Calibri" w:eastAsia="Calibri" w:hAnsi="Calibri"/>
                <w:b/>
                <w:bCs/>
                <w:color w:val="1B2A4A"/>
                <w:sz w:val="23"/>
                <w:szCs w:val="23"/>
              </w:rPr>
              <w:t xml:space="preserve">Integrate with MCP Tools</w:t>
            </w:r>
          </w:p>
        </w:tc>
      </w:tr>
    </w:tbl>
    <w:p>
      <w:pPr>
        <w:spacing w:after="100"/>
      </w:pPr>
    </w:p>
    <w:p>
      <w:pPr>
        <w:pStyle w:val="Heading3"/>
        <w:spacing w:after="100" w:before="220"/>
      </w:pPr>
      <w:r>
        <w:rPr>
          <w:rFonts w:ascii="Calibri" w:cs="Calibri" w:eastAsia="Calibri" w:hAnsi="Calibri"/>
          <w:b/>
          <w:bCs/>
          <w:color w:val="0F1B33"/>
          <w:sz w:val="23"/>
          <w:szCs w:val="23"/>
        </w:rPr>
        <w:t xml:space="preserve">1. Describe Model Context Protocol (MCP) and its role in AI agent architecture</w:t>
      </w:r>
    </w:p>
    <w:p>
      <w:pPr>
        <w:spacing w:after="120" w:line="276"/>
      </w:pPr>
      <w:r>
        <w:rPr>
          <w:rFonts w:ascii="Calibri" w:cs="Calibri" w:eastAsia="Calibri" w:hAnsi="Calibri"/>
          <w:color w:val="222222"/>
          <w:sz w:val="21"/>
          <w:szCs w:val="21"/>
        </w:rPr>
        <w:t xml:space="preserve">MCP (Model Context Protocol) is an open standard that lets AI agents interact with external tools and data sources through a consistent, structured interface — regardless of which LLM or agent framework is calling them. In watsonx Orchestrate's architecture, MCP servers expose tools that any MCP-aware agent (native or external) can discover and call in a standardised way.</w:t>
      </w:r>
    </w:p>
    <w:p>
      <w:pPr>
        <w:pStyle w:val="Heading3"/>
        <w:spacing w:after="100" w:before="220"/>
      </w:pPr>
      <w:r>
        <w:rPr>
          <w:rFonts w:ascii="Calibri" w:cs="Calibri" w:eastAsia="Calibri" w:hAnsi="Calibri"/>
          <w:b/>
          <w:bCs/>
          <w:color w:val="0F1B33"/>
          <w:sz w:val="23"/>
          <w:szCs w:val="23"/>
        </w:rPr>
        <w:t xml:space="preserve">2. Explain the business value of MCP integration</w:t>
      </w:r>
    </w:p>
    <w:p>
      <w:pPr>
        <w:spacing w:after="120" w:line="276"/>
      </w:pPr>
      <w:r>
        <w:rPr>
          <w:rFonts w:ascii="Calibri" w:cs="Calibri" w:eastAsia="Calibri" w:hAnsi="Calibri"/>
          <w:color w:val="222222"/>
          <w:sz w:val="21"/>
          <w:szCs w:val="21"/>
        </w:rPr>
        <w:t xml:space="preserve">MCP tools work across multiple LLM providers and agent frameworks without rewriting integrations for each one, and they support enterprise requirements for auditing, logging, and structured data exchange — making them well suited where accuracy, security, and interoperability matter (e.g., financial calculations, credit checks) more than free-form language generation.</w:t>
      </w:r>
    </w:p>
    <w:p>
      <w:pPr>
        <w:pStyle w:val="Heading3"/>
        <w:spacing w:after="100" w:before="220"/>
      </w:pPr>
      <w:r>
        <w:rPr>
          <w:rFonts w:ascii="Calibri" w:cs="Calibri" w:eastAsia="Calibri" w:hAnsi="Calibri"/>
          <w:b/>
          <w:bCs/>
          <w:color w:val="0F1B33"/>
          <w:sz w:val="23"/>
          <w:szCs w:val="23"/>
        </w:rPr>
        <w:t xml:space="preserve">3. Distinguish MCP tools from other tool integration approaches</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400"/>
        <w:gridCol w:w="7800"/>
      </w:tblGrid>
      <w:tr>
        <w:tc>
          <w:tcPr>
            <w:tcW w:type="dxa" w:w="1400"/>
            <w:shd w:fill="FFFFFF" w:val="clear"/>
            <w:tcMar>
              <w:top w:type="dxa" w:w="80"/>
              <w:left w:type="dxa" w:w="100"/>
              <w:bottom w:type="dxa" w:w="80"/>
              <w:right w:type="dxa" w:w="100"/>
            </w:tcMar>
            <w:vAlign w:val="center"/>
          </w:tcPr>
          <w:p>
            <w:pPr>
              <w:spacing w:after="0"/>
            </w:pPr>
            <w:r>
              <w:rPr>
                <w:rFonts w:ascii="Calibri" w:cs="Calibri" w:eastAsia="Calibri" w:hAnsi="Calibri"/>
                <w:b/>
                <w:bCs/>
                <w:color w:val="1B2A4A"/>
                <w:sz w:val="19"/>
                <w:szCs w:val="19"/>
              </w:rPr>
              <w:t xml:space="preserve">Python tool</w:t>
            </w:r>
          </w:p>
        </w:tc>
        <w:tc>
          <w:tcPr>
            <w:tcW w:type="dxa" w:w="7800"/>
            <w:shd w:fill="FFFFFF" w:val="clear"/>
            <w:tcMar>
              <w:top w:type="dxa" w:w="80"/>
              <w:left w:type="dxa" w:w="100"/>
              <w:bottom w:type="dxa" w:w="80"/>
              <w:right w:type="dxa" w:w="100"/>
            </w:tcMar>
          </w:tcPr>
          <w:p>
            <w:pPr>
              <w:spacing w:after="0"/>
            </w:pPr>
            <w:r>
              <w:rPr>
                <w:rFonts w:ascii="Calibri" w:cs="Calibri" w:eastAsia="Calibri" w:hAnsi="Calibri"/>
                <w:b w:val="false"/>
                <w:bCs w:val="false"/>
                <w:color w:val="222222"/>
                <w:sz w:val="19"/>
                <w:szCs w:val="19"/>
              </w:rPr>
              <w:t xml:space="preserve">Full custom code and error handling, authored and maintained inside the ADK project.</w:t>
            </w:r>
          </w:p>
        </w:tc>
      </w:tr>
      <w:tr>
        <w:tc>
          <w:tcPr>
            <w:tcW w:type="dxa" w:w="1400"/>
            <w:shd w:fill="F2F2F2" w:val="clear"/>
            <w:tcMar>
              <w:top w:type="dxa" w:w="80"/>
              <w:left w:type="dxa" w:w="100"/>
              <w:bottom w:type="dxa" w:w="80"/>
              <w:right w:type="dxa" w:w="100"/>
            </w:tcMar>
            <w:vAlign w:val="center"/>
          </w:tcPr>
          <w:p>
            <w:pPr>
              <w:spacing w:after="0"/>
            </w:pPr>
            <w:r>
              <w:rPr>
                <w:rFonts w:ascii="Calibri" w:cs="Calibri" w:eastAsia="Calibri" w:hAnsi="Calibri"/>
                <w:b/>
                <w:bCs/>
                <w:color w:val="1B2A4A"/>
                <w:sz w:val="19"/>
                <w:szCs w:val="19"/>
              </w:rPr>
              <w:t xml:space="preserve">OpenAPI tool</w:t>
            </w:r>
          </w:p>
        </w:tc>
        <w:tc>
          <w:tcPr>
            <w:tcW w:type="dxa" w:w="7800"/>
            <w:shd w:fill="F2F2F2" w:val="clear"/>
            <w:tcMar>
              <w:top w:type="dxa" w:w="80"/>
              <w:left w:type="dxa" w:w="100"/>
              <w:bottom w:type="dxa" w:w="80"/>
              <w:right w:type="dxa" w:w="100"/>
            </w:tcMar>
          </w:tcPr>
          <w:p>
            <w:pPr>
              <w:spacing w:after="0"/>
            </w:pPr>
            <w:r>
              <w:rPr>
                <w:rFonts w:ascii="Calibri" w:cs="Calibri" w:eastAsia="Calibri" w:hAnsi="Calibri"/>
                <w:b w:val="false"/>
                <w:bCs w:val="false"/>
                <w:color w:val="222222"/>
                <w:sz w:val="19"/>
                <w:szCs w:val="19"/>
              </w:rPr>
              <w:t xml:space="preserve">Generated automatically from an existing OpenAPI/Swagger spec — fastest path for wrapping an existing REST API.</w:t>
            </w:r>
          </w:p>
        </w:tc>
      </w:tr>
      <w:tr>
        <w:tc>
          <w:tcPr>
            <w:tcW w:type="dxa" w:w="1400"/>
            <w:shd w:fill="FFFFFF" w:val="clear"/>
            <w:tcMar>
              <w:top w:type="dxa" w:w="80"/>
              <w:left w:type="dxa" w:w="100"/>
              <w:bottom w:type="dxa" w:w="80"/>
              <w:right w:type="dxa" w:w="100"/>
            </w:tcMar>
            <w:vAlign w:val="center"/>
          </w:tcPr>
          <w:p>
            <w:pPr>
              <w:spacing w:after="0"/>
            </w:pPr>
            <w:r>
              <w:rPr>
                <w:rFonts w:ascii="Calibri" w:cs="Calibri" w:eastAsia="Calibri" w:hAnsi="Calibri"/>
                <w:b/>
                <w:bCs/>
                <w:color w:val="1B2A4A"/>
                <w:sz w:val="19"/>
                <w:szCs w:val="19"/>
              </w:rPr>
              <w:t xml:space="preserve">MCP tool</w:t>
            </w:r>
          </w:p>
        </w:tc>
        <w:tc>
          <w:tcPr>
            <w:tcW w:type="dxa" w:w="7800"/>
            <w:shd w:fill="FFFFFF" w:val="clear"/>
            <w:tcMar>
              <w:top w:type="dxa" w:w="80"/>
              <w:left w:type="dxa" w:w="100"/>
              <w:bottom w:type="dxa" w:w="80"/>
              <w:right w:type="dxa" w:w="100"/>
            </w:tcMar>
          </w:tcPr>
          <w:p>
            <w:pPr>
              <w:spacing w:after="0"/>
            </w:pPr>
            <w:r>
              <w:rPr>
                <w:rFonts w:ascii="Calibri" w:cs="Calibri" w:eastAsia="Calibri" w:hAnsi="Calibri"/>
                <w:b w:val="false"/>
                <w:bCs w:val="false"/>
                <w:color w:val="222222"/>
                <w:sz w:val="19"/>
                <w:szCs w:val="19"/>
              </w:rPr>
              <w:t xml:space="preserve">Connects to an external MCP server (local, via npx/uvx, or remote via SSE/streamable HTTP) — reusable across any MCP-compatible agent or framework, not just Orchestrate.</w:t>
            </w:r>
          </w:p>
        </w:tc>
      </w:tr>
      <w:tr>
        <w:tc>
          <w:tcPr>
            <w:tcW w:type="dxa" w:w="1400"/>
            <w:shd w:fill="F2F2F2" w:val="clear"/>
            <w:tcMar>
              <w:top w:type="dxa" w:w="80"/>
              <w:left w:type="dxa" w:w="100"/>
              <w:bottom w:type="dxa" w:w="80"/>
              <w:right w:type="dxa" w:w="100"/>
            </w:tcMar>
            <w:vAlign w:val="center"/>
          </w:tcPr>
          <w:p>
            <w:pPr>
              <w:spacing w:after="0"/>
            </w:pPr>
            <w:r>
              <w:rPr>
                <w:rFonts w:ascii="Calibri" w:cs="Calibri" w:eastAsia="Calibri" w:hAnsi="Calibri"/>
                <w:b/>
                <w:bCs/>
                <w:color w:val="1B2A4A"/>
                <w:sz w:val="19"/>
                <w:szCs w:val="19"/>
              </w:rPr>
              <w:t xml:space="preserve">Langflow tool</w:t>
            </w:r>
          </w:p>
        </w:tc>
        <w:tc>
          <w:tcPr>
            <w:tcW w:type="dxa" w:w="7800"/>
            <w:shd w:fill="F2F2F2" w:val="clear"/>
            <w:tcMar>
              <w:top w:type="dxa" w:w="80"/>
              <w:left w:type="dxa" w:w="100"/>
              <w:bottom w:type="dxa" w:w="80"/>
              <w:right w:type="dxa" w:w="100"/>
            </w:tcMar>
          </w:tcPr>
          <w:p>
            <w:pPr>
              <w:spacing w:after="0"/>
            </w:pPr>
            <w:r>
              <w:rPr>
                <w:rFonts w:ascii="Calibri" w:cs="Calibri" w:eastAsia="Calibri" w:hAnsi="Calibri"/>
                <w:b w:val="false"/>
                <w:bCs w:val="false"/>
                <w:color w:val="222222"/>
                <w:sz w:val="19"/>
                <w:szCs w:val="19"/>
              </w:rPr>
              <w:t xml:space="preserve">A visually authored flow exported from Langflow and imported as a tool.</w:t>
            </w:r>
          </w:p>
        </w:tc>
      </w:tr>
    </w:tbl>
    <w:p>
      <w:pPr>
        <w:pStyle w:val="Heading3"/>
        <w:spacing w:after="100" w:before="220"/>
      </w:pPr>
      <w:r>
        <w:rPr>
          <w:rFonts w:ascii="Calibri" w:cs="Calibri" w:eastAsia="Calibri" w:hAnsi="Calibri"/>
          <w:b/>
          <w:bCs/>
          <w:color w:val="0F1B33"/>
          <w:sz w:val="23"/>
          <w:szCs w:val="23"/>
        </w:rPr>
        <w:t xml:space="preserve">4. Register tools with MCP server and validate functionality using MCP Inspector</w:t>
      </w:r>
    </w:p>
    <w:p>
      <w:pPr>
        <w:spacing w:after="120" w:line="276"/>
      </w:pPr>
      <w:r>
        <w:rPr>
          <w:rFonts w:ascii="Calibri" w:cs="Calibri" w:eastAsia="Calibri" w:hAnsi="Calibri"/>
          <w:color w:val="222222"/>
          <w:sz w:val="21"/>
          <w:szCs w:val="21"/>
        </w:rPr>
        <w:t xml:space="preserve">Tools are registered with an MCP server (your own, or a gateway such as ContextForge), and MCP Inspector — a standard MCP testing utility — is used to call each tool directly and confirm its schema and behaviour before it is wired into an agent.</w:t>
      </w:r>
    </w:p>
    <w:p>
      <w:pPr>
        <w:pStyle w:val="Heading3"/>
        <w:spacing w:after="100" w:before="220"/>
      </w:pPr>
      <w:r>
        <w:rPr>
          <w:rFonts w:ascii="Calibri" w:cs="Calibri" w:eastAsia="Calibri" w:hAnsi="Calibri"/>
          <w:b/>
          <w:bCs/>
          <w:color w:val="0F1B33"/>
          <w:sz w:val="23"/>
          <w:szCs w:val="23"/>
        </w:rPr>
        <w:t xml:space="preserve">5. Import MCP tools into watsonx Orchestrate using ADK</w:t>
      </w:r>
    </w:p>
    <w:p>
      <w:pPr>
        <w:spacing w:after="120" w:line="276"/>
      </w:pPr>
      <w:r>
        <w:rPr>
          <w:rFonts w:ascii="Calibri" w:cs="Calibri" w:eastAsia="Calibri" w:hAnsi="Calibri"/>
          <w:color w:val="222222"/>
          <w:sz w:val="21"/>
          <w:szCs w:val="21"/>
        </w:rPr>
        <w:t xml:space="preserve">Use orchestrate toolkits add --kind mcp with the server's connection details (a local command such as npx/uvx, or a remote --url and --transport of sse or streamable_http), then reference the imported tools in an agent's tool list. During import, the ADK validates only the tool schema — not full execution — and remote imports have a 30-second response window.</w:t>
      </w:r>
    </w:p>
    <w:p>
      <w:pPr>
        <w:pStyle w:val="Heading3"/>
        <w:spacing w:after="100" w:before="220"/>
      </w:pPr>
      <w:r>
        <w:rPr>
          <w:rFonts w:ascii="Calibri" w:cs="Calibri" w:eastAsia="Calibri" w:hAnsi="Calibri"/>
          <w:b/>
          <w:bCs/>
          <w:color w:val="0F1B33"/>
          <w:sz w:val="23"/>
          <w:szCs w:val="23"/>
        </w:rPr>
        <w:t xml:space="preserve">6. Create and configure agents on watsonx Orchestrate that consume MCP tools</w:t>
      </w:r>
    </w:p>
    <w:p>
      <w:pPr>
        <w:spacing w:after="120" w:line="276"/>
      </w:pPr>
      <w:r>
        <w:rPr>
          <w:rFonts w:ascii="Calibri" w:cs="Calibri" w:eastAsia="Calibri" w:hAnsi="Calibri"/>
          <w:color w:val="222222"/>
          <w:sz w:val="21"/>
          <w:szCs w:val="21"/>
        </w:rPr>
        <w:t xml:space="preserve">Once imported, MCP tools are attached to an agent's YAML definition exactly like any other tool type; the agent's LLM decides — based on the tool description and the nature of the request — whether to answer directly, call an MCP tool for precise/auditable results, or delegate elsewhere.</w:t>
      </w:r>
    </w:p>
    <w:p>
      <w:pPr>
        <w:pStyle w:val="Heading3"/>
        <w:spacing w:after="100" w:before="220"/>
      </w:pPr>
      <w:r>
        <w:rPr>
          <w:rFonts w:ascii="Calibri" w:cs="Calibri" w:eastAsia="Calibri" w:hAnsi="Calibri"/>
          <w:b/>
          <w:bCs/>
          <w:color w:val="0F1B33"/>
          <w:sz w:val="23"/>
          <w:szCs w:val="23"/>
        </w:rPr>
        <w:t xml:space="preserve">7. Expose and consume tools through ContextForge MCP Gateway</w:t>
      </w:r>
    </w:p>
    <w:p>
      <w:pPr>
        <w:spacing w:after="120" w:line="276"/>
      </w:pPr>
      <w:r>
        <w:rPr>
          <w:rFonts w:ascii="Calibri" w:cs="Calibri" w:eastAsia="Calibri" w:hAnsi="Calibri"/>
          <w:color w:val="222222"/>
          <w:sz w:val="21"/>
          <w:szCs w:val="21"/>
        </w:rPr>
        <w:t xml:space="preserve">ContextForge MCP Gateway is a proxy/registry for MCP tools: it lets you register multiple MCP servers (with different transports, access levels, and authentication types including OAuth), combine tools from different servers into 'virtual servers', and expose a curated, secured subset of tools for watsonx Orchestrate agents to consume — centralising governance over what tools are discoverable and callable.</w:t>
      </w:r>
    </w:p>
    <w:p>
      <w:pPr>
        <w:spacing w:after="150"/>
      </w:pPr>
    </w:p>
    <w:tbl>
      <w:tblPr>
        <w:tblW w:type="pct" w:w="100%"/>
        <w:tblBorders>
          <w:top w:val="none"/>
          <w:left w:val="none"/>
          <w:bottom w:val="single" w:color="C9A227" w:sz="6"/>
          <w:right w:val="none"/>
          <w:insideH w:val="none"/>
          <w:insideV w:val="none"/>
        </w:tblBorders>
      </w:tblPr>
      <w:tblGrid>
        <w:gridCol w:w="100"/>
      </w:tblGrid>
      <w:tr>
        <w:tc>
          <w:tcPr>
            <w:shd w:fill="F2F2F2" w:val="clear"/>
            <w:tcMar>
              <w:top w:type="dxa" w:w="120"/>
              <w:left w:type="dxa" w:w="200"/>
              <w:bottom w:type="dxa" w:w="120"/>
              <w:right w:type="dxa" w:w="200"/>
            </w:tcMar>
          </w:tcPr>
          <w:p>
            <w:r>
              <w:rPr>
                <w:rFonts w:ascii="Calibri" w:cs="Calibri" w:eastAsia="Calibri" w:hAnsi="Calibri"/>
                <w:b/>
                <w:bCs/>
                <w:color w:val="C9A227"/>
                <w:sz w:val="23"/>
                <w:szCs w:val="23"/>
              </w:rPr>
              <w:t xml:space="preserve">TASK 3.3  </w:t>
            </w:r>
            <w:r>
              <w:rPr>
                <w:rFonts w:ascii="Calibri" w:cs="Calibri" w:eastAsia="Calibri" w:hAnsi="Calibri"/>
                <w:b/>
                <w:bCs/>
                <w:color w:val="1B2A4A"/>
                <w:sz w:val="23"/>
                <w:szCs w:val="23"/>
              </w:rPr>
              <w:t xml:space="preserve">Pre-built Domain Agents</w:t>
            </w:r>
          </w:p>
        </w:tc>
      </w:tr>
    </w:tbl>
    <w:p>
      <w:pPr>
        <w:spacing w:after="100"/>
      </w:pPr>
    </w:p>
    <w:p>
      <w:pPr>
        <w:pStyle w:val="Heading3"/>
        <w:spacing w:after="100" w:before="220"/>
      </w:pPr>
      <w:r>
        <w:rPr>
          <w:rFonts w:ascii="Calibri" w:cs="Calibri" w:eastAsia="Calibri" w:hAnsi="Calibri"/>
          <w:b/>
          <w:bCs/>
          <w:color w:val="0F1B33"/>
          <w:sz w:val="23"/>
          <w:szCs w:val="23"/>
        </w:rPr>
        <w:t xml:space="preserve">1–2. Describe pre-built domain agents and their business value</w:t>
      </w:r>
    </w:p>
    <w:p>
      <w:pPr>
        <w:spacing w:after="120" w:line="276"/>
      </w:pPr>
      <w:r>
        <w:rPr>
          <w:rFonts w:ascii="Calibri" w:cs="Calibri" w:eastAsia="Calibri" w:hAnsi="Calibri"/>
          <w:color w:val="222222"/>
          <w:sz w:val="21"/>
          <w:szCs w:val="21"/>
        </w:rPr>
        <w:t xml:space="preserve">Pre-built domain agents are ready-made agents in the Agent Catalog scoped to specific business domains (e.g., HR onboarding, sales prospecting, procurement). Their value is speed: they ship with the connectors, prompts, and behaviours already tuned for the domain, so teams can deploy and customise rather than build from a blank canvas.</w:t>
      </w:r>
    </w:p>
    <w:p>
      <w:pPr>
        <w:pStyle w:val="Heading3"/>
        <w:spacing w:after="100" w:before="220"/>
      </w:pPr>
      <w:r>
        <w:rPr>
          <w:rFonts w:ascii="Calibri" w:cs="Calibri" w:eastAsia="Calibri" w:hAnsi="Calibri"/>
          <w:b/>
          <w:bCs/>
          <w:color w:val="0F1B33"/>
          <w:sz w:val="23"/>
          <w:szCs w:val="23"/>
        </w:rPr>
        <w:t xml:space="preserve">3. Identify categories of pre-built domain agents available</w:t>
      </w:r>
    </w:p>
    <w:p>
      <w:pPr>
        <w:pStyle w:val="ListParagraph"/>
        <w:numPr>
          <w:ilvl w:val="0"/>
          <w:numId w:val="3"/>
        </w:numPr>
        <w:spacing w:after="60" w:line="270"/>
      </w:pPr>
      <w:r>
        <w:rPr>
          <w:rFonts w:ascii="Calibri" w:cs="Calibri" w:eastAsia="Calibri" w:hAnsi="Calibri"/>
          <w:color w:val="222222"/>
          <w:sz w:val="21"/>
          <w:szCs w:val="21"/>
        </w:rPr>
        <w:t xml:space="preserve">HR agents (onboarding, benefits, org-structure lookups).</w:t>
      </w:r>
    </w:p>
    <w:p>
      <w:pPr>
        <w:pStyle w:val="ListParagraph"/>
        <w:numPr>
          <w:ilvl w:val="0"/>
          <w:numId w:val="3"/>
        </w:numPr>
        <w:spacing w:after="60" w:line="270"/>
      </w:pPr>
      <w:r>
        <w:rPr>
          <w:rFonts w:ascii="Calibri" w:cs="Calibri" w:eastAsia="Calibri" w:hAnsi="Calibri"/>
          <w:color w:val="222222"/>
          <w:sz w:val="21"/>
          <w:szCs w:val="21"/>
        </w:rPr>
        <w:t xml:space="preserve">Sales agents (prospecting, account/contact retrieval, performance replication).</w:t>
      </w:r>
    </w:p>
    <w:p>
      <w:pPr>
        <w:pStyle w:val="ListParagraph"/>
        <w:numPr>
          <w:ilvl w:val="0"/>
          <w:numId w:val="3"/>
        </w:numPr>
        <w:spacing w:after="60" w:line="270"/>
      </w:pPr>
      <w:r>
        <w:rPr>
          <w:rFonts w:ascii="Calibri" w:cs="Calibri" w:eastAsia="Calibri" w:hAnsi="Calibri"/>
          <w:color w:val="222222"/>
          <w:sz w:val="21"/>
          <w:szCs w:val="21"/>
        </w:rPr>
        <w:t xml:space="preserve">Finance/procurement agents.</w:t>
      </w:r>
    </w:p>
    <w:p>
      <w:pPr>
        <w:pStyle w:val="ListParagraph"/>
        <w:numPr>
          <w:ilvl w:val="0"/>
          <w:numId w:val="3"/>
        </w:numPr>
        <w:spacing w:after="60" w:line="270"/>
      </w:pPr>
      <w:r>
        <w:rPr>
          <w:rFonts w:ascii="Calibri" w:cs="Calibri" w:eastAsia="Calibri" w:hAnsi="Calibri"/>
          <w:color w:val="222222"/>
          <w:sz w:val="21"/>
          <w:szCs w:val="21"/>
        </w:rPr>
        <w:t xml:space="preserve">IT/security agents (e.g., threat-scanning integrations).</w:t>
      </w:r>
    </w:p>
    <w:p>
      <w:pPr>
        <w:pStyle w:val="ListParagraph"/>
        <w:numPr>
          <w:ilvl w:val="0"/>
          <w:numId w:val="3"/>
        </w:numPr>
        <w:spacing w:after="60" w:line="270"/>
      </w:pPr>
      <w:r>
        <w:rPr>
          <w:rFonts w:ascii="Calibri" w:cs="Calibri" w:eastAsia="Calibri" w:hAnsi="Calibri"/>
          <w:color w:val="222222"/>
          <w:sz w:val="21"/>
          <w:szCs w:val="21"/>
        </w:rPr>
        <w:t xml:space="preserve">Research and knowledge agents (web research, legal research, news aggregation).</w:t>
      </w:r>
    </w:p>
    <w:p>
      <w:pPr>
        <w:pStyle w:val="Heading3"/>
        <w:spacing w:after="100" w:before="220"/>
      </w:pPr>
      <w:r>
        <w:rPr>
          <w:rFonts w:ascii="Calibri" w:cs="Calibri" w:eastAsia="Calibri" w:hAnsi="Calibri"/>
          <w:b/>
          <w:bCs/>
          <w:color w:val="0F1B33"/>
          <w:sz w:val="23"/>
          <w:szCs w:val="23"/>
        </w:rPr>
        <w:t xml:space="preserve">4. Explore the watsonx Orchestrate Agent Catalog</w:t>
      </w:r>
    </w:p>
    <w:p>
      <w:pPr>
        <w:spacing w:after="120" w:line="276"/>
      </w:pPr>
      <w:r>
        <w:rPr>
          <w:rFonts w:ascii="Calibri" w:cs="Calibri" w:eastAsia="Calibri" w:hAnsi="Calibri"/>
          <w:color w:val="222222"/>
          <w:sz w:val="21"/>
          <w:szCs w:val="21"/>
        </w:rPr>
        <w:t xml:space="preserve">The catalog can be browsed to discover agents and tools by domain, provider (IBM or partner), and the systems they connect to (Microsoft 365, Salesforce, SAP, Workday, AWS).</w:t>
      </w:r>
    </w:p>
    <w:p>
      <w:pPr>
        <w:pStyle w:val="Heading3"/>
        <w:spacing w:after="100" w:before="220"/>
      </w:pPr>
      <w:r>
        <w:rPr>
          <w:rFonts w:ascii="Calibri" w:cs="Calibri" w:eastAsia="Calibri" w:hAnsi="Calibri"/>
          <w:b/>
          <w:bCs/>
          <w:color w:val="0F1B33"/>
          <w:sz w:val="23"/>
          <w:szCs w:val="23"/>
        </w:rPr>
        <w:t xml:space="preserve">5. Configure secure connections for pre-built agents to your enterprise applications</w:t>
      </w:r>
    </w:p>
    <w:p>
      <w:pPr>
        <w:spacing w:after="120" w:line="276"/>
      </w:pPr>
      <w:r>
        <w:rPr>
          <w:rFonts w:ascii="Calibri" w:cs="Calibri" w:eastAsia="Calibri" w:hAnsi="Calibri"/>
          <w:color w:val="222222"/>
          <w:sz w:val="21"/>
          <w:szCs w:val="21"/>
        </w:rPr>
        <w:t xml:space="preserve">Each pre-built agent requires its own connection (credentials/endpoint) configured for your tenant — following the same connection/authentication model used for custom tools — so the agent can securely reach your instance of the target enterprise system.</w:t>
      </w:r>
    </w:p>
    <w:p>
      <w:pPr>
        <w:pStyle w:val="Heading3"/>
        <w:spacing w:after="100" w:before="220"/>
      </w:pPr>
      <w:r>
        <w:rPr>
          <w:rFonts w:ascii="Calibri" w:cs="Calibri" w:eastAsia="Calibri" w:hAnsi="Calibri"/>
          <w:b/>
          <w:bCs/>
          <w:color w:val="0F1B33"/>
          <w:sz w:val="23"/>
          <w:szCs w:val="23"/>
        </w:rPr>
        <w:t xml:space="preserve">6. Customize and deploy pre-built domain agents</w:t>
      </w:r>
    </w:p>
    <w:p>
      <w:pPr>
        <w:spacing w:after="120" w:line="276"/>
      </w:pPr>
      <w:r>
        <w:rPr>
          <w:rFonts w:ascii="Calibri" w:cs="Calibri" w:eastAsia="Calibri" w:hAnsi="Calibri"/>
          <w:color w:val="222222"/>
          <w:sz w:val="21"/>
          <w:szCs w:val="21"/>
        </w:rPr>
        <w:t xml:space="preserve">Pre-built agents can be used as-is or adapted as a starting point: cloning them, adjusting instructions/guidelines, adding or removing tools, and re-testing before deployment to Test/Prod environments.</w:t>
      </w:r>
    </w:p>
    <w:p>
      <w:pPr>
        <w:pStyle w:val="Heading3"/>
        <w:spacing w:after="100" w:before="220"/>
      </w:pPr>
      <w:r>
        <w:rPr>
          <w:rFonts w:ascii="Calibri" w:cs="Calibri" w:eastAsia="Calibri" w:hAnsi="Calibri"/>
          <w:b/>
          <w:bCs/>
          <w:color w:val="0F1B33"/>
          <w:sz w:val="23"/>
          <w:szCs w:val="23"/>
        </w:rPr>
        <w:t xml:space="preserve">7. Describe real-world scenarios</w:t>
      </w:r>
    </w:p>
    <w:p>
      <w:pPr>
        <w:spacing w:after="80" w:before="160"/>
      </w:pPr>
      <w:r>
        <w:rPr>
          <w:rFonts w:ascii="Calibri" w:cs="Calibri" w:eastAsia="Calibri" w:hAnsi="Calibri"/>
          <w:b/>
          <w:bCs/>
          <w:i/>
          <w:iCs/>
          <w:color w:val="C9A227"/>
          <w:sz w:val="21"/>
          <w:szCs w:val="21"/>
        </w:rPr>
        <w:t xml:space="preserve">7.1 Multi-agent orchestration for HR and Sales prospecting workflows</w:t>
      </w:r>
    </w:p>
    <w:p>
      <w:pPr>
        <w:spacing w:after="120" w:line="276"/>
      </w:pPr>
      <w:r>
        <w:rPr>
          <w:rFonts w:ascii="Calibri" w:cs="Calibri" w:eastAsia="Calibri" w:hAnsi="Calibri"/>
          <w:color w:val="222222"/>
          <w:sz w:val="21"/>
          <w:szCs w:val="21"/>
        </w:rPr>
        <w:t xml:space="preserve">An HR scenario might route onboarding requests to a supervisor agent that delegates document collection to one collaborator, benefits enrollment to another, and IT-equipment provisioning to a third. A Sales prospecting scenario might have a supervisor agent delegate lead research to a research agent, account data lookups to a Salesforce-connected agent, and outreach drafting to a generative agent — each specialised, each auditable.</w:t>
      </w:r>
    </w:p>
    <w:p>
      <w:r>
        <w:br w:type="page"/>
      </w:r>
    </w:p>
    <w:tbl>
      <w:tblPr>
        <w:tblW w:type="pct" w:w="100%"/>
        <w:tblBorders>
          <w:top w:val="none"/>
          <w:left w:val="none"/>
          <w:bottom w:val="none"/>
          <w:right w:val="none"/>
          <w:insideH w:val="none"/>
          <w:insideV w:val="none"/>
        </w:tblBorders>
      </w:tblPr>
      <w:tblGrid>
        <w:gridCol w:w="100"/>
      </w:tblGrid>
      <w:tr>
        <w:tc>
          <w:tcPr>
            <w:tcW w:type="pct" w:w="100%"/>
            <w:shd w:fill="1B2A4A" w:val="clear"/>
            <w:tcMar>
              <w:top w:type="dxa" w:w="200"/>
              <w:left w:type="dxa" w:w="250"/>
              <w:bottom w:type="dxa" w:w="200"/>
              <w:right w:type="dxa" w:w="250"/>
            </w:tcMar>
          </w:tcPr>
          <w:p>
            <w:r>
              <w:rPr>
                <w:rFonts w:ascii="Calibri" w:cs="Calibri" w:eastAsia="Calibri" w:hAnsi="Calibri"/>
                <w:b/>
                <w:bCs/>
                <w:color w:val="C9A227"/>
                <w:sz w:val="20"/>
                <w:szCs w:val="20"/>
              </w:rPr>
              <w:t xml:space="preserve">SECTION 4</w:t>
            </w:r>
          </w:p>
          <w:p>
            <w:pPr>
              <w:spacing w:before="60"/>
            </w:pPr>
            <w:r>
              <w:rPr>
                <w:rFonts w:ascii="Calibri" w:cs="Calibri" w:eastAsia="Calibri" w:hAnsi="Calibri"/>
                <w:b/>
                <w:bCs/>
                <w:color w:val="FFFFFF"/>
                <w:sz w:val="30"/>
                <w:szCs w:val="30"/>
              </w:rPr>
              <w:t xml:space="preserve">Agent Development</w:t>
            </w:r>
          </w:p>
          <w:p>
            <w:pPr>
              <w:spacing w:before="60"/>
            </w:pPr>
            <w:r>
              <w:rPr>
                <w:rFonts w:ascii="Calibri" w:cs="Calibri" w:eastAsia="Calibri" w:hAnsi="Calibri"/>
                <w:i/>
                <w:iCs/>
                <w:color w:val="F5E9C6"/>
                <w:sz w:val="20"/>
                <w:szCs w:val="20"/>
              </w:rPr>
              <w:t xml:space="preserve">Exam Weight: approximately 18% of the C1000-207 exam</w:t>
            </w:r>
          </w:p>
        </w:tc>
      </w:tr>
    </w:tbl>
    <w:p>
      <w:pPr>
        <w:spacing w:after="200"/>
      </w:pPr>
    </w:p>
    <w:p>
      <w:pPr>
        <w:spacing w:after="120" w:line="276"/>
      </w:pPr>
      <w:r>
        <w:rPr>
          <w:rFonts w:ascii="Calibri" w:cs="Calibri" w:eastAsia="Calibri" w:hAnsi="Calibri"/>
          <w:color w:val="222222"/>
          <w:sz w:val="21"/>
          <w:szCs w:val="21"/>
        </w:rPr>
        <w:t xml:space="preserve">Section 4 is the practical core of the exam: designing an agent's purpose and logic, building it with the correct structural elements, testing it rigorously, understanding agentic prompting and its security risks, and connecting it to communication channels.</w:t>
      </w:r>
    </w:p>
    <w:tbl>
      <w:tblPr>
        <w:tblW w:type="pct" w:w="100%"/>
        <w:tblBorders>
          <w:top w:val="none"/>
          <w:left w:val="none"/>
          <w:bottom w:val="single" w:color="C9A227" w:sz="6"/>
          <w:right w:val="none"/>
          <w:insideH w:val="none"/>
          <w:insideV w:val="none"/>
        </w:tblBorders>
      </w:tblPr>
      <w:tblGrid>
        <w:gridCol w:w="100"/>
      </w:tblGrid>
      <w:tr>
        <w:tc>
          <w:tcPr>
            <w:shd w:fill="F2F2F2" w:val="clear"/>
            <w:tcMar>
              <w:top w:type="dxa" w:w="120"/>
              <w:left w:type="dxa" w:w="200"/>
              <w:bottom w:type="dxa" w:w="120"/>
              <w:right w:type="dxa" w:w="200"/>
            </w:tcMar>
          </w:tcPr>
          <w:p>
            <w:r>
              <w:rPr>
                <w:rFonts w:ascii="Calibri" w:cs="Calibri" w:eastAsia="Calibri" w:hAnsi="Calibri"/>
                <w:b/>
                <w:bCs/>
                <w:color w:val="C9A227"/>
                <w:sz w:val="23"/>
                <w:szCs w:val="23"/>
              </w:rPr>
              <w:t xml:space="preserve">TASK 4.1  </w:t>
            </w:r>
            <w:r>
              <w:rPr>
                <w:rFonts w:ascii="Calibri" w:cs="Calibri" w:eastAsia="Calibri" w:hAnsi="Calibri"/>
                <w:b/>
                <w:bCs/>
                <w:color w:val="1B2A4A"/>
                <w:sz w:val="23"/>
                <w:szCs w:val="23"/>
              </w:rPr>
              <w:t xml:space="preserve">Design Agents</w:t>
            </w:r>
          </w:p>
        </w:tc>
      </w:tr>
    </w:tbl>
    <w:p>
      <w:pPr>
        <w:spacing w:after="100"/>
      </w:pPr>
    </w:p>
    <w:p>
      <w:pPr>
        <w:pStyle w:val="Heading3"/>
        <w:spacing w:after="100" w:before="220"/>
      </w:pPr>
      <w:r>
        <w:rPr>
          <w:rFonts w:ascii="Calibri" w:cs="Calibri" w:eastAsia="Calibri" w:hAnsi="Calibri"/>
          <w:b/>
          <w:bCs/>
          <w:color w:val="0F1B33"/>
          <w:sz w:val="23"/>
          <w:szCs w:val="23"/>
        </w:rPr>
        <w:t xml:space="preserve">1–2. Define purpose/scope/output; identify required tools, knowledge bases, connections, and data dependencies</w:t>
      </w:r>
    </w:p>
    <w:p>
      <w:pPr>
        <w:spacing w:after="120" w:line="276"/>
      </w:pPr>
      <w:r>
        <w:rPr>
          <w:rFonts w:ascii="Calibri" w:cs="Calibri" w:eastAsia="Calibri" w:hAnsi="Calibri"/>
          <w:color w:val="222222"/>
          <w:sz w:val="21"/>
          <w:szCs w:val="21"/>
        </w:rPr>
        <w:t xml:space="preserve">Good agent design starts by writing a precise purpose statement (what the agent does, and — just as importantly — what it does not do), then listing every tool, knowledge base, connection, and external data source the agent will need to fulfil that purpose.</w:t>
      </w:r>
    </w:p>
    <w:p>
      <w:pPr>
        <w:pStyle w:val="Heading3"/>
        <w:spacing w:after="100" w:before="220"/>
      </w:pPr>
      <w:r>
        <w:rPr>
          <w:rFonts w:ascii="Calibri" w:cs="Calibri" w:eastAsia="Calibri" w:hAnsi="Calibri"/>
          <w:b/>
          <w:bCs/>
          <w:color w:val="0F1B33"/>
          <w:sz w:val="23"/>
          <w:szCs w:val="23"/>
        </w:rPr>
        <w:t xml:space="preserve">3. Decide when an agent should call tools vs. retrieve from a knowledge base vs. rely on LLM reasoning</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1400"/>
        <w:gridCol w:w="7800"/>
      </w:tblGrid>
      <w:tr>
        <w:tc>
          <w:tcPr>
            <w:tcW w:type="dxa" w:w="1400"/>
            <w:shd w:fill="FFFFFF" w:val="clear"/>
            <w:tcMar>
              <w:top w:type="dxa" w:w="80"/>
              <w:left w:type="dxa" w:w="100"/>
              <w:bottom w:type="dxa" w:w="80"/>
              <w:right w:type="dxa" w:w="100"/>
            </w:tcMar>
            <w:vAlign w:val="center"/>
          </w:tcPr>
          <w:p>
            <w:pPr>
              <w:spacing w:after="0"/>
            </w:pPr>
            <w:r>
              <w:rPr>
                <w:rFonts w:ascii="Calibri" w:cs="Calibri" w:eastAsia="Calibri" w:hAnsi="Calibri"/>
                <w:b/>
                <w:bCs/>
                <w:color w:val="1B2A4A"/>
                <w:sz w:val="19"/>
                <w:szCs w:val="19"/>
              </w:rPr>
              <w:t xml:space="preserve">Rely on LLM reasoning alone</w:t>
            </w:r>
          </w:p>
        </w:tc>
        <w:tc>
          <w:tcPr>
            <w:tcW w:type="dxa" w:w="7800"/>
            <w:shd w:fill="FFFFFF" w:val="clear"/>
            <w:tcMar>
              <w:top w:type="dxa" w:w="80"/>
              <w:left w:type="dxa" w:w="100"/>
              <w:bottom w:type="dxa" w:w="80"/>
              <w:right w:type="dxa" w:w="100"/>
            </w:tcMar>
          </w:tcPr>
          <w:p>
            <w:pPr>
              <w:spacing w:after="0"/>
            </w:pPr>
            <w:r>
              <w:rPr>
                <w:rFonts w:ascii="Calibri" w:cs="Calibri" w:eastAsia="Calibri" w:hAnsi="Calibri"/>
                <w:b w:val="false"/>
                <w:bCs w:val="false"/>
                <w:color w:val="222222"/>
                <w:sz w:val="19"/>
                <w:szCs w:val="19"/>
              </w:rPr>
              <w:t xml:space="preserve">Natural-language understanding, summarisation, creative drafting, brainstorming, or high-level reasoning that doesn't require precise data or execution (e.g., drafting an email, generating marketing copy).</w:t>
            </w:r>
          </w:p>
        </w:tc>
      </w:tr>
      <w:tr>
        <w:tc>
          <w:tcPr>
            <w:tcW w:type="dxa" w:w="1400"/>
            <w:shd w:fill="F2F2F2" w:val="clear"/>
            <w:tcMar>
              <w:top w:type="dxa" w:w="80"/>
              <w:left w:type="dxa" w:w="100"/>
              <w:bottom w:type="dxa" w:w="80"/>
              <w:right w:type="dxa" w:w="100"/>
            </w:tcMar>
            <w:vAlign w:val="center"/>
          </w:tcPr>
          <w:p>
            <w:pPr>
              <w:spacing w:after="0"/>
            </w:pPr>
            <w:r>
              <w:rPr>
                <w:rFonts w:ascii="Calibri" w:cs="Calibri" w:eastAsia="Calibri" w:hAnsi="Calibri"/>
                <w:b/>
                <w:bCs/>
                <w:color w:val="1B2A4A"/>
                <w:sz w:val="19"/>
                <w:szCs w:val="19"/>
              </w:rPr>
              <w:t xml:space="preserve">Retrieve from a Knowledge Base</w:t>
            </w:r>
          </w:p>
        </w:tc>
        <w:tc>
          <w:tcPr>
            <w:tcW w:type="dxa" w:w="7800"/>
            <w:shd w:fill="F2F2F2" w:val="clear"/>
            <w:tcMar>
              <w:top w:type="dxa" w:w="80"/>
              <w:left w:type="dxa" w:w="100"/>
              <w:bottom w:type="dxa" w:w="80"/>
              <w:right w:type="dxa" w:w="100"/>
            </w:tcMar>
          </w:tcPr>
          <w:p>
            <w:pPr>
              <w:spacing w:after="0"/>
            </w:pPr>
            <w:r>
              <w:rPr>
                <w:rFonts w:ascii="Calibri" w:cs="Calibri" w:eastAsia="Calibri" w:hAnsi="Calibri"/>
                <w:b w:val="false"/>
                <w:bCs w:val="false"/>
                <w:color w:val="222222"/>
                <w:sz w:val="19"/>
                <w:szCs w:val="19"/>
              </w:rPr>
              <w:t xml:space="preserve">Questions answerable from enterprise documents/policies where grounding in verified content matters more than live computation.</w:t>
            </w:r>
          </w:p>
        </w:tc>
      </w:tr>
      <w:tr>
        <w:tc>
          <w:tcPr>
            <w:tcW w:type="dxa" w:w="1400"/>
            <w:shd w:fill="FFFFFF" w:val="clear"/>
            <w:tcMar>
              <w:top w:type="dxa" w:w="80"/>
              <w:left w:type="dxa" w:w="100"/>
              <w:bottom w:type="dxa" w:w="80"/>
              <w:right w:type="dxa" w:w="100"/>
            </w:tcMar>
            <w:vAlign w:val="center"/>
          </w:tcPr>
          <w:p>
            <w:pPr>
              <w:spacing w:after="0"/>
            </w:pPr>
            <w:r>
              <w:rPr>
                <w:rFonts w:ascii="Calibri" w:cs="Calibri" w:eastAsia="Calibri" w:hAnsi="Calibri"/>
                <w:b/>
                <w:bCs/>
                <w:color w:val="1B2A4A"/>
                <w:sz w:val="19"/>
                <w:szCs w:val="19"/>
              </w:rPr>
              <w:t xml:space="preserve">Call a tool (incl. MCP)</w:t>
            </w:r>
          </w:p>
        </w:tc>
        <w:tc>
          <w:tcPr>
            <w:tcW w:type="dxa" w:w="7800"/>
            <w:shd w:fill="FFFFFF" w:val="clear"/>
            <w:tcMar>
              <w:top w:type="dxa" w:w="80"/>
              <w:left w:type="dxa" w:w="100"/>
              <w:bottom w:type="dxa" w:w="80"/>
              <w:right w:type="dxa" w:w="100"/>
            </w:tcMar>
          </w:tcPr>
          <w:p>
            <w:pPr>
              <w:spacing w:after="0"/>
            </w:pPr>
            <w:r>
              <w:rPr>
                <w:rFonts w:ascii="Calibri" w:cs="Calibri" w:eastAsia="Calibri" w:hAnsi="Calibri"/>
                <w:b w:val="false"/>
                <w:bCs w:val="false"/>
                <w:color w:val="222222"/>
                <w:sz w:val="19"/>
                <w:szCs w:val="19"/>
              </w:rPr>
              <w:t xml:space="preserve">Precise calculations, live system lookups, or actions with side effects (create, update, submit) — anything needing accuracy, auditability, or execution across LLM providers/frameworks.</w:t>
            </w:r>
          </w:p>
        </w:tc>
      </w:tr>
    </w:tbl>
    <w:p>
      <w:pPr>
        <w:pStyle w:val="Heading3"/>
        <w:spacing w:after="100" w:before="220"/>
      </w:pPr>
      <w:r>
        <w:rPr>
          <w:rFonts w:ascii="Calibri" w:cs="Calibri" w:eastAsia="Calibri" w:hAnsi="Calibri"/>
          <w:b/>
          <w:bCs/>
          <w:color w:val="0F1B33"/>
          <w:sz w:val="23"/>
          <w:szCs w:val="23"/>
        </w:rPr>
        <w:t xml:space="preserve">4–5. Design logic flows; apply UX and conversational design principles</w:t>
      </w:r>
    </w:p>
    <w:p>
      <w:pPr>
        <w:spacing w:after="120" w:line="276"/>
      </w:pPr>
      <w:r>
        <w:rPr>
          <w:rFonts w:ascii="Calibri" w:cs="Calibri" w:eastAsia="Calibri" w:hAnsi="Calibri"/>
          <w:color w:val="222222"/>
          <w:sz w:val="21"/>
          <w:szCs w:val="21"/>
        </w:rPr>
        <w:t xml:space="preserve">Logic flows define decision points and how input/output are handled at each step. UX/conversational design principles — clear tone, accessible language, predictable formatting — should be embedded directly in the agent's behaviour instructions, since the agent's 'interface' is conversation itself.</w:t>
      </w:r>
    </w:p>
    <w:p>
      <w:pPr>
        <w:pStyle w:val="Heading3"/>
        <w:spacing w:after="100" w:before="220"/>
      </w:pPr>
      <w:r>
        <w:rPr>
          <w:rFonts w:ascii="Calibri" w:cs="Calibri" w:eastAsia="Calibri" w:hAnsi="Calibri"/>
          <w:b/>
          <w:bCs/>
          <w:color w:val="0F1B33"/>
          <w:sz w:val="23"/>
          <w:szCs w:val="23"/>
        </w:rPr>
        <w:t xml:space="preserve">6. Identify required agents and tools</w:t>
      </w:r>
    </w:p>
    <w:p>
      <w:pPr>
        <w:spacing w:after="120" w:line="276"/>
      </w:pPr>
      <w:r>
        <w:rPr>
          <w:rFonts w:ascii="Calibri" w:cs="Calibri" w:eastAsia="Calibri" w:hAnsi="Calibri"/>
          <w:color w:val="222222"/>
          <w:sz w:val="21"/>
          <w:szCs w:val="21"/>
        </w:rPr>
        <w:t xml:space="preserve">Map out, before building, which capabilities belong to this agent directly and which should be delegated to a collaborator agent or handled by a shared tool.</w:t>
      </w:r>
    </w:p>
    <w:p>
      <w:pPr>
        <w:pStyle w:val="Heading3"/>
        <w:spacing w:after="100" w:before="220"/>
      </w:pPr>
      <w:r>
        <w:rPr>
          <w:rFonts w:ascii="Calibri" w:cs="Calibri" w:eastAsia="Calibri" w:hAnsi="Calibri"/>
          <w:b/>
          <w:bCs/>
          <w:color w:val="0F1B33"/>
          <w:sz w:val="23"/>
          <w:szCs w:val="23"/>
        </w:rPr>
        <w:t xml:space="preserve">7. Embed governance, ethics, and tone guidelines into agent design</w:t>
      </w:r>
    </w:p>
    <w:p>
      <w:pPr>
        <w:spacing w:after="120" w:line="276"/>
      </w:pPr>
      <w:r>
        <w:rPr>
          <w:rFonts w:ascii="Calibri" w:cs="Calibri" w:eastAsia="Calibri" w:hAnsi="Calibri"/>
          <w:color w:val="222222"/>
          <w:sz w:val="21"/>
          <w:szCs w:val="21"/>
        </w:rPr>
        <w:t xml:space="preserve">Guidelines (behavioural rules the agent must always follow) should explicitly encode governance and ethical boundaries — what data it may not disclose, what actions require human approval, what tone is required — so compliance isn't left to chance in the LLM's free-form reasoning.</w:t>
      </w:r>
    </w:p>
    <w:p>
      <w:pPr>
        <w:pStyle w:val="Heading3"/>
        <w:spacing w:after="100" w:before="220"/>
      </w:pPr>
      <w:r>
        <w:rPr>
          <w:rFonts w:ascii="Calibri" w:cs="Calibri" w:eastAsia="Calibri" w:hAnsi="Calibri"/>
          <w:b/>
          <w:bCs/>
          <w:color w:val="0F1B33"/>
          <w:sz w:val="23"/>
          <w:szCs w:val="23"/>
        </w:rPr>
        <w:t xml:space="preserve">8. Evaluate the design for reusability and scalability</w:t>
      </w:r>
    </w:p>
    <w:p>
      <w:pPr>
        <w:spacing w:after="120" w:line="276"/>
      </w:pPr>
      <w:r>
        <w:rPr>
          <w:rFonts w:ascii="Calibri" w:cs="Calibri" w:eastAsia="Calibri" w:hAnsi="Calibri"/>
          <w:color w:val="222222"/>
          <w:sz w:val="21"/>
          <w:szCs w:val="21"/>
        </w:rPr>
        <w:t xml:space="preserve">Favor narrowly scoped agents (one agent per cognitive task) composed via collaborators, rather than one broad agent — this keeps each agent's tool count low (recommended ceiling ~10), improves tool-selection accuracy, and makes individual agents reusable across multiple orchestrations.</w:t>
      </w:r>
    </w:p>
    <w:p>
      <w:pPr>
        <w:pStyle w:val="Heading3"/>
        <w:spacing w:after="100" w:before="220"/>
      </w:pPr>
      <w:r>
        <w:rPr>
          <w:rFonts w:ascii="Calibri" w:cs="Calibri" w:eastAsia="Calibri" w:hAnsi="Calibri"/>
          <w:b/>
          <w:bCs/>
          <w:color w:val="0F1B33"/>
          <w:sz w:val="23"/>
          <w:szCs w:val="23"/>
        </w:rPr>
        <w:t xml:space="preserve">9. Break down a business workflow into automation steps</w:t>
      </w:r>
    </w:p>
    <w:p>
      <w:pPr>
        <w:pStyle w:val="ListParagraph"/>
        <w:numPr>
          <w:ilvl w:val="0"/>
          <w:numId w:val="3"/>
        </w:numPr>
        <w:spacing w:after="60" w:line="270"/>
      </w:pPr>
      <w:r>
        <w:rPr>
          <w:rFonts w:ascii="Calibri" w:cs="Calibri" w:eastAsia="Calibri" w:hAnsi="Calibri"/>
          <w:color w:val="222222"/>
          <w:sz w:val="21"/>
          <w:szCs w:val="21"/>
        </w:rPr>
        <w:t xml:space="preserve">9.1 Sequence tasks in logical order.</w:t>
      </w:r>
    </w:p>
    <w:p>
      <w:pPr>
        <w:pStyle w:val="ListParagraph"/>
        <w:numPr>
          <w:ilvl w:val="0"/>
          <w:numId w:val="3"/>
        </w:numPr>
        <w:spacing w:after="60" w:line="270"/>
      </w:pPr>
      <w:r>
        <w:rPr>
          <w:rFonts w:ascii="Calibri" w:cs="Calibri" w:eastAsia="Calibri" w:hAnsi="Calibri"/>
          <w:color w:val="222222"/>
          <w:sz w:val="21"/>
          <w:szCs w:val="21"/>
        </w:rPr>
        <w:t xml:space="preserve">9.2 Determine which parts belong to: (9.2.1) an agent, (9.2.2) a tool, (9.2.3) a connection, or (9.2.4) a flow branch.</w:t>
      </w:r>
    </w:p>
    <w:p>
      <w:pPr>
        <w:pStyle w:val="ListParagraph"/>
        <w:numPr>
          <w:ilvl w:val="0"/>
          <w:numId w:val="3"/>
        </w:numPr>
        <w:spacing w:after="60" w:line="270"/>
      </w:pPr>
      <w:r>
        <w:rPr>
          <w:rFonts w:ascii="Calibri" w:cs="Calibri" w:eastAsia="Calibri" w:hAnsi="Calibri"/>
          <w:color w:val="222222"/>
          <w:sz w:val="21"/>
          <w:szCs w:val="21"/>
        </w:rPr>
        <w:t xml:space="preserve">9.3 Understand entry points and exit points for automation.</w:t>
      </w:r>
    </w:p>
    <w:p>
      <w:pPr>
        <w:pStyle w:val="ListParagraph"/>
        <w:numPr>
          <w:ilvl w:val="0"/>
          <w:numId w:val="3"/>
        </w:numPr>
        <w:spacing w:after="60" w:line="270"/>
      </w:pPr>
      <w:r>
        <w:rPr>
          <w:rFonts w:ascii="Calibri" w:cs="Calibri" w:eastAsia="Calibri" w:hAnsi="Calibri"/>
          <w:color w:val="222222"/>
          <w:sz w:val="21"/>
          <w:szCs w:val="21"/>
        </w:rPr>
        <w:t xml:space="preserve">9.4 Identify steps requiring human approval or review.</w:t>
      </w:r>
    </w:p>
    <w:p>
      <w:pPr>
        <w:spacing w:after="150"/>
      </w:pPr>
    </w:p>
    <w:tbl>
      <w:tblPr>
        <w:tblW w:type="pct" w:w="100%"/>
        <w:tblBorders>
          <w:top w:val="none"/>
          <w:left w:val="none"/>
          <w:bottom w:val="single" w:color="C9A227" w:sz="6"/>
          <w:right w:val="none"/>
          <w:insideH w:val="none"/>
          <w:insideV w:val="none"/>
        </w:tblBorders>
      </w:tblPr>
      <w:tblGrid>
        <w:gridCol w:w="100"/>
      </w:tblGrid>
      <w:tr>
        <w:tc>
          <w:tcPr>
            <w:shd w:fill="F2F2F2" w:val="clear"/>
            <w:tcMar>
              <w:top w:type="dxa" w:w="120"/>
              <w:left w:type="dxa" w:w="200"/>
              <w:bottom w:type="dxa" w:w="120"/>
              <w:right w:type="dxa" w:w="200"/>
            </w:tcMar>
          </w:tcPr>
          <w:p>
            <w:r>
              <w:rPr>
                <w:rFonts w:ascii="Calibri" w:cs="Calibri" w:eastAsia="Calibri" w:hAnsi="Calibri"/>
                <w:b/>
                <w:bCs/>
                <w:color w:val="C9A227"/>
                <w:sz w:val="23"/>
                <w:szCs w:val="23"/>
              </w:rPr>
              <w:t xml:space="preserve">TASK 4.2  </w:t>
            </w:r>
            <w:r>
              <w:rPr>
                <w:rFonts w:ascii="Calibri" w:cs="Calibri" w:eastAsia="Calibri" w:hAnsi="Calibri"/>
                <w:b/>
                <w:bCs/>
                <w:color w:val="1B2A4A"/>
                <w:sz w:val="23"/>
                <w:szCs w:val="23"/>
              </w:rPr>
              <w:t xml:space="preserve">Build Agents</w:t>
            </w:r>
          </w:p>
        </w:tc>
      </w:tr>
    </w:tbl>
    <w:p>
      <w:pPr>
        <w:spacing w:after="100"/>
      </w:pPr>
    </w:p>
    <w:p>
      <w:pPr>
        <w:pStyle w:val="Heading3"/>
        <w:spacing w:after="100" w:before="220"/>
      </w:pPr>
      <w:r>
        <w:rPr>
          <w:rFonts w:ascii="Calibri" w:cs="Calibri" w:eastAsia="Calibri" w:hAnsi="Calibri"/>
          <w:b/>
          <w:bCs/>
          <w:color w:val="0F1B33"/>
          <w:sz w:val="23"/>
          <w:szCs w:val="23"/>
        </w:rPr>
        <w:t xml:space="preserve">1. Explain the overall process of building an agent</w:t>
      </w:r>
    </w:p>
    <w:p>
      <w:pPr>
        <w:pStyle w:val="ListParagraph"/>
        <w:numPr>
          <w:ilvl w:val="0"/>
          <w:numId w:val="3"/>
        </w:numPr>
        <w:spacing w:after="60" w:line="270"/>
      </w:pPr>
      <w:r>
        <w:rPr>
          <w:rFonts w:ascii="Calibri" w:cs="Calibri" w:eastAsia="Calibri" w:hAnsi="Calibri"/>
          <w:color w:val="222222"/>
          <w:sz w:val="21"/>
          <w:szCs w:val="21"/>
        </w:rPr>
        <w:t xml:space="preserve">1.1 Main stages: define purpose/profile → select model → attach tools/connections/knowledge → configure collaborators and guidelines → test in chat/evaluation → prepare for promotion.</w:t>
      </w:r>
    </w:p>
    <w:p>
      <w:pPr>
        <w:pStyle w:val="ListParagraph"/>
        <w:numPr>
          <w:ilvl w:val="0"/>
          <w:numId w:val="3"/>
        </w:numPr>
        <w:spacing w:after="60" w:line="270"/>
      </w:pPr>
      <w:r>
        <w:rPr>
          <w:rFonts w:ascii="Calibri" w:cs="Calibri" w:eastAsia="Calibri" w:hAnsi="Calibri"/>
          <w:color w:val="222222"/>
          <w:sz w:val="21"/>
          <w:szCs w:val="21"/>
        </w:rPr>
        <w:t xml:space="preserve">1.2 Key inputs and outputs: inputs are the agent's design artefacts (profile, tool list, model choice); the output is a deployable agent definition (YAML via ADK, or a saved configuration via Agent Builder).</w:t>
      </w:r>
    </w:p>
    <w:p>
      <w:pPr>
        <w:pStyle w:val="Heading3"/>
        <w:spacing w:after="100" w:before="220"/>
      </w:pPr>
      <w:r>
        <w:rPr>
          <w:rFonts w:ascii="Calibri" w:cs="Calibri" w:eastAsia="Calibri" w:hAnsi="Calibri"/>
          <w:b/>
          <w:bCs/>
          <w:color w:val="0F1B33"/>
          <w:sz w:val="23"/>
          <w:szCs w:val="23"/>
        </w:rPr>
        <w:t xml:space="preserve">2. Identify the structural elements that make up an agent</w:t>
      </w:r>
    </w:p>
    <w:p>
      <w:pPr>
        <w:pStyle w:val="ListParagraph"/>
        <w:numPr>
          <w:ilvl w:val="0"/>
          <w:numId w:val="3"/>
        </w:numPr>
        <w:spacing w:after="60" w:line="270"/>
      </w:pPr>
      <w:r>
        <w:rPr>
          <w:rFonts w:ascii="Calibri" w:cs="Calibri" w:eastAsia="Calibri" w:hAnsi="Calibri"/>
          <w:color w:val="222222"/>
          <w:sz w:val="21"/>
          <w:szCs w:val="21"/>
        </w:rPr>
        <w:t xml:space="preserve">2.1 Tools, connections, metadata, knowledge bases, and Agentic Workflows — the building blocks referenced from the agent definition.</w:t>
      </w:r>
    </w:p>
    <w:p>
      <w:pPr>
        <w:pStyle w:val="ListParagraph"/>
        <w:numPr>
          <w:ilvl w:val="0"/>
          <w:numId w:val="3"/>
        </w:numPr>
        <w:spacing w:after="60" w:line="270"/>
      </w:pPr>
      <w:r>
        <w:rPr>
          <w:rFonts w:ascii="Calibri" w:cs="Calibri" w:eastAsia="Calibri" w:hAnsi="Calibri"/>
          <w:color w:val="222222"/>
          <w:sz w:val="21"/>
          <w:szCs w:val="21"/>
        </w:rPr>
        <w:t xml:space="preserve">2.2 These elements interact through the agent's LLM: metadata/description tells the LLM (and supervisor agents) what the agent is for; tools and workflows give it capability; knowledge bases give it grounding; connections give tools secure access to external systems.</w:t>
      </w:r>
    </w:p>
    <w:p>
      <w:pPr>
        <w:pStyle w:val="Heading3"/>
        <w:spacing w:after="100" w:before="220"/>
      </w:pPr>
      <w:r>
        <w:rPr>
          <w:rFonts w:ascii="Calibri" w:cs="Calibri" w:eastAsia="Calibri" w:hAnsi="Calibri"/>
          <w:b/>
          <w:bCs/>
          <w:color w:val="0F1B33"/>
          <w:sz w:val="23"/>
          <w:szCs w:val="23"/>
        </w:rPr>
        <w:t xml:space="preserve">3. Describe the purpose and use of the Agent Development Kit (ADK)</w:t>
      </w:r>
    </w:p>
    <w:p>
      <w:pPr>
        <w:pStyle w:val="ListParagraph"/>
        <w:numPr>
          <w:ilvl w:val="0"/>
          <w:numId w:val="3"/>
        </w:numPr>
        <w:spacing w:after="60" w:line="270"/>
      </w:pPr>
      <w:r>
        <w:rPr>
          <w:rFonts w:ascii="Calibri" w:cs="Calibri" w:eastAsia="Calibri" w:hAnsi="Calibri"/>
          <w:color w:val="222222"/>
          <w:sz w:val="21"/>
          <w:szCs w:val="21"/>
        </w:rPr>
        <w:t xml:space="preserve">3.1 The ADK extends platform functionality through custom components — Python tools, custom agent definitions, imported OpenAPI/MCP tools, and Langflow flows — managed as code (CLI + YAML) rather than only through the UI.</w:t>
      </w:r>
    </w:p>
    <w:p>
      <w:pPr>
        <w:pStyle w:val="ListParagraph"/>
        <w:numPr>
          <w:ilvl w:val="0"/>
          <w:numId w:val="3"/>
        </w:numPr>
        <w:spacing w:after="60" w:line="270"/>
      </w:pPr>
      <w:r>
        <w:rPr>
          <w:rFonts w:ascii="Calibri" w:cs="Calibri" w:eastAsia="Calibri" w:hAnsi="Calibri"/>
          <w:color w:val="222222"/>
          <w:sz w:val="21"/>
          <w:szCs w:val="21"/>
        </w:rPr>
        <w:t xml:space="preserve">3.2 Use the ADK when you need custom logic, source control, CI/CD, or capabilities not available in the no-code Agent Builder; use existing Catalog assets when a proven, ready-made agent/tool already satisfies the need.</w:t>
      </w:r>
    </w:p>
    <w:p>
      <w:pPr>
        <w:pStyle w:val="Heading3"/>
        <w:spacing w:after="100" w:before="220"/>
      </w:pPr>
      <w:r>
        <w:rPr>
          <w:rFonts w:ascii="Calibri" w:cs="Calibri" w:eastAsia="Calibri" w:hAnsi="Calibri"/>
          <w:b/>
          <w:bCs/>
          <w:color w:val="0F1B33"/>
          <w:sz w:val="23"/>
          <w:szCs w:val="23"/>
        </w:rPr>
        <w:t xml:space="preserve">4. Define agent configuration elements</w:t>
      </w:r>
    </w:p>
    <w:p>
      <w:pPr>
        <w:pStyle w:val="ListParagraph"/>
        <w:numPr>
          <w:ilvl w:val="0"/>
          <w:numId w:val="3"/>
        </w:numPr>
        <w:spacing w:after="60" w:line="270"/>
      </w:pPr>
      <w:r>
        <w:rPr>
          <w:rFonts w:ascii="Calibri" w:cs="Calibri" w:eastAsia="Calibri" w:hAnsi="Calibri"/>
          <w:color w:val="222222"/>
          <w:sz w:val="21"/>
          <w:szCs w:val="21"/>
        </w:rPr>
        <w:t xml:space="preserve">4.1 Metadata such as name, description, owner, and permissions — the description is critical because supervisor agents use it to decide when to route to this agent.</w:t>
      </w:r>
    </w:p>
    <w:p>
      <w:pPr>
        <w:pStyle w:val="ListParagraph"/>
        <w:numPr>
          <w:ilvl w:val="0"/>
          <w:numId w:val="3"/>
        </w:numPr>
        <w:spacing w:after="60" w:line="270"/>
      </w:pPr>
      <w:r>
        <w:rPr>
          <w:rFonts w:ascii="Calibri" w:cs="Calibri" w:eastAsia="Calibri" w:hAnsi="Calibri"/>
          <w:color w:val="222222"/>
          <w:sz w:val="21"/>
          <w:szCs w:val="21"/>
        </w:rPr>
        <w:t xml:space="preserve">4.2 Environment selection and policy considerations — which environment (Dev/Test/Prod) the agent is configured and deployed against, and which model/guardrail policies apply there.</w:t>
      </w:r>
    </w:p>
    <w:p>
      <w:pPr>
        <w:pStyle w:val="Heading3"/>
        <w:spacing w:after="100" w:before="220"/>
      </w:pPr>
      <w:r>
        <w:rPr>
          <w:rFonts w:ascii="Calibri" w:cs="Calibri" w:eastAsia="Calibri" w:hAnsi="Calibri"/>
          <w:b/>
          <w:bCs/>
          <w:color w:val="0F1B33"/>
          <w:sz w:val="23"/>
          <w:szCs w:val="23"/>
        </w:rPr>
        <w:t xml:space="preserve">5. Use tools and connections in Agents</w:t>
      </w:r>
    </w:p>
    <w:p>
      <w:pPr>
        <w:pStyle w:val="ListParagraph"/>
        <w:numPr>
          <w:ilvl w:val="0"/>
          <w:numId w:val="3"/>
        </w:numPr>
        <w:spacing w:after="60" w:line="270"/>
      </w:pPr>
      <w:r>
        <w:rPr>
          <w:rFonts w:ascii="Calibri" w:cs="Calibri" w:eastAsia="Calibri" w:hAnsi="Calibri"/>
          <w:color w:val="222222"/>
          <w:sz w:val="21"/>
          <w:szCs w:val="21"/>
        </w:rPr>
        <w:t xml:space="preserve">5.1 Tools as discrete actions or composite capabilities — a single API call, or a bundle of related operations.</w:t>
      </w:r>
    </w:p>
    <w:p>
      <w:pPr>
        <w:pStyle w:val="ListParagraph"/>
        <w:numPr>
          <w:ilvl w:val="0"/>
          <w:numId w:val="3"/>
        </w:numPr>
        <w:spacing w:after="60" w:line="270"/>
      </w:pPr>
      <w:r>
        <w:rPr>
          <w:rFonts w:ascii="Calibri" w:cs="Calibri" w:eastAsia="Calibri" w:hAnsi="Calibri"/>
          <w:color w:val="222222"/>
          <w:sz w:val="21"/>
          <w:szCs w:val="21"/>
        </w:rPr>
        <w:t xml:space="preserve">5.2 Tools as containers for grouped functionality (e.g., a toolkit imported from an OpenAPI spec or MCP server exposing several related operations).</w:t>
      </w:r>
    </w:p>
    <w:p>
      <w:pPr>
        <w:pStyle w:val="ListParagraph"/>
        <w:numPr>
          <w:ilvl w:val="0"/>
          <w:numId w:val="3"/>
        </w:numPr>
        <w:spacing w:after="60" w:line="270"/>
      </w:pPr>
      <w:r>
        <w:rPr>
          <w:rFonts w:ascii="Calibri" w:cs="Calibri" w:eastAsia="Calibri" w:hAnsi="Calibri"/>
          <w:color w:val="222222"/>
          <w:sz w:val="21"/>
          <w:szCs w:val="21"/>
        </w:rPr>
        <w:t xml:space="preserve">5.3 Connections as the mechanism linking tools/agents securely to external systems (credentials, endpoints, auth type).</w:t>
      </w:r>
    </w:p>
    <w:p>
      <w:pPr>
        <w:pStyle w:val="Heading3"/>
        <w:spacing w:after="100" w:before="220"/>
      </w:pPr>
      <w:r>
        <w:rPr>
          <w:rFonts w:ascii="Calibri" w:cs="Calibri" w:eastAsia="Calibri" w:hAnsi="Calibri"/>
          <w:b/>
          <w:bCs/>
          <w:color w:val="0F1B33"/>
          <w:sz w:val="23"/>
          <w:szCs w:val="23"/>
        </w:rPr>
        <w:t xml:space="preserve">6. Explain integration and connectivity concepts</w:t>
      </w:r>
    </w:p>
    <w:p>
      <w:pPr>
        <w:pStyle w:val="ListParagraph"/>
        <w:numPr>
          <w:ilvl w:val="0"/>
          <w:numId w:val="3"/>
        </w:numPr>
        <w:spacing w:after="60" w:line="270"/>
      </w:pPr>
      <w:r>
        <w:rPr>
          <w:rFonts w:ascii="Calibri" w:cs="Calibri" w:eastAsia="Calibri" w:hAnsi="Calibri"/>
          <w:color w:val="222222"/>
          <w:sz w:val="21"/>
          <w:szCs w:val="21"/>
        </w:rPr>
        <w:t xml:space="preserve">6.1 Purpose of authentication, credentials, and endpoints — establishing who/what is allowed to call an external system and where that system lives.</w:t>
      </w:r>
    </w:p>
    <w:p>
      <w:pPr>
        <w:pStyle w:val="ListParagraph"/>
        <w:numPr>
          <w:ilvl w:val="0"/>
          <w:numId w:val="3"/>
        </w:numPr>
        <w:spacing w:after="60" w:line="270"/>
      </w:pPr>
      <w:r>
        <w:rPr>
          <w:rFonts w:ascii="Calibri" w:cs="Calibri" w:eastAsia="Calibri" w:hAnsi="Calibri"/>
          <w:color w:val="222222"/>
          <w:sz w:val="21"/>
          <w:szCs w:val="21"/>
        </w:rPr>
        <w:t xml:space="preserve">6.2 How data moves between external sources and the agent — request/response payloads passed through a tool call, mapped to and from the agent's reasoning context.</w:t>
      </w:r>
    </w:p>
    <w:p>
      <w:pPr>
        <w:pStyle w:val="Heading3"/>
        <w:spacing w:after="100" w:before="220"/>
      </w:pPr>
      <w:r>
        <w:rPr>
          <w:rFonts w:ascii="Calibri" w:cs="Calibri" w:eastAsia="Calibri" w:hAnsi="Calibri"/>
          <w:b/>
          <w:bCs/>
          <w:color w:val="0F1B33"/>
          <w:sz w:val="23"/>
          <w:szCs w:val="23"/>
        </w:rPr>
        <w:t xml:space="preserve">7. Summarize readiness activities before agents move to testing</w:t>
      </w:r>
    </w:p>
    <w:p>
      <w:pPr>
        <w:pStyle w:val="ListParagraph"/>
        <w:numPr>
          <w:ilvl w:val="0"/>
          <w:numId w:val="3"/>
        </w:numPr>
        <w:spacing w:after="60" w:line="270"/>
      </w:pPr>
      <w:r>
        <w:rPr>
          <w:rFonts w:ascii="Calibri" w:cs="Calibri" w:eastAsia="Calibri" w:hAnsi="Calibri"/>
          <w:color w:val="222222"/>
          <w:sz w:val="21"/>
          <w:szCs w:val="21"/>
        </w:rPr>
        <w:t xml:space="preserve">7.1 Verify that all assets and connections are defined (no missing credentials or unresolved tool references).</w:t>
      </w:r>
    </w:p>
    <w:p>
      <w:pPr>
        <w:pStyle w:val="ListParagraph"/>
        <w:numPr>
          <w:ilvl w:val="0"/>
          <w:numId w:val="3"/>
        </w:numPr>
        <w:spacing w:after="60" w:line="270"/>
      </w:pPr>
      <w:r>
        <w:rPr>
          <w:rFonts w:ascii="Calibri" w:cs="Calibri" w:eastAsia="Calibri" w:hAnsi="Calibri"/>
          <w:color w:val="222222"/>
          <w:sz w:val="21"/>
          <w:szCs w:val="21"/>
        </w:rPr>
        <w:t xml:space="preserve">7.2 Ensure documentation and version details are complete, so the agent can be evaluated and later promoted with a clear audit trail.</w:t>
      </w:r>
    </w:p>
    <w:p>
      <w:pPr>
        <w:spacing w:after="150"/>
      </w:pPr>
    </w:p>
    <w:tbl>
      <w:tblPr>
        <w:tblW w:type="pct" w:w="100%"/>
        <w:tblBorders>
          <w:top w:val="none"/>
          <w:left w:val="none"/>
          <w:bottom w:val="single" w:color="C9A227" w:sz="6"/>
          <w:right w:val="none"/>
          <w:insideH w:val="none"/>
          <w:insideV w:val="none"/>
        </w:tblBorders>
      </w:tblPr>
      <w:tblGrid>
        <w:gridCol w:w="100"/>
      </w:tblGrid>
      <w:tr>
        <w:tc>
          <w:tcPr>
            <w:shd w:fill="F2F2F2" w:val="clear"/>
            <w:tcMar>
              <w:top w:type="dxa" w:w="120"/>
              <w:left w:type="dxa" w:w="200"/>
              <w:bottom w:type="dxa" w:w="120"/>
              <w:right w:type="dxa" w:w="200"/>
            </w:tcMar>
          </w:tcPr>
          <w:p>
            <w:r>
              <w:rPr>
                <w:rFonts w:ascii="Calibri" w:cs="Calibri" w:eastAsia="Calibri" w:hAnsi="Calibri"/>
                <w:b/>
                <w:bCs/>
                <w:color w:val="C9A227"/>
                <w:sz w:val="23"/>
                <w:szCs w:val="23"/>
              </w:rPr>
              <w:t xml:space="preserve">TASK 4.3  </w:t>
            </w:r>
            <w:r>
              <w:rPr>
                <w:rFonts w:ascii="Calibri" w:cs="Calibri" w:eastAsia="Calibri" w:hAnsi="Calibri"/>
                <w:b/>
                <w:bCs/>
                <w:color w:val="1B2A4A"/>
                <w:sz w:val="23"/>
                <w:szCs w:val="23"/>
              </w:rPr>
              <w:t xml:space="preserve">Test Agents</w:t>
            </w:r>
          </w:p>
        </w:tc>
      </w:tr>
    </w:tbl>
    <w:p>
      <w:pPr>
        <w:spacing w:after="100"/>
      </w:pPr>
    </w:p>
    <w:p>
      <w:pPr>
        <w:pStyle w:val="Heading3"/>
        <w:spacing w:after="100" w:before="220"/>
      </w:pPr>
      <w:r>
        <w:rPr>
          <w:rFonts w:ascii="Calibri" w:cs="Calibri" w:eastAsia="Calibri" w:hAnsi="Calibri"/>
          <w:b/>
          <w:bCs/>
          <w:color w:val="0F1B33"/>
          <w:sz w:val="23"/>
          <w:szCs w:val="23"/>
        </w:rPr>
        <w:t xml:space="preserve">1. Understand the evaluation framework and process</w:t>
      </w:r>
    </w:p>
    <w:p>
      <w:pPr>
        <w:spacing w:after="120" w:line="276"/>
      </w:pPr>
      <w:r>
        <w:rPr>
          <w:rFonts w:ascii="Calibri" w:cs="Calibri" w:eastAsia="Calibri" w:hAnsi="Calibri"/>
          <w:color w:val="222222"/>
          <w:sz w:val="21"/>
          <w:szCs w:val="21"/>
        </w:rPr>
        <w:t xml:space="preserve">The ADK ships a built-in Evaluation Framework. Its workflow: define 'stories' (natural-language descriptions of what you want an agent/tool combination to achieve, typically in a CSV), generate synthetic test cases from those stories (including expected tool-call trajectories, not just final answers), run the evaluation against the agent, and inspect results — tool invocations, output summaries, and matches against the expected goals.</w:t>
      </w:r>
    </w:p>
    <w:p>
      <w:pPr>
        <w:pStyle w:val="Heading3"/>
        <w:spacing w:after="100" w:before="220"/>
      </w:pPr>
      <w:r>
        <w:rPr>
          <w:rFonts w:ascii="Calibri" w:cs="Calibri" w:eastAsia="Calibri" w:hAnsi="Calibri"/>
          <w:b/>
          <w:bCs/>
          <w:color w:val="0F1B33"/>
          <w:sz w:val="23"/>
          <w:szCs w:val="23"/>
        </w:rPr>
        <w:t xml:space="preserve">2. Understand evaluation datasets</w:t>
      </w:r>
    </w:p>
    <w:p>
      <w:pPr>
        <w:pStyle w:val="ListParagraph"/>
        <w:numPr>
          <w:ilvl w:val="0"/>
          <w:numId w:val="3"/>
        </w:numPr>
        <w:spacing w:after="60" w:line="270"/>
      </w:pPr>
      <w:r>
        <w:rPr>
          <w:rFonts w:ascii="Calibri" w:cs="Calibri" w:eastAsia="Calibri" w:hAnsi="Calibri"/>
          <w:color w:val="222222"/>
          <w:sz w:val="21"/>
          <w:szCs w:val="21"/>
        </w:rPr>
        <w:t xml:space="preserve">2.1 Record user stories — capture real or representative user interactions as a basis for test cases.</w:t>
      </w:r>
    </w:p>
    <w:p>
      <w:pPr>
        <w:pStyle w:val="ListParagraph"/>
        <w:numPr>
          <w:ilvl w:val="0"/>
          <w:numId w:val="3"/>
        </w:numPr>
        <w:spacing w:after="60" w:line="270"/>
      </w:pPr>
      <w:r>
        <w:rPr>
          <w:rFonts w:ascii="Calibri" w:cs="Calibri" w:eastAsia="Calibri" w:hAnsi="Calibri"/>
          <w:color w:val="222222"/>
          <w:sz w:val="21"/>
          <w:szCs w:val="21"/>
        </w:rPr>
        <w:t xml:space="preserve">2.2 Generate user stories — synthetically create additional stories/test cases from the ADK to broaden coverage beyond manually recorded examples.</w:t>
      </w:r>
    </w:p>
    <w:p>
      <w:pPr>
        <w:pStyle w:val="Heading3"/>
        <w:spacing w:after="100" w:before="220"/>
      </w:pPr>
      <w:r>
        <w:rPr>
          <w:rFonts w:ascii="Calibri" w:cs="Calibri" w:eastAsia="Calibri" w:hAnsi="Calibri"/>
          <w:b/>
          <w:bCs/>
          <w:color w:val="0F1B33"/>
          <w:sz w:val="23"/>
          <w:szCs w:val="23"/>
        </w:rPr>
        <w:t xml:space="preserve">3. Understand agent evaluation metrics</w:t>
      </w:r>
    </w:p>
    <w:p>
      <w:pPr>
        <w:spacing w:after="120" w:line="276"/>
      </w:pPr>
      <w:r>
        <w:rPr>
          <w:rFonts w:ascii="Calibri" w:cs="Calibri" w:eastAsia="Calibri" w:hAnsi="Calibri"/>
          <w:color w:val="222222"/>
          <w:sz w:val="21"/>
          <w:szCs w:val="21"/>
        </w:rPr>
        <w:t xml:space="preserve">Because agents can fail at intermediate steps and still produce a plausible-looking final answer, evaluation checks not only the final response but also the reasoning trajectory — e.g., whether the correct tools were called, in the right order, with the right arguments — alongside conventional accuracy/quality metrics.</w:t>
      </w:r>
    </w:p>
    <w:p>
      <w:pPr>
        <w:pStyle w:val="Heading3"/>
        <w:spacing w:after="100" w:before="220"/>
      </w:pPr>
      <w:r>
        <w:rPr>
          <w:rFonts w:ascii="Calibri" w:cs="Calibri" w:eastAsia="Calibri" w:hAnsi="Calibri"/>
          <w:b/>
          <w:bCs/>
          <w:color w:val="0F1B33"/>
          <w:sz w:val="23"/>
          <w:szCs w:val="23"/>
        </w:rPr>
        <w:t xml:space="preserve">4. Understand how testing ties into Observability</w:t>
      </w:r>
    </w:p>
    <w:p>
      <w:pPr>
        <w:spacing w:after="120" w:line="276"/>
      </w:pPr>
      <w:r>
        <w:rPr>
          <w:rFonts w:ascii="Calibri" w:cs="Calibri" w:eastAsia="Calibri" w:hAnsi="Calibri"/>
          <w:color w:val="222222"/>
          <w:sz w:val="21"/>
          <w:szCs w:val="21"/>
        </w:rPr>
        <w:t xml:space="preserve">Evaluation and observability (Section 6) are complementary: evaluation is a build-time/pre-release check against known scenarios, while observability (tracing, dashboards, Langfuse) monitors real production behaviour continuously — regressions caught in evaluation should also be visible as drift in observability metrics over time.</w:t>
      </w:r>
    </w:p>
    <w:p>
      <w:pPr>
        <w:pStyle w:val="Heading3"/>
        <w:spacing w:after="100" w:before="220"/>
      </w:pPr>
      <w:r>
        <w:rPr>
          <w:rFonts w:ascii="Calibri" w:cs="Calibri" w:eastAsia="Calibri" w:hAnsi="Calibri"/>
          <w:b/>
          <w:bCs/>
          <w:color w:val="0F1B33"/>
          <w:sz w:val="23"/>
          <w:szCs w:val="23"/>
        </w:rPr>
        <w:t xml:space="preserve">5. Test for vulnerabilities</w:t>
      </w:r>
    </w:p>
    <w:p>
      <w:pPr>
        <w:spacing w:after="120" w:line="276"/>
      </w:pPr>
      <w:r>
        <w:rPr>
          <w:rFonts w:ascii="Calibri" w:cs="Calibri" w:eastAsia="Calibri" w:hAnsi="Calibri"/>
          <w:color w:val="222222"/>
          <w:sz w:val="21"/>
          <w:szCs w:val="21"/>
        </w:rPr>
        <w:t xml:space="preserve">Beyond functional correctness, agents should be tested against adversarial or malformed input to confirm guardrails hold — for example, attempts to override instructions, extract system prompts, or trigger unintended tool calls (see Task 4.4).</w:t>
      </w:r>
    </w:p>
    <w:p>
      <w:pPr>
        <w:spacing w:after="150"/>
      </w:pPr>
    </w:p>
    <w:tbl>
      <w:tblPr>
        <w:tblW w:type="pct" w:w="100%"/>
        <w:tblBorders>
          <w:top w:val="none"/>
          <w:left w:val="none"/>
          <w:bottom w:val="single" w:color="C9A227" w:sz="6"/>
          <w:right w:val="none"/>
          <w:insideH w:val="none"/>
          <w:insideV w:val="none"/>
        </w:tblBorders>
      </w:tblPr>
      <w:tblGrid>
        <w:gridCol w:w="100"/>
      </w:tblGrid>
      <w:tr>
        <w:tc>
          <w:tcPr>
            <w:shd w:fill="F2F2F2" w:val="clear"/>
            <w:tcMar>
              <w:top w:type="dxa" w:w="120"/>
              <w:left w:type="dxa" w:w="200"/>
              <w:bottom w:type="dxa" w:w="120"/>
              <w:right w:type="dxa" w:w="200"/>
            </w:tcMar>
          </w:tcPr>
          <w:p>
            <w:r>
              <w:rPr>
                <w:rFonts w:ascii="Calibri" w:cs="Calibri" w:eastAsia="Calibri" w:hAnsi="Calibri"/>
                <w:b/>
                <w:bCs/>
                <w:color w:val="C9A227"/>
                <w:sz w:val="23"/>
                <w:szCs w:val="23"/>
              </w:rPr>
              <w:t xml:space="preserve">TASK 4.4  </w:t>
            </w:r>
            <w:r>
              <w:rPr>
                <w:rFonts w:ascii="Calibri" w:cs="Calibri" w:eastAsia="Calibri" w:hAnsi="Calibri"/>
                <w:b/>
                <w:bCs/>
                <w:color w:val="1B2A4A"/>
                <w:sz w:val="23"/>
                <w:szCs w:val="23"/>
              </w:rPr>
              <w:t xml:space="preserve">Understand Agentic Prompting</w:t>
            </w:r>
          </w:p>
        </w:tc>
      </w:tr>
    </w:tbl>
    <w:p>
      <w:pPr>
        <w:spacing w:after="100"/>
      </w:pPr>
    </w:p>
    <w:p>
      <w:pPr>
        <w:pStyle w:val="Heading3"/>
        <w:spacing w:after="100" w:before="220"/>
      </w:pPr>
      <w:r>
        <w:rPr>
          <w:rFonts w:ascii="Calibri" w:cs="Calibri" w:eastAsia="Calibri" w:hAnsi="Calibri"/>
          <w:b/>
          <w:bCs/>
          <w:color w:val="0F1B33"/>
          <w:sz w:val="23"/>
          <w:szCs w:val="23"/>
        </w:rPr>
        <w:t xml:space="preserve">1. Explain the concept and purpose of agentic prompting</w:t>
      </w:r>
    </w:p>
    <w:p>
      <w:pPr>
        <w:spacing w:after="120" w:line="276"/>
      </w:pPr>
      <w:r>
        <w:rPr>
          <w:rFonts w:ascii="Calibri" w:cs="Calibri" w:eastAsia="Calibri" w:hAnsi="Calibri"/>
          <w:color w:val="222222"/>
          <w:sz w:val="21"/>
          <w:szCs w:val="21"/>
        </w:rPr>
        <w:t xml:space="preserve">Agentic prompting is the practice of writing system-level instructions, guidelines, and tool descriptions specifically to steer an agent's autonomous reasoning loop — not just to generate a single reply, but to shape how it plans, when it calls tools, how it handles failures, and when it should escalate or stop.</w:t>
      </w:r>
    </w:p>
    <w:p>
      <w:pPr>
        <w:pStyle w:val="Heading3"/>
        <w:spacing w:after="100" w:before="220"/>
      </w:pPr>
      <w:r>
        <w:rPr>
          <w:rFonts w:ascii="Calibri" w:cs="Calibri" w:eastAsia="Calibri" w:hAnsi="Calibri"/>
          <w:b/>
          <w:bCs/>
          <w:color w:val="0F1B33"/>
          <w:sz w:val="23"/>
          <w:szCs w:val="23"/>
        </w:rPr>
        <w:t xml:space="preserve">2. Identify common prompting techniques used when designing AI agents</w:t>
      </w:r>
    </w:p>
    <w:p>
      <w:pPr>
        <w:pStyle w:val="ListParagraph"/>
        <w:numPr>
          <w:ilvl w:val="0"/>
          <w:numId w:val="3"/>
        </w:numPr>
        <w:spacing w:after="60" w:line="270"/>
      </w:pPr>
      <w:r>
        <w:rPr>
          <w:rFonts w:ascii="Calibri" w:cs="Calibri" w:eastAsia="Calibri" w:hAnsi="Calibri"/>
          <w:color w:val="222222"/>
          <w:sz w:val="21"/>
          <w:szCs w:val="21"/>
        </w:rPr>
        <w:t xml:space="preserve">ReAct-style prompting — interleaving reasoning and tool-calling steps for better tool-selection accuracy.</w:t>
      </w:r>
    </w:p>
    <w:p>
      <w:pPr>
        <w:pStyle w:val="ListParagraph"/>
        <w:numPr>
          <w:ilvl w:val="0"/>
          <w:numId w:val="3"/>
        </w:numPr>
        <w:spacing w:after="60" w:line="270"/>
      </w:pPr>
      <w:r>
        <w:rPr>
          <w:rFonts w:ascii="Calibri" w:cs="Calibri" w:eastAsia="Calibri" w:hAnsi="Calibri"/>
          <w:color w:val="222222"/>
          <w:sz w:val="21"/>
          <w:szCs w:val="21"/>
        </w:rPr>
        <w:t xml:space="preserve">Planner-style prompting — explicit multi-step planning for complex tasks, supporting structured outputs and custom join/aggregation logic.</w:t>
      </w:r>
    </w:p>
    <w:p>
      <w:pPr>
        <w:pStyle w:val="ListParagraph"/>
        <w:numPr>
          <w:ilvl w:val="0"/>
          <w:numId w:val="3"/>
        </w:numPr>
        <w:spacing w:after="60" w:line="270"/>
      </w:pPr>
      <w:r>
        <w:rPr>
          <w:rFonts w:ascii="Calibri" w:cs="Calibri" w:eastAsia="Calibri" w:hAnsi="Calibri"/>
          <w:color w:val="222222"/>
          <w:sz w:val="21"/>
          <w:szCs w:val="21"/>
        </w:rPr>
        <w:t xml:space="preserve">Clear, unambiguous tool and agent descriptions — since these descriptions directly drive routing decisions in both single-agent tool selection and multi-agent delegation.</w:t>
      </w:r>
    </w:p>
    <w:p>
      <w:pPr>
        <w:pStyle w:val="ListParagraph"/>
        <w:numPr>
          <w:ilvl w:val="0"/>
          <w:numId w:val="3"/>
        </w:numPr>
        <w:spacing w:after="60" w:line="270"/>
      </w:pPr>
      <w:r>
        <w:rPr>
          <w:rFonts w:ascii="Calibri" w:cs="Calibri" w:eastAsia="Calibri" w:hAnsi="Calibri"/>
          <w:color w:val="222222"/>
          <w:sz w:val="21"/>
          <w:szCs w:val="21"/>
        </w:rPr>
        <w:t xml:space="preserve">Guideline/guardrail instructions — explicit dos/don'ts embedded in the agent's behaviour definition.</w:t>
      </w:r>
    </w:p>
    <w:p>
      <w:pPr>
        <w:pStyle w:val="Heading3"/>
        <w:spacing w:after="100" w:before="220"/>
      </w:pPr>
      <w:r>
        <w:rPr>
          <w:rFonts w:ascii="Calibri" w:cs="Calibri" w:eastAsia="Calibri" w:hAnsi="Calibri"/>
          <w:b/>
          <w:bCs/>
          <w:color w:val="0F1B33"/>
          <w:sz w:val="23"/>
          <w:szCs w:val="23"/>
        </w:rPr>
        <w:t xml:space="preserve">3. Explain methods used to evaluate and test prompts for agent performance</w:t>
      </w:r>
    </w:p>
    <w:p>
      <w:pPr>
        <w:spacing w:after="120" w:line="276"/>
      </w:pPr>
      <w:r>
        <w:rPr>
          <w:rFonts w:ascii="Calibri" w:cs="Calibri" w:eastAsia="Calibri" w:hAnsi="Calibri"/>
          <w:color w:val="222222"/>
          <w:sz w:val="21"/>
          <w:szCs w:val="21"/>
        </w:rPr>
        <w:t xml:space="preserve">Use the ADK Evaluation Framework and the watsonx Orchestrate Copilot (Task 5.1) to iteratively test and refine prompts/instructions against representative and adversarial scenarios, comparing trajectories and outputs across prompt versions.</w:t>
      </w:r>
    </w:p>
    <w:p>
      <w:pPr>
        <w:pStyle w:val="Heading3"/>
        <w:spacing w:after="100" w:before="220"/>
      </w:pPr>
      <w:r>
        <w:rPr>
          <w:rFonts w:ascii="Calibri" w:cs="Calibri" w:eastAsia="Calibri" w:hAnsi="Calibri"/>
          <w:b/>
          <w:bCs/>
          <w:color w:val="0F1B33"/>
          <w:sz w:val="23"/>
          <w:szCs w:val="23"/>
        </w:rPr>
        <w:t xml:space="preserve">4. Describe security risks associated with prompts in AI agents</w:t>
      </w:r>
    </w:p>
    <w:p>
      <w:pPr>
        <w:pStyle w:val="ListParagraph"/>
        <w:numPr>
          <w:ilvl w:val="0"/>
          <w:numId w:val="3"/>
        </w:numPr>
        <w:spacing w:after="60" w:line="270"/>
      </w:pPr>
      <w:r>
        <w:rPr>
          <w:rFonts w:ascii="Calibri" w:cs="Calibri" w:eastAsia="Calibri" w:hAnsi="Calibri"/>
          <w:color w:val="222222"/>
          <w:sz w:val="21"/>
          <w:szCs w:val="21"/>
        </w:rPr>
        <w:t xml:space="preserve">Prompt injection — malicious input attempting to override the agent's system instructions.</w:t>
      </w:r>
    </w:p>
    <w:p>
      <w:pPr>
        <w:pStyle w:val="ListParagraph"/>
        <w:numPr>
          <w:ilvl w:val="0"/>
          <w:numId w:val="3"/>
        </w:numPr>
        <w:spacing w:after="60" w:line="270"/>
      </w:pPr>
      <w:r>
        <w:rPr>
          <w:rFonts w:ascii="Calibri" w:cs="Calibri" w:eastAsia="Calibri" w:hAnsi="Calibri"/>
          <w:color w:val="222222"/>
          <w:sz w:val="21"/>
          <w:szCs w:val="21"/>
        </w:rPr>
        <w:t xml:space="preserve">System-prompt / instruction leakage — attempts to extract the agent's confidential instructions or tool credentials.</w:t>
      </w:r>
    </w:p>
    <w:p>
      <w:pPr>
        <w:pStyle w:val="ListParagraph"/>
        <w:numPr>
          <w:ilvl w:val="0"/>
          <w:numId w:val="3"/>
        </w:numPr>
        <w:spacing w:after="60" w:line="270"/>
      </w:pPr>
      <w:r>
        <w:rPr>
          <w:rFonts w:ascii="Calibri" w:cs="Calibri" w:eastAsia="Calibri" w:hAnsi="Calibri"/>
          <w:color w:val="222222"/>
          <w:sz w:val="21"/>
          <w:szCs w:val="21"/>
        </w:rPr>
        <w:t xml:space="preserve">Unintended or excessive tool invocation — an agent tricked into calling a sensitive tool it should not have used for that request.</w:t>
      </w:r>
    </w:p>
    <w:p>
      <w:pPr>
        <w:pStyle w:val="Heading3"/>
        <w:spacing w:after="100" w:before="220"/>
      </w:pPr>
      <w:r>
        <w:rPr>
          <w:rFonts w:ascii="Calibri" w:cs="Calibri" w:eastAsia="Calibri" w:hAnsi="Calibri"/>
          <w:b/>
          <w:bCs/>
          <w:color w:val="0F1B33"/>
          <w:sz w:val="23"/>
          <w:szCs w:val="23"/>
        </w:rPr>
        <w:t xml:space="preserve">5. Identify security controls used to mitigate prompt-based attacks</w:t>
      </w:r>
    </w:p>
    <w:p>
      <w:pPr>
        <w:spacing w:after="120" w:line="276"/>
      </w:pPr>
      <w:r>
        <w:rPr>
          <w:rFonts w:ascii="Calibri" w:cs="Calibri" w:eastAsia="Calibri" w:hAnsi="Calibri"/>
          <w:color w:val="222222"/>
          <w:sz w:val="21"/>
          <w:szCs w:val="21"/>
        </w:rPr>
        <w:t xml:space="preserve">Input and output plug-ins can inspect and, where necessary, modify or block messages before an agent processes them and after it generates a response — enforcing safety, security, and regulatory guardrails consistently, every time the agent is invoked, rather than relying solely on prompt wording.</w:t>
      </w:r>
    </w:p>
    <w:p>
      <w:pPr>
        <w:spacing w:after="150"/>
      </w:pPr>
    </w:p>
    <w:tbl>
      <w:tblPr>
        <w:tblW w:type="pct" w:w="100%"/>
        <w:tblBorders>
          <w:top w:val="none"/>
          <w:left w:val="none"/>
          <w:bottom w:val="single" w:color="C9A227" w:sz="6"/>
          <w:right w:val="none"/>
          <w:insideH w:val="none"/>
          <w:insideV w:val="none"/>
        </w:tblBorders>
      </w:tblPr>
      <w:tblGrid>
        <w:gridCol w:w="100"/>
      </w:tblGrid>
      <w:tr>
        <w:tc>
          <w:tcPr>
            <w:shd w:fill="F2F2F2" w:val="clear"/>
            <w:tcMar>
              <w:top w:type="dxa" w:w="120"/>
              <w:left w:type="dxa" w:w="200"/>
              <w:bottom w:type="dxa" w:w="120"/>
              <w:right w:type="dxa" w:w="200"/>
            </w:tcMar>
          </w:tcPr>
          <w:p>
            <w:r>
              <w:rPr>
                <w:rFonts w:ascii="Calibri" w:cs="Calibri" w:eastAsia="Calibri" w:hAnsi="Calibri"/>
                <w:b/>
                <w:bCs/>
                <w:color w:val="C9A227"/>
                <w:sz w:val="23"/>
                <w:szCs w:val="23"/>
              </w:rPr>
              <w:t xml:space="preserve">TASK 4.5  </w:t>
            </w:r>
            <w:r>
              <w:rPr>
                <w:rFonts w:ascii="Calibri" w:cs="Calibri" w:eastAsia="Calibri" w:hAnsi="Calibri"/>
                <w:b/>
                <w:bCs/>
                <w:color w:val="1B2A4A"/>
                <w:sz w:val="23"/>
                <w:szCs w:val="23"/>
              </w:rPr>
              <w:t xml:space="preserve">Connect Agents to Channels</w:t>
            </w:r>
          </w:p>
        </w:tc>
      </w:tr>
    </w:tbl>
    <w:p>
      <w:pPr>
        <w:spacing w:after="100"/>
      </w:pPr>
    </w:p>
    <w:p>
      <w:pPr>
        <w:pStyle w:val="Heading3"/>
        <w:spacing w:after="100" w:before="220"/>
      </w:pPr>
      <w:r>
        <w:rPr>
          <w:rFonts w:ascii="Calibri" w:cs="Calibri" w:eastAsia="Calibri" w:hAnsi="Calibri"/>
          <w:b/>
          <w:bCs/>
          <w:color w:val="0F1B33"/>
          <w:sz w:val="23"/>
          <w:szCs w:val="23"/>
        </w:rPr>
        <w:t xml:space="preserve">1. Explain the purpose of connecting AI agents to communication channels</w:t>
      </w:r>
    </w:p>
    <w:p>
      <w:pPr>
        <w:spacing w:after="120" w:line="276"/>
      </w:pPr>
      <w:r>
        <w:rPr>
          <w:rFonts w:ascii="Calibri" w:cs="Calibri" w:eastAsia="Calibri" w:hAnsi="Calibri"/>
          <w:color w:val="222222"/>
          <w:sz w:val="21"/>
          <w:szCs w:val="21"/>
        </w:rPr>
        <w:t xml:space="preserve">A channel is the communication endpoint through which end users actually interact with a deployed agent — connecting the same underlying agent to wherever users already work, instead of forcing them into a separate interface.</w:t>
      </w:r>
    </w:p>
    <w:p>
      <w:pPr>
        <w:pStyle w:val="Heading3"/>
        <w:spacing w:after="100" w:before="220"/>
      </w:pPr>
      <w:r>
        <w:rPr>
          <w:rFonts w:ascii="Calibri" w:cs="Calibri" w:eastAsia="Calibri" w:hAnsi="Calibri"/>
          <w:b/>
          <w:bCs/>
          <w:color w:val="0F1B33"/>
          <w:sz w:val="23"/>
          <w:szCs w:val="23"/>
        </w:rPr>
        <w:t xml:space="preserve">2. Identify supported channel types</w:t>
      </w:r>
    </w:p>
    <w:p>
      <w:pPr>
        <w:pStyle w:val="ListParagraph"/>
        <w:numPr>
          <w:ilvl w:val="0"/>
          <w:numId w:val="3"/>
        </w:numPr>
        <w:spacing w:after="60" w:line="270"/>
      </w:pPr>
      <w:r>
        <w:rPr>
          <w:rFonts w:ascii="Calibri" w:cs="Calibri" w:eastAsia="Calibri" w:hAnsi="Calibri"/>
          <w:color w:val="222222"/>
          <w:sz w:val="21"/>
          <w:szCs w:val="21"/>
        </w:rPr>
        <w:t xml:space="preserve">Embedded web chat / custom client apps.</w:t>
      </w:r>
    </w:p>
    <w:p>
      <w:pPr>
        <w:pStyle w:val="ListParagraph"/>
        <w:numPr>
          <w:ilvl w:val="0"/>
          <w:numId w:val="3"/>
        </w:numPr>
        <w:spacing w:after="60" w:line="270"/>
      </w:pPr>
      <w:r>
        <w:rPr>
          <w:rFonts w:ascii="Calibri" w:cs="Calibri" w:eastAsia="Calibri" w:hAnsi="Calibri"/>
          <w:color w:val="222222"/>
          <w:sz w:val="21"/>
          <w:szCs w:val="21"/>
        </w:rPr>
        <w:t xml:space="preserve">Slack and Microsoft Teams.</w:t>
      </w:r>
    </w:p>
    <w:p>
      <w:pPr>
        <w:pStyle w:val="ListParagraph"/>
        <w:numPr>
          <w:ilvl w:val="0"/>
          <w:numId w:val="3"/>
        </w:numPr>
        <w:spacing w:after="60" w:line="270"/>
      </w:pPr>
      <w:r>
        <w:rPr>
          <w:rFonts w:ascii="Calibri" w:cs="Calibri" w:eastAsia="Calibri" w:hAnsi="Calibri"/>
          <w:color w:val="222222"/>
          <w:sz w:val="21"/>
          <w:szCs w:val="21"/>
        </w:rPr>
        <w:t xml:space="preserve">WhatsApp and SMS.</w:t>
      </w:r>
    </w:p>
    <w:p>
      <w:pPr>
        <w:pStyle w:val="ListParagraph"/>
        <w:numPr>
          <w:ilvl w:val="0"/>
          <w:numId w:val="3"/>
        </w:numPr>
        <w:spacing w:after="60" w:line="270"/>
      </w:pPr>
      <w:r>
        <w:rPr>
          <w:rFonts w:ascii="Calibri" w:cs="Calibri" w:eastAsia="Calibri" w:hAnsi="Calibri"/>
          <w:color w:val="222222"/>
          <w:sz w:val="21"/>
          <w:szCs w:val="21"/>
        </w:rPr>
        <w:t xml:space="preserve">Contact-centre integrations (e.g., Genesys) and telephony/voice channels.</w:t>
      </w:r>
    </w:p>
    <w:p>
      <w:pPr>
        <w:pStyle w:val="ListParagraph"/>
        <w:numPr>
          <w:ilvl w:val="0"/>
          <w:numId w:val="3"/>
        </w:numPr>
        <w:spacing w:after="60" w:line="270"/>
      </w:pPr>
      <w:r>
        <w:rPr>
          <w:rFonts w:ascii="Calibri" w:cs="Calibri" w:eastAsia="Calibri" w:hAnsi="Calibri"/>
          <w:color w:val="222222"/>
          <w:sz w:val="21"/>
          <w:szCs w:val="21"/>
        </w:rPr>
        <w:t xml:space="preserve">Facebook Messenger and other social/CRM integrations (e.g., Salesforce, Zendesk) for assistant-style deployments.</w:t>
      </w:r>
    </w:p>
    <w:p>
      <w:pPr>
        <w:pStyle w:val="Heading3"/>
        <w:spacing w:after="100" w:before="220"/>
      </w:pPr>
      <w:r>
        <w:rPr>
          <w:rFonts w:ascii="Calibri" w:cs="Calibri" w:eastAsia="Calibri" w:hAnsi="Calibri"/>
          <w:b/>
          <w:bCs/>
          <w:color w:val="0F1B33"/>
          <w:sz w:val="23"/>
          <w:szCs w:val="23"/>
        </w:rPr>
        <w:t xml:space="preserve">3. Describe the process for configuring an agent to connect to a channel</w:t>
      </w:r>
    </w:p>
    <w:p>
      <w:pPr>
        <w:spacing w:after="120" w:line="276"/>
      </w:pPr>
      <w:r>
        <w:rPr>
          <w:rFonts w:ascii="Calibri" w:cs="Calibri" w:eastAsia="Calibri" w:hAnsi="Calibri"/>
          <w:color w:val="222222"/>
          <w:sz w:val="21"/>
          <w:szCs w:val="21"/>
        </w:rPr>
        <w:t xml:space="preserve">Using the ADK (or the Agent Builder UI), create and configure the channel for the target environment, supplying the required credentials/endpoints for that platform; to use more than one channel of the same type, set each one up in a different environment.</w:t>
      </w:r>
    </w:p>
    <w:p>
      <w:pPr>
        <w:pStyle w:val="Heading3"/>
        <w:spacing w:after="100" w:before="220"/>
      </w:pPr>
      <w:r>
        <w:rPr>
          <w:rFonts w:ascii="Calibri" w:cs="Calibri" w:eastAsia="Calibri" w:hAnsi="Calibri"/>
          <w:b/>
          <w:bCs/>
          <w:color w:val="0F1B33"/>
          <w:sz w:val="23"/>
          <w:szCs w:val="23"/>
        </w:rPr>
        <w:t xml:space="preserve">4. Explain security considerations when connecting agents to external channels</w:t>
      </w:r>
    </w:p>
    <w:p>
      <w:pPr>
        <w:spacing w:after="120" w:line="276"/>
      </w:pPr>
      <w:r>
        <w:rPr>
          <w:rFonts w:ascii="Calibri" w:cs="Calibri" w:eastAsia="Calibri" w:hAnsi="Calibri"/>
          <w:color w:val="222222"/>
          <w:sz w:val="21"/>
          <w:szCs w:val="21"/>
        </w:rPr>
        <w:t xml:space="preserve">Each channel integration introduces its own authentication surface (API tokens, OAuth, webhook secrets); these must be secured and scoped no more broadly than necessary, and channel-specific data-handling/compliance requirements (e.g., message retention on a given platform) must be accounted for.</w:t>
      </w:r>
    </w:p>
    <w:p>
      <w:pPr>
        <w:pStyle w:val="Heading3"/>
        <w:spacing w:after="100" w:before="220"/>
      </w:pPr>
      <w:r>
        <w:rPr>
          <w:rFonts w:ascii="Calibri" w:cs="Calibri" w:eastAsia="Calibri" w:hAnsi="Calibri"/>
          <w:b/>
          <w:bCs/>
          <w:color w:val="0F1B33"/>
          <w:sz w:val="23"/>
          <w:szCs w:val="23"/>
        </w:rPr>
        <w:t xml:space="preserve">5. Describe how to test and validate agent interactions through channels</w:t>
      </w:r>
    </w:p>
    <w:p>
      <w:pPr>
        <w:spacing w:after="120" w:line="276"/>
      </w:pPr>
      <w:r>
        <w:rPr>
          <w:rFonts w:ascii="Calibri" w:cs="Calibri" w:eastAsia="Calibri" w:hAnsi="Calibri"/>
          <w:color w:val="222222"/>
          <w:sz w:val="21"/>
          <w:szCs w:val="21"/>
        </w:rPr>
        <w:t xml:space="preserve">Before promoting to production, test the agent end-to-end through each configured channel (not just the internal chat UI) to confirm formatting, latency, and authentication behave correctly in that platform's actual interface.</w:t>
      </w:r>
    </w:p>
    <w:p>
      <w:r>
        <w:br w:type="page"/>
      </w:r>
    </w:p>
    <w:tbl>
      <w:tblPr>
        <w:tblW w:type="pct" w:w="100%"/>
        <w:tblBorders>
          <w:top w:val="none"/>
          <w:left w:val="none"/>
          <w:bottom w:val="none"/>
          <w:right w:val="none"/>
          <w:insideH w:val="none"/>
          <w:insideV w:val="none"/>
        </w:tblBorders>
      </w:tblPr>
      <w:tblGrid>
        <w:gridCol w:w="100"/>
      </w:tblGrid>
      <w:tr>
        <w:tc>
          <w:tcPr>
            <w:tcW w:type="pct" w:w="100%"/>
            <w:shd w:fill="1B2A4A" w:val="clear"/>
            <w:tcMar>
              <w:top w:type="dxa" w:w="200"/>
              <w:left w:type="dxa" w:w="250"/>
              <w:bottom w:type="dxa" w:w="200"/>
              <w:right w:type="dxa" w:w="250"/>
            </w:tcMar>
          </w:tcPr>
          <w:p>
            <w:r>
              <w:rPr>
                <w:rFonts w:ascii="Calibri" w:cs="Calibri" w:eastAsia="Calibri" w:hAnsi="Calibri"/>
                <w:b/>
                <w:bCs/>
                <w:color w:val="C9A227"/>
                <w:sz w:val="20"/>
                <w:szCs w:val="20"/>
              </w:rPr>
              <w:t xml:space="preserve">SECTION 5</w:t>
            </w:r>
          </w:p>
          <w:p>
            <w:pPr>
              <w:spacing w:before="60"/>
            </w:pPr>
            <w:r>
              <w:rPr>
                <w:rFonts w:ascii="Calibri" w:cs="Calibri" w:eastAsia="Calibri" w:hAnsi="Calibri"/>
                <w:b/>
                <w:bCs/>
                <w:color w:val="FFFFFF"/>
                <w:sz w:val="30"/>
                <w:szCs w:val="30"/>
              </w:rPr>
              <w:t xml:space="preserve">Model Management</w:t>
            </w:r>
          </w:p>
          <w:p>
            <w:pPr>
              <w:spacing w:before="60"/>
            </w:pPr>
            <w:r>
              <w:rPr>
                <w:rFonts w:ascii="Calibri" w:cs="Calibri" w:eastAsia="Calibri" w:hAnsi="Calibri"/>
                <w:i/>
                <w:iCs/>
                <w:color w:val="F5E9C6"/>
                <w:sz w:val="20"/>
                <w:szCs w:val="20"/>
              </w:rPr>
              <w:t xml:space="preserve">Exam Weight: approximately 14% of the C1000-207 exam</w:t>
            </w:r>
          </w:p>
        </w:tc>
      </w:tr>
    </w:tbl>
    <w:p>
      <w:pPr>
        <w:spacing w:after="200"/>
      </w:pPr>
    </w:p>
    <w:p>
      <w:pPr>
        <w:spacing w:after="120" w:line="276"/>
      </w:pPr>
      <w:r>
        <w:rPr>
          <w:rFonts w:ascii="Calibri" w:cs="Calibri" w:eastAsia="Calibri" w:hAnsi="Calibri"/>
          <w:color w:val="222222"/>
          <w:sz w:val="21"/>
          <w:szCs w:val="21"/>
        </w:rPr>
        <w:t xml:space="preserve">This section covers the tooling used to develop agents faster (Orchestrate Copilot), how to choose an LLM appropriately, and how the AI Gateway and model policies govern which models agents actually use in production.</w:t>
      </w:r>
    </w:p>
    <w:tbl>
      <w:tblPr>
        <w:tblW w:type="pct" w:w="100%"/>
        <w:tblBorders>
          <w:top w:val="none"/>
          <w:left w:val="none"/>
          <w:bottom w:val="single" w:color="C9A227" w:sz="6"/>
          <w:right w:val="none"/>
          <w:insideH w:val="none"/>
          <w:insideV w:val="none"/>
        </w:tblBorders>
      </w:tblPr>
      <w:tblGrid>
        <w:gridCol w:w="100"/>
      </w:tblGrid>
      <w:tr>
        <w:tc>
          <w:tcPr>
            <w:shd w:fill="F2F2F2" w:val="clear"/>
            <w:tcMar>
              <w:top w:type="dxa" w:w="120"/>
              <w:left w:type="dxa" w:w="200"/>
              <w:bottom w:type="dxa" w:w="120"/>
              <w:right w:type="dxa" w:w="200"/>
            </w:tcMar>
          </w:tcPr>
          <w:p>
            <w:r>
              <w:rPr>
                <w:rFonts w:ascii="Calibri" w:cs="Calibri" w:eastAsia="Calibri" w:hAnsi="Calibri"/>
                <w:b/>
                <w:bCs/>
                <w:color w:val="C9A227"/>
                <w:sz w:val="23"/>
                <w:szCs w:val="23"/>
              </w:rPr>
              <w:t xml:space="preserve">TASK 5.1  </w:t>
            </w:r>
            <w:r>
              <w:rPr>
                <w:rFonts w:ascii="Calibri" w:cs="Calibri" w:eastAsia="Calibri" w:hAnsi="Calibri"/>
                <w:b/>
                <w:bCs/>
                <w:color w:val="1B2A4A"/>
                <w:sz w:val="23"/>
                <w:szCs w:val="23"/>
              </w:rPr>
              <w:t xml:space="preserve">Develop Agents With Orchestrate Copilot</w:t>
            </w:r>
          </w:p>
        </w:tc>
      </w:tr>
    </w:tbl>
    <w:p>
      <w:pPr>
        <w:spacing w:after="100"/>
      </w:pPr>
    </w:p>
    <w:p>
      <w:pPr>
        <w:pStyle w:val="Heading3"/>
        <w:spacing w:after="100" w:before="220"/>
      </w:pPr>
      <w:r>
        <w:rPr>
          <w:rFonts w:ascii="Calibri" w:cs="Calibri" w:eastAsia="Calibri" w:hAnsi="Calibri"/>
          <w:b/>
          <w:bCs/>
          <w:color w:val="0F1B33"/>
          <w:sz w:val="23"/>
          <w:szCs w:val="23"/>
        </w:rPr>
        <w:t xml:space="preserve">1. Install and configure the Orchestrate Copilot for Visual Studio Code</w:t>
      </w:r>
    </w:p>
    <w:p>
      <w:pPr>
        <w:pStyle w:val="ListParagraph"/>
        <w:numPr>
          <w:ilvl w:val="0"/>
          <w:numId w:val="3"/>
        </w:numPr>
        <w:spacing w:after="60" w:line="270"/>
      </w:pPr>
      <w:r>
        <w:rPr>
          <w:rFonts w:ascii="Calibri" w:cs="Calibri" w:eastAsia="Calibri" w:hAnsi="Calibri"/>
          <w:color w:val="222222"/>
          <w:sz w:val="21"/>
          <w:szCs w:val="21"/>
        </w:rPr>
        <w:t xml:space="preserve">1.1 Initialize an agent development workspace — the Copilot extension scaffolds a workspace connected to your ADK project, giving IDE-integrated assistance for authoring agents, tools, and connections.</w:t>
      </w:r>
    </w:p>
    <w:p>
      <w:pPr>
        <w:pStyle w:val="Heading3"/>
        <w:spacing w:after="100" w:before="220"/>
      </w:pPr>
      <w:r>
        <w:rPr>
          <w:rFonts w:ascii="Calibri" w:cs="Calibri" w:eastAsia="Calibri" w:hAnsi="Calibri"/>
          <w:b/>
          <w:bCs/>
          <w:color w:val="0F1B33"/>
          <w:sz w:val="23"/>
          <w:szCs w:val="23"/>
        </w:rPr>
        <w:t xml:space="preserve">2. Understand copilot commands</w:t>
      </w:r>
    </w:p>
    <w:p>
      <w:pPr>
        <w:spacing w:after="120" w:line="276"/>
      </w:pPr>
      <w:r>
        <w:rPr>
          <w:rFonts w:ascii="Calibri" w:cs="Calibri" w:eastAsia="Calibri" w:hAnsi="Calibri"/>
          <w:color w:val="222222"/>
          <w:sz w:val="21"/>
          <w:szCs w:val="21"/>
        </w:rPr>
        <w:t xml:space="preserve">The Copilot exposes conversational commands inside the IDE for tasks such as scaffolding a new agent, refining prompts/instructions, generating or updating tool code, and querying the watsonx Orchestrate documentation and ADK CLI — effectively giving the coding IDE the knowledge it needs to write Orchestrate agents, connections, and tools without leaving the editor.</w:t>
      </w:r>
    </w:p>
    <w:p>
      <w:pPr>
        <w:spacing w:after="150"/>
      </w:pPr>
    </w:p>
    <w:tbl>
      <w:tblPr>
        <w:tblW w:type="pct" w:w="100%"/>
        <w:tblBorders>
          <w:top w:val="none"/>
          <w:left w:val="none"/>
          <w:bottom w:val="single" w:color="C9A227" w:sz="6"/>
          <w:right w:val="none"/>
          <w:insideH w:val="none"/>
          <w:insideV w:val="none"/>
        </w:tblBorders>
      </w:tblPr>
      <w:tblGrid>
        <w:gridCol w:w="100"/>
      </w:tblGrid>
      <w:tr>
        <w:tc>
          <w:tcPr>
            <w:shd w:fill="F2F2F2" w:val="clear"/>
            <w:tcMar>
              <w:top w:type="dxa" w:w="120"/>
              <w:left w:type="dxa" w:w="200"/>
              <w:bottom w:type="dxa" w:w="120"/>
              <w:right w:type="dxa" w:w="200"/>
            </w:tcMar>
          </w:tcPr>
          <w:p>
            <w:r>
              <w:rPr>
                <w:rFonts w:ascii="Calibri" w:cs="Calibri" w:eastAsia="Calibri" w:hAnsi="Calibri"/>
                <w:b/>
                <w:bCs/>
                <w:color w:val="C9A227"/>
                <w:sz w:val="23"/>
                <w:szCs w:val="23"/>
              </w:rPr>
              <w:t xml:space="preserve">TASK 5.2  </w:t>
            </w:r>
            <w:r>
              <w:rPr>
                <w:rFonts w:ascii="Calibri" w:cs="Calibri" w:eastAsia="Calibri" w:hAnsi="Calibri"/>
                <w:b/>
                <w:bCs/>
                <w:color w:val="1B2A4A"/>
                <w:sz w:val="23"/>
                <w:szCs w:val="23"/>
              </w:rPr>
              <w:t xml:space="preserve">Model Selection</w:t>
            </w:r>
          </w:p>
        </w:tc>
      </w:tr>
    </w:tbl>
    <w:p>
      <w:pPr>
        <w:spacing w:after="100"/>
      </w:pPr>
    </w:p>
    <w:p>
      <w:pPr>
        <w:pStyle w:val="Heading3"/>
        <w:spacing w:after="100" w:before="220"/>
      </w:pPr>
      <w:r>
        <w:rPr>
          <w:rFonts w:ascii="Calibri" w:cs="Calibri" w:eastAsia="Calibri" w:hAnsi="Calibri"/>
          <w:b/>
          <w:bCs/>
          <w:color w:val="0F1B33"/>
          <w:sz w:val="23"/>
          <w:szCs w:val="23"/>
        </w:rPr>
        <w:t xml:space="preserve">1. Choose an LLM</w:t>
      </w:r>
    </w:p>
    <w:p>
      <w:pPr>
        <w:pStyle w:val="ListParagraph"/>
        <w:numPr>
          <w:ilvl w:val="0"/>
          <w:numId w:val="3"/>
        </w:numPr>
        <w:spacing w:after="60" w:line="270"/>
      </w:pPr>
      <w:r>
        <w:rPr>
          <w:rFonts w:ascii="Calibri" w:cs="Calibri" w:eastAsia="Calibri" w:hAnsi="Calibri"/>
          <w:color w:val="222222"/>
          <w:sz w:val="21"/>
          <w:szCs w:val="21"/>
        </w:rPr>
        <w:t xml:space="preserve">1.1 Model appropriateness for agent task type — reasoning-heavy planning tasks benefit from larger, more capable models; simple classification or extraction tasks can often use smaller, cheaper models.</w:t>
      </w:r>
    </w:p>
    <w:p>
      <w:pPr>
        <w:pStyle w:val="ListParagraph"/>
        <w:numPr>
          <w:ilvl w:val="0"/>
          <w:numId w:val="3"/>
        </w:numPr>
        <w:spacing w:after="60" w:line="270"/>
      </w:pPr>
      <w:r>
        <w:rPr>
          <w:rFonts w:ascii="Calibri" w:cs="Calibri" w:eastAsia="Calibri" w:hAnsi="Calibri"/>
          <w:color w:val="222222"/>
          <w:sz w:val="21"/>
          <w:szCs w:val="21"/>
        </w:rPr>
        <w:t xml:space="preserve">1.2 Cost, accuracy, and latency tradeoffs — larger models generally cost more and respond more slowly but reason more reliably; smaller/quantised models are faster and cheaper but may need more guidance (tools, guidelines) to reach the same accuracy.</w:t>
      </w:r>
    </w:p>
    <w:p>
      <w:pPr>
        <w:pStyle w:val="ListParagraph"/>
        <w:numPr>
          <w:ilvl w:val="0"/>
          <w:numId w:val="3"/>
        </w:numPr>
        <w:spacing w:after="60" w:line="270"/>
      </w:pPr>
      <w:r>
        <w:rPr>
          <w:rFonts w:ascii="Calibri" w:cs="Calibri" w:eastAsia="Calibri" w:hAnsi="Calibri"/>
          <w:color w:val="222222"/>
          <w:sz w:val="21"/>
          <w:szCs w:val="21"/>
        </w:rPr>
        <w:t xml:space="preserve">1.3 Input types (input modalities) — text-only vs. models that also support vision/image input, relevant when an agent must process documents or images.</w:t>
      </w:r>
    </w:p>
    <w:p>
      <w:pPr>
        <w:pStyle w:val="ListParagraph"/>
        <w:numPr>
          <w:ilvl w:val="0"/>
          <w:numId w:val="3"/>
        </w:numPr>
        <w:spacing w:after="60" w:line="270"/>
      </w:pPr>
      <w:r>
        <w:rPr>
          <w:rFonts w:ascii="Calibri" w:cs="Calibri" w:eastAsia="Calibri" w:hAnsi="Calibri"/>
          <w:color w:val="222222"/>
          <w:sz w:val="21"/>
          <w:szCs w:val="21"/>
        </w:rPr>
        <w:t xml:space="preserve">1.4 Third-party models — watsonx Orchestrate supports IBM Granite models alongside third-party models (e.g., Llama, GPT-OSS, OpenAI, and models via AWS Bedrock/Amazon Bedrock, Groq, or Ollama for local development).</w:t>
      </w:r>
    </w:p>
    <w:p>
      <w:pPr>
        <w:spacing w:after="80" w:before="160"/>
      </w:pPr>
      <w:r>
        <w:rPr>
          <w:rFonts w:ascii="Calibri" w:cs="Calibri" w:eastAsia="Calibri" w:hAnsi="Calibri"/>
          <w:b/>
          <w:bCs/>
          <w:i/>
          <w:iCs/>
          <w:color w:val="C9A227"/>
          <w:sz w:val="21"/>
          <w:szCs w:val="21"/>
        </w:rPr>
        <w:t xml:space="preserve">1.4.1 Which third-party models are available</w:t>
      </w:r>
    </w:p>
    <w:p>
      <w:pPr>
        <w:spacing w:after="120" w:line="276"/>
      </w:pPr>
      <w:r>
        <w:rPr>
          <w:rFonts w:ascii="Calibri" w:cs="Calibri" w:eastAsia="Calibri" w:hAnsi="Calibri"/>
          <w:color w:val="222222"/>
          <w:sz w:val="21"/>
          <w:szCs w:val="21"/>
        </w:rPr>
        <w:t xml:space="preserve">Availability varies by deployment (IBM Cloud, AWS, AWS GovCloud, on-premises) and region. Recommended/default models are periodically updated (for example, GPT-OSS 120B has been introduced as a default option via Amazon Bedrock/GroqCloud in some regions, alongside IBM-hosted Granite and Llama models), and deprecated models are flagged with a migration path rather than removed abruptly.</w:t>
      </w:r>
    </w:p>
    <w:p>
      <w:pPr>
        <w:spacing w:after="150"/>
      </w:pPr>
    </w:p>
    <w:tbl>
      <w:tblPr>
        <w:tblW w:type="pct" w:w="100%"/>
        <w:tblBorders>
          <w:top w:val="none"/>
          <w:left w:val="none"/>
          <w:bottom w:val="single" w:color="C9A227" w:sz="6"/>
          <w:right w:val="none"/>
          <w:insideH w:val="none"/>
          <w:insideV w:val="none"/>
        </w:tblBorders>
      </w:tblPr>
      <w:tblGrid>
        <w:gridCol w:w="100"/>
      </w:tblGrid>
      <w:tr>
        <w:tc>
          <w:tcPr>
            <w:shd w:fill="F2F2F2" w:val="clear"/>
            <w:tcMar>
              <w:top w:type="dxa" w:w="120"/>
              <w:left w:type="dxa" w:w="200"/>
              <w:bottom w:type="dxa" w:w="120"/>
              <w:right w:type="dxa" w:w="200"/>
            </w:tcMar>
          </w:tcPr>
          <w:p>
            <w:r>
              <w:rPr>
                <w:rFonts w:ascii="Calibri" w:cs="Calibri" w:eastAsia="Calibri" w:hAnsi="Calibri"/>
                <w:b/>
                <w:bCs/>
                <w:color w:val="C9A227"/>
                <w:sz w:val="23"/>
                <w:szCs w:val="23"/>
              </w:rPr>
              <w:t xml:space="preserve">TASK 5.3  </w:t>
            </w:r>
            <w:r>
              <w:rPr>
                <w:rFonts w:ascii="Calibri" w:cs="Calibri" w:eastAsia="Calibri" w:hAnsi="Calibri"/>
                <w:b/>
                <w:bCs/>
                <w:color w:val="1B2A4A"/>
                <w:sz w:val="23"/>
                <w:szCs w:val="23"/>
              </w:rPr>
              <w:t xml:space="preserve">Integrate with the AI Gateway</w:t>
            </w:r>
          </w:p>
        </w:tc>
      </w:tr>
    </w:tbl>
    <w:p>
      <w:pPr>
        <w:spacing w:after="100"/>
      </w:pPr>
    </w:p>
    <w:p>
      <w:pPr>
        <w:pStyle w:val="Heading3"/>
        <w:spacing w:after="100" w:before="220"/>
      </w:pPr>
      <w:r>
        <w:rPr>
          <w:rFonts w:ascii="Calibri" w:cs="Calibri" w:eastAsia="Calibri" w:hAnsi="Calibri"/>
          <w:b/>
          <w:bCs/>
          <w:color w:val="0F1B33"/>
          <w:sz w:val="23"/>
          <w:szCs w:val="23"/>
        </w:rPr>
        <w:t xml:space="preserve">1. Define AI Gateway</w:t>
      </w:r>
    </w:p>
    <w:p>
      <w:pPr>
        <w:pStyle w:val="ListParagraph"/>
        <w:numPr>
          <w:ilvl w:val="0"/>
          <w:numId w:val="3"/>
        </w:numPr>
        <w:spacing w:after="60" w:line="270"/>
      </w:pPr>
      <w:r>
        <w:rPr>
          <w:rFonts w:ascii="Calibri" w:cs="Calibri" w:eastAsia="Calibri" w:hAnsi="Calibri"/>
          <w:color w:val="222222"/>
          <w:sz w:val="21"/>
          <w:szCs w:val="21"/>
        </w:rPr>
        <w:t xml:space="preserve">1.1 Business value — a single, unified interface to route and format requests across multiple model providers, avoiding one-off integration code per provider and enabling flexibility to switch or combine providers without re-architecting agents.</w:t>
      </w:r>
    </w:p>
    <w:p>
      <w:pPr>
        <w:pStyle w:val="ListParagraph"/>
        <w:numPr>
          <w:ilvl w:val="0"/>
          <w:numId w:val="3"/>
        </w:numPr>
        <w:spacing w:after="60" w:line="270"/>
      </w:pPr>
      <w:r>
        <w:rPr>
          <w:rFonts w:ascii="Calibri" w:cs="Calibri" w:eastAsia="Calibri" w:hAnsi="Calibri"/>
          <w:color w:val="222222"/>
          <w:sz w:val="21"/>
          <w:szCs w:val="21"/>
        </w:rPr>
        <w:t xml:space="preserve">1.2 Features — model/embedding registration, routing policies (default model, failover, load balancing), and centralized credential management (e.g., integration with a secrets manager).</w:t>
      </w:r>
    </w:p>
    <w:p>
      <w:pPr>
        <w:pStyle w:val="Heading3"/>
        <w:spacing w:after="100" w:before="220"/>
      </w:pPr>
      <w:r>
        <w:rPr>
          <w:rFonts w:ascii="Calibri" w:cs="Calibri" w:eastAsia="Calibri" w:hAnsi="Calibri"/>
          <w:b/>
          <w:bCs/>
          <w:color w:val="0F1B33"/>
          <w:sz w:val="23"/>
          <w:szCs w:val="23"/>
        </w:rPr>
        <w:t xml:space="preserve">2. Describe how AI Gateway enables multi-model and multi-provider orchestration</w:t>
      </w:r>
    </w:p>
    <w:p>
      <w:pPr>
        <w:spacing w:after="120" w:line="276"/>
      </w:pPr>
      <w:r>
        <w:rPr>
          <w:rFonts w:ascii="Calibri" w:cs="Calibri" w:eastAsia="Calibri" w:hAnsi="Calibri"/>
          <w:color w:val="222222"/>
          <w:sz w:val="21"/>
          <w:szCs w:val="21"/>
        </w:rPr>
        <w:t xml:space="preserve">Agents and workflows reference a model logically (e.g., by virtual model name); the AI Gateway resolves that reference to the actual configured provider/endpoint at runtime, so multiple models from different providers can be swapped, load-balanced, or failed-over without changing agent definitions.</w:t>
      </w:r>
    </w:p>
    <w:p>
      <w:pPr>
        <w:pStyle w:val="Heading3"/>
        <w:spacing w:after="100" w:before="220"/>
      </w:pPr>
      <w:r>
        <w:rPr>
          <w:rFonts w:ascii="Calibri" w:cs="Calibri" w:eastAsia="Calibri" w:hAnsi="Calibri"/>
          <w:b/>
          <w:bCs/>
          <w:color w:val="0F1B33"/>
          <w:sz w:val="23"/>
          <w:szCs w:val="23"/>
        </w:rPr>
        <w:t xml:space="preserve">3. Describe example use cases that AI Gateway supports</w:t>
      </w:r>
    </w:p>
    <w:p>
      <w:pPr>
        <w:pStyle w:val="ListParagraph"/>
        <w:numPr>
          <w:ilvl w:val="0"/>
          <w:numId w:val="3"/>
        </w:numPr>
        <w:spacing w:after="60" w:line="270"/>
      </w:pPr>
      <w:r>
        <w:rPr>
          <w:rFonts w:ascii="Calibri" w:cs="Calibri" w:eastAsia="Calibri" w:hAnsi="Calibri"/>
          <w:color w:val="222222"/>
          <w:sz w:val="21"/>
          <w:szCs w:val="21"/>
        </w:rPr>
        <w:t xml:space="preserve">Bring-your-own-model (BYOM) — connecting an external LLM (e.g., OpenAI GPT-4o) for a specific reasoning task such as Text2SQL generation.</w:t>
      </w:r>
    </w:p>
    <w:p>
      <w:pPr>
        <w:pStyle w:val="ListParagraph"/>
        <w:numPr>
          <w:ilvl w:val="0"/>
          <w:numId w:val="3"/>
        </w:numPr>
        <w:spacing w:after="60" w:line="270"/>
      </w:pPr>
      <w:r>
        <w:rPr>
          <w:rFonts w:ascii="Calibri" w:cs="Calibri" w:eastAsia="Calibri" w:hAnsi="Calibri"/>
          <w:color w:val="222222"/>
          <w:sz w:val="21"/>
          <w:szCs w:val="21"/>
        </w:rPr>
        <w:t xml:space="preserve">Running lightweight/local models (e.g., via Ollama) for development without cloud dependency.</w:t>
      </w:r>
    </w:p>
    <w:p>
      <w:pPr>
        <w:pStyle w:val="ListParagraph"/>
        <w:numPr>
          <w:ilvl w:val="0"/>
          <w:numId w:val="3"/>
        </w:numPr>
        <w:spacing w:after="60" w:line="270"/>
      </w:pPr>
      <w:r>
        <w:rPr>
          <w:rFonts w:ascii="Calibri" w:cs="Calibri" w:eastAsia="Calibri" w:hAnsi="Calibri"/>
          <w:color w:val="222222"/>
          <w:sz w:val="21"/>
          <w:szCs w:val="21"/>
        </w:rPr>
        <w:t xml:space="preserve">Registering embedding models for knowledge-base semantic search.</w:t>
      </w:r>
    </w:p>
    <w:p>
      <w:pPr>
        <w:pStyle w:val="Heading3"/>
        <w:spacing w:after="100" w:before="220"/>
      </w:pPr>
      <w:r>
        <w:rPr>
          <w:rFonts w:ascii="Calibri" w:cs="Calibri" w:eastAsia="Calibri" w:hAnsi="Calibri"/>
          <w:b/>
          <w:bCs/>
          <w:color w:val="0F1B33"/>
          <w:sz w:val="23"/>
          <w:szCs w:val="23"/>
        </w:rPr>
        <w:t xml:space="preserve">4. List the deployment models for AI Gateway</w:t>
      </w:r>
    </w:p>
    <w:p>
      <w:pPr>
        <w:spacing w:after="120" w:line="276"/>
      </w:pPr>
      <w:r>
        <w:rPr>
          <w:rFonts w:ascii="Calibri" w:cs="Calibri" w:eastAsia="Calibri" w:hAnsi="Calibri"/>
          <w:color w:val="222222"/>
          <w:sz w:val="21"/>
          <w:szCs w:val="21"/>
        </w:rPr>
        <w:t xml:space="preserve">AI Gateway configuration differs slightly by deployment: SaaS on IBM Cloud/AWS (models registered per service instance), and on-premises/Cloud Pak for Data deployments (models registered via REST API calls scoped to the on-prem instance) — in both cases, at least one default LLM and one default embedding model should be registered per instance.</w:t>
      </w:r>
    </w:p>
    <w:p>
      <w:pPr>
        <w:pStyle w:val="Heading3"/>
        <w:spacing w:after="100" w:before="220"/>
      </w:pPr>
      <w:r>
        <w:rPr>
          <w:rFonts w:ascii="Calibri" w:cs="Calibri" w:eastAsia="Calibri" w:hAnsi="Calibri"/>
          <w:b/>
          <w:bCs/>
          <w:color w:val="0F1B33"/>
          <w:sz w:val="23"/>
          <w:szCs w:val="23"/>
        </w:rPr>
        <w:t xml:space="preserve">5. Summarize the capabilities of AI Gateway</w:t>
      </w:r>
    </w:p>
    <w:p>
      <w:pPr>
        <w:pStyle w:val="ListParagraph"/>
        <w:numPr>
          <w:ilvl w:val="0"/>
          <w:numId w:val="3"/>
        </w:numPr>
        <w:spacing w:after="60" w:line="270"/>
      </w:pPr>
      <w:r>
        <w:rPr>
          <w:rFonts w:ascii="Calibri" w:cs="Calibri" w:eastAsia="Calibri" w:hAnsi="Calibri"/>
          <w:color w:val="222222"/>
          <w:sz w:val="21"/>
          <w:szCs w:val="21"/>
        </w:rPr>
        <w:t xml:space="preserve">Centralised model registration across providers (IBM, AWS Bedrock, OpenAI-compatible, Ollama, and others).</w:t>
      </w:r>
    </w:p>
    <w:p>
      <w:pPr>
        <w:pStyle w:val="ListParagraph"/>
        <w:numPr>
          <w:ilvl w:val="0"/>
          <w:numId w:val="3"/>
        </w:numPr>
        <w:spacing w:after="60" w:line="270"/>
      </w:pPr>
      <w:r>
        <w:rPr>
          <w:rFonts w:ascii="Calibri" w:cs="Calibri" w:eastAsia="Calibri" w:hAnsi="Calibri"/>
          <w:color w:val="222222"/>
          <w:sz w:val="21"/>
          <w:szCs w:val="21"/>
        </w:rPr>
        <w:t xml:space="preserve">Default-model and default-embedding-model tagging per tenant/instance.</w:t>
      </w:r>
    </w:p>
    <w:p>
      <w:pPr>
        <w:pStyle w:val="ListParagraph"/>
        <w:numPr>
          <w:ilvl w:val="0"/>
          <w:numId w:val="3"/>
        </w:numPr>
        <w:spacing w:after="60" w:line="270"/>
      </w:pPr>
      <w:r>
        <w:rPr>
          <w:rFonts w:ascii="Calibri" w:cs="Calibri" w:eastAsia="Calibri" w:hAnsi="Calibri"/>
          <w:color w:val="222222"/>
          <w:sz w:val="21"/>
          <w:szCs w:val="21"/>
        </w:rPr>
        <w:t xml:space="preserve">Support for virtual models that abstract the underlying provider from the agent definition.</w:t>
      </w:r>
    </w:p>
    <w:p>
      <w:pPr>
        <w:pStyle w:val="ListParagraph"/>
        <w:numPr>
          <w:ilvl w:val="0"/>
          <w:numId w:val="3"/>
        </w:numPr>
        <w:spacing w:after="60" w:line="270"/>
      </w:pPr>
      <w:r>
        <w:rPr>
          <w:rFonts w:ascii="Calibri" w:cs="Calibri" w:eastAsia="Calibri" w:hAnsi="Calibri"/>
          <w:color w:val="222222"/>
          <w:sz w:val="21"/>
          <w:szCs w:val="21"/>
        </w:rPr>
        <w:t xml:space="preserve">Awareness of feature-compatibility limits (e.g., some legacy Tool Flow or semantic-search features require specific in-flight models rather than externally gateway-routed ones).</w:t>
      </w:r>
    </w:p>
    <w:p>
      <w:pPr>
        <w:spacing w:after="150"/>
      </w:pPr>
    </w:p>
    <w:tbl>
      <w:tblPr>
        <w:tblW w:type="pct" w:w="100%"/>
        <w:tblBorders>
          <w:top w:val="none"/>
          <w:left w:val="none"/>
          <w:bottom w:val="single" w:color="C9A227" w:sz="6"/>
          <w:right w:val="none"/>
          <w:insideH w:val="none"/>
          <w:insideV w:val="none"/>
        </w:tblBorders>
      </w:tblPr>
      <w:tblGrid>
        <w:gridCol w:w="100"/>
      </w:tblGrid>
      <w:tr>
        <w:tc>
          <w:tcPr>
            <w:shd w:fill="F2F2F2" w:val="clear"/>
            <w:tcMar>
              <w:top w:type="dxa" w:w="120"/>
              <w:left w:type="dxa" w:w="200"/>
              <w:bottom w:type="dxa" w:w="120"/>
              <w:right w:type="dxa" w:w="200"/>
            </w:tcMar>
          </w:tcPr>
          <w:p>
            <w:r>
              <w:rPr>
                <w:rFonts w:ascii="Calibri" w:cs="Calibri" w:eastAsia="Calibri" w:hAnsi="Calibri"/>
                <w:b/>
                <w:bCs/>
                <w:color w:val="C9A227"/>
                <w:sz w:val="23"/>
                <w:szCs w:val="23"/>
              </w:rPr>
              <w:t xml:space="preserve">TASK 5.4  </w:t>
            </w:r>
            <w:r>
              <w:rPr>
                <w:rFonts w:ascii="Calibri" w:cs="Calibri" w:eastAsia="Calibri" w:hAnsi="Calibri"/>
                <w:b/>
                <w:bCs/>
                <w:color w:val="1B2A4A"/>
                <w:sz w:val="23"/>
                <w:szCs w:val="23"/>
              </w:rPr>
              <w:t xml:space="preserve">Configure Model Policies</w:t>
            </w:r>
          </w:p>
        </w:tc>
      </w:tr>
    </w:tbl>
    <w:p>
      <w:pPr>
        <w:spacing w:after="100"/>
      </w:pPr>
    </w:p>
    <w:p>
      <w:pPr>
        <w:pStyle w:val="Heading3"/>
        <w:spacing w:after="100" w:before="220"/>
      </w:pPr>
      <w:r>
        <w:rPr>
          <w:rFonts w:ascii="Calibri" w:cs="Calibri" w:eastAsia="Calibri" w:hAnsi="Calibri"/>
          <w:b/>
          <w:bCs/>
          <w:color w:val="0F1B33"/>
          <w:sz w:val="23"/>
          <w:szCs w:val="23"/>
        </w:rPr>
        <w:t xml:space="preserve">1. Identify different types of model policies</w:t>
      </w:r>
    </w:p>
    <w:p>
      <w:pPr>
        <w:spacing w:after="120" w:line="276"/>
      </w:pPr>
      <w:r>
        <w:rPr>
          <w:rFonts w:ascii="Calibri" w:cs="Calibri" w:eastAsia="Calibri" w:hAnsi="Calibri"/>
          <w:color w:val="222222"/>
          <w:sz w:val="21"/>
          <w:szCs w:val="21"/>
        </w:rPr>
        <w:t xml:space="preserve">Model policies govern how a registered pool of models is used — commonly including default/primary model assignment, failover ordering, and load-balancing/routing rules across equivalent models.</w:t>
      </w:r>
    </w:p>
    <w:p>
      <w:pPr>
        <w:pStyle w:val="Heading3"/>
        <w:spacing w:after="100" w:before="220"/>
      </w:pPr>
      <w:r>
        <w:rPr>
          <w:rFonts w:ascii="Calibri" w:cs="Calibri" w:eastAsia="Calibri" w:hAnsi="Calibri"/>
          <w:b/>
          <w:bCs/>
          <w:color w:val="0F1B33"/>
          <w:sz w:val="23"/>
          <w:szCs w:val="23"/>
        </w:rPr>
        <w:t xml:space="preserve">2. Understand how to create, edit, update, and remove model policies</w:t>
      </w:r>
    </w:p>
    <w:p>
      <w:pPr>
        <w:spacing w:after="120" w:line="276"/>
      </w:pPr>
      <w:r>
        <w:rPr>
          <w:rFonts w:ascii="Calibri" w:cs="Calibri" w:eastAsia="Calibri" w:hAnsi="Calibri"/>
          <w:color w:val="222222"/>
          <w:sz w:val="21"/>
          <w:szCs w:val="21"/>
        </w:rPr>
        <w:t xml:space="preserve">Policies are managed through the AI Gateway/model administration interface (or via ADK/API for on-prem and automated deployments), allowing a policy to be created against a named pool of models, edited as provider availability changes, and removed when no longer needed.</w:t>
      </w:r>
    </w:p>
    <w:p>
      <w:pPr>
        <w:pStyle w:val="Heading3"/>
        <w:spacing w:after="100" w:before="220"/>
      </w:pPr>
      <w:r>
        <w:rPr>
          <w:rFonts w:ascii="Calibri" w:cs="Calibri" w:eastAsia="Calibri" w:hAnsi="Calibri"/>
          <w:b/>
          <w:bCs/>
          <w:color w:val="0F1B33"/>
          <w:sz w:val="23"/>
          <w:szCs w:val="23"/>
        </w:rPr>
        <w:t xml:space="preserve">3. Understand when to apply specific model policies</w:t>
      </w:r>
    </w:p>
    <w:p>
      <w:pPr>
        <w:pStyle w:val="ListParagraph"/>
        <w:numPr>
          <w:ilvl w:val="0"/>
          <w:numId w:val="3"/>
        </w:numPr>
        <w:spacing w:after="60" w:line="270"/>
      </w:pPr>
      <w:r>
        <w:rPr>
          <w:rFonts w:ascii="Calibri" w:cs="Calibri" w:eastAsia="Calibri" w:hAnsi="Calibri"/>
          <w:color w:val="222222"/>
          <w:sz w:val="21"/>
          <w:szCs w:val="21"/>
        </w:rPr>
        <w:t xml:space="preserve">3.1 Selection and failover — policies determine which model is tried first and which backup model(s) are used if the primary is unavailable or rate-limited.</w:t>
      </w:r>
    </w:p>
    <w:p>
      <w:pPr>
        <w:pStyle w:val="ListParagraph"/>
        <w:numPr>
          <w:ilvl w:val="0"/>
          <w:numId w:val="3"/>
        </w:numPr>
        <w:spacing w:after="60" w:line="270"/>
      </w:pPr>
      <w:r>
        <w:rPr>
          <w:rFonts w:ascii="Calibri" w:cs="Calibri" w:eastAsia="Calibri" w:hAnsi="Calibri"/>
          <w:color w:val="222222"/>
          <w:sz w:val="21"/>
          <w:szCs w:val="21"/>
        </w:rPr>
        <w:t xml:space="preserve">3.2 Agent ops and governance dashboards — usage, cost, and performance visibility surfaced through governance dashboards often informs when a new or adjusted model policy is warranted.</w:t>
      </w:r>
    </w:p>
    <w:p>
      <w:pPr>
        <w:pStyle w:val="ListParagraph"/>
        <w:numPr>
          <w:ilvl w:val="0"/>
          <w:numId w:val="3"/>
        </w:numPr>
        <w:spacing w:after="60" w:line="270"/>
      </w:pPr>
      <w:r>
        <w:rPr>
          <w:rFonts w:ascii="Calibri" w:cs="Calibri" w:eastAsia="Calibri" w:hAnsi="Calibri"/>
          <w:color w:val="222222"/>
          <w:sz w:val="21"/>
          <w:szCs w:val="21"/>
        </w:rPr>
        <w:t xml:space="preserve">3.3 Guardrails through model policies — policies can also enforce which models are permitted for which use cases (e.g., restricting a sensitive workflow to an approved, audited model).</w:t>
      </w:r>
    </w:p>
    <w:p>
      <w:pPr>
        <w:pStyle w:val="Heading3"/>
        <w:spacing w:after="100" w:before="220"/>
      </w:pPr>
      <w:r>
        <w:rPr>
          <w:rFonts w:ascii="Calibri" w:cs="Calibri" w:eastAsia="Calibri" w:hAnsi="Calibri"/>
          <w:b/>
          <w:bCs/>
          <w:color w:val="0F1B33"/>
          <w:sz w:val="23"/>
          <w:szCs w:val="23"/>
        </w:rPr>
        <w:t xml:space="preserve">4. Understand how to import existing model policies for reuse across environments</w:t>
      </w:r>
    </w:p>
    <w:p>
      <w:pPr>
        <w:spacing w:after="120" w:line="276"/>
      </w:pPr>
      <w:r>
        <w:rPr>
          <w:rFonts w:ascii="Calibri" w:cs="Calibri" w:eastAsia="Calibri" w:hAnsi="Calibri"/>
          <w:color w:val="222222"/>
          <w:sz w:val="21"/>
          <w:szCs w:val="21"/>
        </w:rPr>
        <w:t xml:space="preserve">Model policy definitions can be exported/imported (similar to other ADK-managed assets) so that a policy validated in Dev or Test can be promoted consistently into Prod, rather than being manually recreated per environment.</w:t>
      </w:r>
    </w:p>
    <w:p>
      <w:r>
        <w:br w:type="page"/>
      </w:r>
    </w:p>
    <w:tbl>
      <w:tblPr>
        <w:tblW w:type="pct" w:w="100%"/>
        <w:tblBorders>
          <w:top w:val="none"/>
          <w:left w:val="none"/>
          <w:bottom w:val="none"/>
          <w:right w:val="none"/>
          <w:insideH w:val="none"/>
          <w:insideV w:val="none"/>
        </w:tblBorders>
      </w:tblPr>
      <w:tblGrid>
        <w:gridCol w:w="100"/>
      </w:tblGrid>
      <w:tr>
        <w:tc>
          <w:tcPr>
            <w:tcW w:type="pct" w:w="100%"/>
            <w:shd w:fill="1B2A4A" w:val="clear"/>
            <w:tcMar>
              <w:top w:type="dxa" w:w="200"/>
              <w:left w:type="dxa" w:w="250"/>
              <w:bottom w:type="dxa" w:w="200"/>
              <w:right w:type="dxa" w:w="250"/>
            </w:tcMar>
          </w:tcPr>
          <w:p>
            <w:r>
              <w:rPr>
                <w:rFonts w:ascii="Calibri" w:cs="Calibri" w:eastAsia="Calibri" w:hAnsi="Calibri"/>
                <w:b/>
                <w:bCs/>
                <w:color w:val="C9A227"/>
                <w:sz w:val="20"/>
                <w:szCs w:val="20"/>
              </w:rPr>
              <w:t xml:space="preserve">SECTION 6</w:t>
            </w:r>
          </w:p>
          <w:p>
            <w:pPr>
              <w:spacing w:before="60"/>
            </w:pPr>
            <w:r>
              <w:rPr>
                <w:rFonts w:ascii="Calibri" w:cs="Calibri" w:eastAsia="Calibri" w:hAnsi="Calibri"/>
                <w:b/>
                <w:bCs/>
                <w:color w:val="FFFFFF"/>
                <w:sz w:val="30"/>
                <w:szCs w:val="30"/>
              </w:rPr>
              <w:t xml:space="preserve">Security, Compliance, and Observability</w:t>
            </w:r>
          </w:p>
          <w:p>
            <w:pPr>
              <w:spacing w:before="60"/>
            </w:pPr>
            <w:r>
              <w:rPr>
                <w:rFonts w:ascii="Calibri" w:cs="Calibri" w:eastAsia="Calibri" w:hAnsi="Calibri"/>
                <w:i/>
                <w:iCs/>
                <w:color w:val="F5E9C6"/>
                <w:sz w:val="20"/>
                <w:szCs w:val="20"/>
              </w:rPr>
              <w:t xml:space="preserve">Exam Weight: approximately 11% of the C1000-207 exam</w:t>
            </w:r>
          </w:p>
        </w:tc>
      </w:tr>
    </w:tbl>
    <w:p>
      <w:pPr>
        <w:spacing w:after="200"/>
      </w:pPr>
    </w:p>
    <w:p>
      <w:pPr>
        <w:spacing w:after="120" w:line="276"/>
      </w:pPr>
      <w:r>
        <w:rPr>
          <w:rFonts w:ascii="Calibri" w:cs="Calibri" w:eastAsia="Calibri" w:hAnsi="Calibri"/>
          <w:color w:val="222222"/>
          <w:sz w:val="21"/>
          <w:szCs w:val="21"/>
        </w:rPr>
        <w:t xml:space="preserve">This section is operational in nature — it's about running agents responsibly at enterprise scale: who can do what (authN/authZ/RBAC), what gets logged and monitored, and how governance and compliance frameworks are embedded in the platform.</w:t>
      </w:r>
    </w:p>
    <w:tbl>
      <w:tblPr>
        <w:tblW w:type="pct" w:w="100%"/>
        <w:tblBorders>
          <w:top w:val="none"/>
          <w:left w:val="none"/>
          <w:bottom w:val="single" w:color="C9A227" w:sz="6"/>
          <w:right w:val="none"/>
          <w:insideH w:val="none"/>
          <w:insideV w:val="none"/>
        </w:tblBorders>
      </w:tblPr>
      <w:tblGrid>
        <w:gridCol w:w="100"/>
      </w:tblGrid>
      <w:tr>
        <w:tc>
          <w:tcPr>
            <w:shd w:fill="F2F2F2" w:val="clear"/>
            <w:tcMar>
              <w:top w:type="dxa" w:w="120"/>
              <w:left w:type="dxa" w:w="200"/>
              <w:bottom w:type="dxa" w:w="120"/>
              <w:right w:type="dxa" w:w="200"/>
            </w:tcMar>
          </w:tcPr>
          <w:p>
            <w:r>
              <w:rPr>
                <w:rFonts w:ascii="Calibri" w:cs="Calibri" w:eastAsia="Calibri" w:hAnsi="Calibri"/>
                <w:b/>
                <w:bCs/>
                <w:color w:val="C9A227"/>
                <w:sz w:val="23"/>
                <w:szCs w:val="23"/>
              </w:rPr>
              <w:t xml:space="preserve">TASK 6.1  </w:t>
            </w:r>
            <w:r>
              <w:rPr>
                <w:rFonts w:ascii="Calibri" w:cs="Calibri" w:eastAsia="Calibri" w:hAnsi="Calibri"/>
                <w:b/>
                <w:bCs/>
                <w:color w:val="1B2A4A"/>
                <w:sz w:val="23"/>
                <w:szCs w:val="23"/>
              </w:rPr>
              <w:t xml:space="preserve">Authenticate, Authorize, and Audit</w:t>
            </w:r>
          </w:p>
        </w:tc>
      </w:tr>
    </w:tbl>
    <w:p>
      <w:pPr>
        <w:spacing w:after="100"/>
      </w:pPr>
    </w:p>
    <w:p>
      <w:pPr>
        <w:pStyle w:val="Heading3"/>
        <w:spacing w:after="100" w:before="220"/>
      </w:pPr>
      <w:r>
        <w:rPr>
          <w:rFonts w:ascii="Calibri" w:cs="Calibri" w:eastAsia="Calibri" w:hAnsi="Calibri"/>
          <w:b/>
          <w:bCs/>
          <w:color w:val="0F1B33"/>
          <w:sz w:val="23"/>
          <w:szCs w:val="23"/>
        </w:rPr>
        <w:t xml:space="preserve">1. Understand the authentication mechanisms used in watsonx Orchestrate</w:t>
      </w:r>
    </w:p>
    <w:p>
      <w:pPr>
        <w:spacing w:after="120" w:line="276"/>
      </w:pPr>
      <w:r>
        <w:rPr>
          <w:rFonts w:ascii="Calibri" w:cs="Calibri" w:eastAsia="Calibri" w:hAnsi="Calibri"/>
          <w:color w:val="222222"/>
          <w:sz w:val="21"/>
          <w:szCs w:val="21"/>
        </w:rPr>
        <w:t xml:space="preserve">watsonx Orchestrate relies on standard enterprise identity mechanisms — API keys/tokens for programmatic (ADK/API) access, and federated identity/IAM integration for user sign-in — depending on the deployment (SaaS on IBM Cloud/AWS vs. on-premises Software Hub, which layers in Cloud Pak for Data's identity services).</w:t>
      </w:r>
    </w:p>
    <w:p>
      <w:pPr>
        <w:pStyle w:val="Heading3"/>
        <w:spacing w:after="100" w:before="220"/>
      </w:pPr>
      <w:r>
        <w:rPr>
          <w:rFonts w:ascii="Calibri" w:cs="Calibri" w:eastAsia="Calibri" w:hAnsi="Calibri"/>
          <w:b/>
          <w:bCs/>
          <w:color w:val="0F1B33"/>
          <w:sz w:val="23"/>
          <w:szCs w:val="23"/>
        </w:rPr>
        <w:t xml:space="preserve">2. Understand how RBAC governs user permissions and task execution</w:t>
      </w:r>
    </w:p>
    <w:p>
      <w:pPr>
        <w:spacing w:after="120" w:line="276"/>
      </w:pPr>
      <w:r>
        <w:rPr>
          <w:rFonts w:ascii="Calibri" w:cs="Calibri" w:eastAsia="Calibri" w:hAnsi="Calibri"/>
          <w:color w:val="222222"/>
          <w:sz w:val="21"/>
          <w:szCs w:val="21"/>
        </w:rPr>
        <w:t xml:space="preserve">watsonx Orchestrate defines distinct roles with varying levels of access and privileges, ensuring users only have the permissions necessary to perform their specific tasks (e.g., building vs. deploying vs. only chatting with an agent) — this extends to team-scoped workspaces in the Agent Catalog, so agent visibility and edit rights can be restricted by team.</w:t>
      </w:r>
    </w:p>
    <w:p>
      <w:pPr>
        <w:pStyle w:val="Heading3"/>
        <w:spacing w:after="100" w:before="220"/>
      </w:pPr>
      <w:r>
        <w:rPr>
          <w:rFonts w:ascii="Calibri" w:cs="Calibri" w:eastAsia="Calibri" w:hAnsi="Calibri"/>
          <w:b/>
          <w:bCs/>
          <w:color w:val="0F1B33"/>
          <w:sz w:val="23"/>
          <w:szCs w:val="23"/>
        </w:rPr>
        <w:t xml:space="preserve">3. Learn how authentication and authorization are applied across Orchestrate services</w:t>
      </w:r>
    </w:p>
    <w:p>
      <w:pPr>
        <w:spacing w:after="120" w:line="276"/>
      </w:pPr>
      <w:r>
        <w:rPr>
          <w:rFonts w:ascii="Calibri" w:cs="Calibri" w:eastAsia="Calibri" w:hAnsi="Calibri"/>
          <w:color w:val="222222"/>
          <w:sz w:val="21"/>
          <w:szCs w:val="21"/>
        </w:rPr>
        <w:t xml:space="preserve">AuthN/authZ apply consistently across the agent runtime, the Catalog, connections/credentials, and the ADK/API surface — a user or service account's role determines what it can see and do at each of these layers, not just in the main UI.</w:t>
      </w:r>
    </w:p>
    <w:p>
      <w:pPr>
        <w:pStyle w:val="Heading3"/>
        <w:spacing w:after="100" w:before="220"/>
      </w:pPr>
      <w:r>
        <w:rPr>
          <w:rFonts w:ascii="Calibri" w:cs="Calibri" w:eastAsia="Calibri" w:hAnsi="Calibri"/>
          <w:b/>
          <w:bCs/>
          <w:color w:val="0F1B33"/>
          <w:sz w:val="23"/>
          <w:szCs w:val="23"/>
        </w:rPr>
        <w:t xml:space="preserve">4. Understand how to configure secure connections for Orchestrate APIs and gateways</w:t>
      </w:r>
    </w:p>
    <w:p>
      <w:pPr>
        <w:spacing w:after="120" w:line="276"/>
      </w:pPr>
      <w:r>
        <w:rPr>
          <w:rFonts w:ascii="Calibri" w:cs="Calibri" w:eastAsia="Calibri" w:hAnsi="Calibri"/>
          <w:color w:val="222222"/>
          <w:sz w:val="21"/>
          <w:szCs w:val="21"/>
        </w:rPr>
        <w:t xml:space="preserve">Connections encapsulate credentials (API keys, OAuth tokens, basic auth) and endpoints for both inbound (someone calling into Orchestrate's API) and outbound (Orchestrate calling an external system) access, and should be scoped and rotated according to enterprise security policy.</w:t>
      </w:r>
    </w:p>
    <w:p>
      <w:pPr>
        <w:pStyle w:val="Heading3"/>
        <w:spacing w:after="100" w:before="220"/>
      </w:pPr>
      <w:r>
        <w:rPr>
          <w:rFonts w:ascii="Calibri" w:cs="Calibri" w:eastAsia="Calibri" w:hAnsi="Calibri"/>
          <w:b/>
          <w:bCs/>
          <w:color w:val="0F1B33"/>
          <w:sz w:val="23"/>
          <w:szCs w:val="23"/>
        </w:rPr>
        <w:t xml:space="preserve">5. Learn how to enable and interpret activity and audit logs</w:t>
      </w:r>
    </w:p>
    <w:p>
      <w:pPr>
        <w:spacing w:after="120" w:line="276"/>
      </w:pPr>
      <w:r>
        <w:rPr>
          <w:rFonts w:ascii="Calibri" w:cs="Calibri" w:eastAsia="Calibri" w:hAnsi="Calibri"/>
          <w:color w:val="222222"/>
          <w:sz w:val="21"/>
          <w:szCs w:val="21"/>
        </w:rPr>
        <w:t xml:space="preserve">Audit logs are detailed records of events and activities occurring during use of watsonx Orchestrate — essential for monitoring system behaviour, diagnosing issues, ensuring compliance, and investigating security incidents; they can be enabled and reviewed per deployment type (IBM Cloud, AWS, on-premises).</w:t>
      </w:r>
    </w:p>
    <w:p>
      <w:pPr>
        <w:pStyle w:val="Heading3"/>
        <w:spacing w:after="100" w:before="220"/>
      </w:pPr>
      <w:r>
        <w:rPr>
          <w:rFonts w:ascii="Calibri" w:cs="Calibri" w:eastAsia="Calibri" w:hAnsi="Calibri"/>
          <w:b/>
          <w:bCs/>
          <w:color w:val="0F1B33"/>
          <w:sz w:val="23"/>
          <w:szCs w:val="23"/>
        </w:rPr>
        <w:t xml:space="preserve">6. Understand the security checklist for authentication, authorization, and audit compliance</w:t>
      </w:r>
    </w:p>
    <w:p>
      <w:pPr>
        <w:spacing w:after="120" w:line="276"/>
      </w:pPr>
      <w:r>
        <w:rPr>
          <w:rFonts w:ascii="Calibri" w:cs="Calibri" w:eastAsia="Calibri" w:hAnsi="Calibri"/>
          <w:color w:val="222222"/>
          <w:sz w:val="21"/>
          <w:szCs w:val="21"/>
        </w:rPr>
        <w:t xml:space="preserve">IBM publishes a security checklist covering these three areas so that administrators can systematically verify: identity mechanisms are configured correctly, RBAC roles are assigned appropriately, and audit logging is enabled and retained per policy.</w:t>
      </w:r>
    </w:p>
    <w:p>
      <w:pPr>
        <w:pStyle w:val="Heading3"/>
        <w:spacing w:after="100" w:before="220"/>
      </w:pPr>
      <w:r>
        <w:rPr>
          <w:rFonts w:ascii="Calibri" w:cs="Calibri" w:eastAsia="Calibri" w:hAnsi="Calibri"/>
          <w:b/>
          <w:bCs/>
          <w:color w:val="0F1B33"/>
          <w:sz w:val="23"/>
          <w:szCs w:val="23"/>
        </w:rPr>
        <w:t xml:space="preserve">7. Understand how to manage secure connections and integration</w:t>
      </w:r>
    </w:p>
    <w:p>
      <w:pPr>
        <w:spacing w:after="120" w:line="276"/>
      </w:pPr>
      <w:r>
        <w:rPr>
          <w:rFonts w:ascii="Calibri" w:cs="Calibri" w:eastAsia="Calibri" w:hAnsi="Calibri"/>
          <w:color w:val="222222"/>
          <w:sz w:val="21"/>
          <w:szCs w:val="21"/>
        </w:rPr>
        <w:t xml:space="preserve">This includes credential rotation, least-privilege scoping of connections, and using a secrets manager (where available) rather than embedding credentials directly in tool code or flow definitions.</w:t>
      </w:r>
    </w:p>
    <w:p>
      <w:pPr>
        <w:pStyle w:val="Heading3"/>
        <w:spacing w:after="100" w:before="220"/>
      </w:pPr>
      <w:r>
        <w:rPr>
          <w:rFonts w:ascii="Calibri" w:cs="Calibri" w:eastAsia="Calibri" w:hAnsi="Calibri"/>
          <w:b/>
          <w:bCs/>
          <w:color w:val="0F1B33"/>
          <w:sz w:val="23"/>
          <w:szCs w:val="23"/>
        </w:rPr>
        <w:t xml:space="preserve">8. Understand when to place authentication, authorization, and audit concerns in context</w:t>
      </w:r>
    </w:p>
    <w:p>
      <w:pPr>
        <w:spacing w:after="120" w:line="276"/>
      </w:pPr>
      <w:r>
        <w:rPr>
          <w:rFonts w:ascii="Calibri" w:cs="Calibri" w:eastAsia="Calibri" w:hAnsi="Calibri"/>
          <w:color w:val="222222"/>
          <w:sz w:val="21"/>
          <w:szCs w:val="21"/>
        </w:rPr>
        <w:t xml:space="preserve">These concerns should be considered at every stage of the agent lifecycle — design (what data/systems will this agent touch), build (which connections and roles are needed), test (does access behave as expected), and operate (are logs being captured and reviewed) — not bolted on only at deployment.</w:t>
      </w:r>
    </w:p>
    <w:p>
      <w:pPr>
        <w:spacing w:after="150"/>
      </w:pPr>
    </w:p>
    <w:tbl>
      <w:tblPr>
        <w:tblW w:type="pct" w:w="100%"/>
        <w:tblBorders>
          <w:top w:val="none"/>
          <w:left w:val="none"/>
          <w:bottom w:val="single" w:color="C9A227" w:sz="6"/>
          <w:right w:val="none"/>
          <w:insideH w:val="none"/>
          <w:insideV w:val="none"/>
        </w:tblBorders>
      </w:tblPr>
      <w:tblGrid>
        <w:gridCol w:w="100"/>
      </w:tblGrid>
      <w:tr>
        <w:tc>
          <w:tcPr>
            <w:shd w:fill="F2F2F2" w:val="clear"/>
            <w:tcMar>
              <w:top w:type="dxa" w:w="120"/>
              <w:left w:type="dxa" w:w="200"/>
              <w:bottom w:type="dxa" w:w="120"/>
              <w:right w:type="dxa" w:w="200"/>
            </w:tcMar>
          </w:tcPr>
          <w:p>
            <w:r>
              <w:rPr>
                <w:rFonts w:ascii="Calibri" w:cs="Calibri" w:eastAsia="Calibri" w:hAnsi="Calibri"/>
                <w:b/>
                <w:bCs/>
                <w:color w:val="C9A227"/>
                <w:sz w:val="23"/>
                <w:szCs w:val="23"/>
              </w:rPr>
              <w:t xml:space="preserve">TASK 6.2  </w:t>
            </w:r>
            <w:r>
              <w:rPr>
                <w:rFonts w:ascii="Calibri" w:cs="Calibri" w:eastAsia="Calibri" w:hAnsi="Calibri"/>
                <w:b/>
                <w:bCs/>
                <w:color w:val="1B2A4A"/>
                <w:sz w:val="23"/>
                <w:szCs w:val="23"/>
              </w:rPr>
              <w:t xml:space="preserve">Monitoring, Logging, and Observability</w:t>
            </w:r>
          </w:p>
        </w:tc>
      </w:tr>
    </w:tbl>
    <w:p>
      <w:pPr>
        <w:spacing w:after="100"/>
      </w:pPr>
    </w:p>
    <w:p>
      <w:pPr>
        <w:pStyle w:val="Heading3"/>
        <w:spacing w:after="100" w:before="220"/>
      </w:pPr>
      <w:r>
        <w:rPr>
          <w:rFonts w:ascii="Calibri" w:cs="Calibri" w:eastAsia="Calibri" w:hAnsi="Calibri"/>
          <w:b/>
          <w:bCs/>
          <w:color w:val="0F1B33"/>
          <w:sz w:val="23"/>
          <w:szCs w:val="23"/>
        </w:rPr>
        <w:t xml:space="preserve">1–2. Enable and access audit logs; enable and configure external logging</w:t>
      </w:r>
    </w:p>
    <w:p>
      <w:pPr>
        <w:spacing w:after="120" w:line="276"/>
      </w:pPr>
      <w:r>
        <w:rPr>
          <w:rFonts w:ascii="Calibri" w:cs="Calibri" w:eastAsia="Calibri" w:hAnsi="Calibri"/>
          <w:color w:val="222222"/>
          <w:sz w:val="21"/>
          <w:szCs w:val="21"/>
        </w:rPr>
        <w:t xml:space="preserve">Audit logs can be accessed through the platform's administration/logging interface, and can also be forwarded to external logging systems for centralized enterprise log management and longer retention.</w:t>
      </w:r>
    </w:p>
    <w:p>
      <w:pPr>
        <w:pStyle w:val="Heading3"/>
        <w:spacing w:after="100" w:before="220"/>
      </w:pPr>
      <w:r>
        <w:rPr>
          <w:rFonts w:ascii="Calibri" w:cs="Calibri" w:eastAsia="Calibri" w:hAnsi="Calibri"/>
          <w:b/>
          <w:bCs/>
          <w:color w:val="0F1B33"/>
          <w:sz w:val="23"/>
          <w:szCs w:val="23"/>
        </w:rPr>
        <w:t xml:space="preserve">3. Monitor agent analytics via built-in dashboards</w:t>
      </w:r>
    </w:p>
    <w:p>
      <w:pPr>
        <w:spacing w:after="120" w:line="276"/>
      </w:pPr>
      <w:r>
        <w:rPr>
          <w:rFonts w:ascii="Calibri" w:cs="Calibri" w:eastAsia="Calibri" w:hAnsi="Calibri"/>
          <w:color w:val="222222"/>
          <w:sz w:val="21"/>
          <w:szCs w:val="21"/>
        </w:rPr>
        <w:t xml:space="preserve">Built-in dashboards surface conversation/interaction metrics — volume, error rates, response times, and user satisfaction signals — giving operators visibility without needing a separate tool.</w:t>
      </w:r>
    </w:p>
    <w:p>
      <w:pPr>
        <w:pStyle w:val="Heading3"/>
        <w:spacing w:after="100" w:before="220"/>
      </w:pPr>
      <w:r>
        <w:rPr>
          <w:rFonts w:ascii="Calibri" w:cs="Calibri" w:eastAsia="Calibri" w:hAnsi="Calibri"/>
          <w:b/>
          <w:bCs/>
          <w:color w:val="0F1B33"/>
          <w:sz w:val="23"/>
          <w:szCs w:val="23"/>
        </w:rPr>
        <w:t xml:space="preserve">4. Understand how observability is supported and how to connect to external observability tools</w:t>
      </w:r>
    </w:p>
    <w:p>
      <w:pPr>
        <w:spacing w:after="120" w:line="276"/>
      </w:pPr>
      <w:r>
        <w:rPr>
          <w:rFonts w:ascii="Calibri" w:cs="Calibri" w:eastAsia="Calibri" w:hAnsi="Calibri"/>
          <w:color w:val="222222"/>
          <w:sz w:val="21"/>
          <w:szCs w:val="21"/>
        </w:rPr>
        <w:t xml:space="preserve">watsonx Orchestrate exposes observability and tracing across agent interactions and workflows, including OpenTelemetry-compatible traces, and integrates with external observability tools — most notably Langfuse, an open-source LLM observability platform — so every prompt, intermediate reasoning step, tool call, and final output can be inspected outside the native UI.</w:t>
      </w:r>
    </w:p>
    <w:p>
      <w:pPr>
        <w:pStyle w:val="Heading3"/>
        <w:spacing w:after="100" w:before="220"/>
      </w:pPr>
      <w:r>
        <w:rPr>
          <w:rFonts w:ascii="Calibri" w:cs="Calibri" w:eastAsia="Calibri" w:hAnsi="Calibri"/>
          <w:b/>
          <w:bCs/>
          <w:color w:val="0F1B33"/>
          <w:sz w:val="23"/>
          <w:szCs w:val="23"/>
        </w:rPr>
        <w:t xml:space="preserve">5. Understand how to interpret key observability metrics to diagnose performance and reliability issues</w:t>
      </w:r>
    </w:p>
    <w:p>
      <w:pPr>
        <w:spacing w:after="120" w:line="276"/>
      </w:pPr>
      <w:r>
        <w:rPr>
          <w:rFonts w:ascii="Calibri" w:cs="Calibri" w:eastAsia="Calibri" w:hAnsi="Calibri"/>
          <w:color w:val="222222"/>
          <w:sz w:val="21"/>
          <w:szCs w:val="21"/>
        </w:rPr>
        <w:t xml:space="preserve">Key signals include latency per step, tool-call success/failure rates, token usage/cost, and trajectory deviations (an agent calling the wrong tool, or skipping an expected step) — these help diagnose whether a problem is model reasoning, a broken tool/connection, or a data-quality issue in a knowledge base.</w:t>
      </w:r>
    </w:p>
    <w:p>
      <w:pPr>
        <w:pStyle w:val="Heading3"/>
        <w:spacing w:after="100" w:before="220"/>
      </w:pPr>
      <w:r>
        <w:rPr>
          <w:rFonts w:ascii="Calibri" w:cs="Calibri" w:eastAsia="Calibri" w:hAnsi="Calibri"/>
          <w:b/>
          <w:bCs/>
          <w:color w:val="0F1B33"/>
          <w:sz w:val="23"/>
          <w:szCs w:val="23"/>
        </w:rPr>
        <w:t xml:space="preserve">6. Understand how to monitor LLMs with Langfuse</w:t>
      </w:r>
    </w:p>
    <w:p>
      <w:pPr>
        <w:spacing w:after="120" w:line="276"/>
      </w:pPr>
      <w:r>
        <w:rPr>
          <w:rFonts w:ascii="Calibri" w:cs="Calibri" w:eastAsia="Calibri" w:hAnsi="Calibri"/>
          <w:color w:val="222222"/>
          <w:sz w:val="21"/>
          <w:szCs w:val="21"/>
        </w:rPr>
        <w:t xml:space="preserve">Langfuse has a native integration with the watsonx Orchestrate ADK that forwards telemetry (traces, spans, logs) automatically, letting developers inspect full execution traces — prompts, intermediate thoughts, tool calls, and outputs — for both local Developer Edition and deployed agents.</w:t>
      </w:r>
    </w:p>
    <w:p>
      <w:pPr>
        <w:spacing w:after="150"/>
      </w:pPr>
    </w:p>
    <w:tbl>
      <w:tblPr>
        <w:tblW w:type="pct" w:w="100%"/>
        <w:tblBorders>
          <w:top w:val="none"/>
          <w:left w:val="none"/>
          <w:bottom w:val="single" w:color="C9A227" w:sz="6"/>
          <w:right w:val="none"/>
          <w:insideH w:val="none"/>
          <w:insideV w:val="none"/>
        </w:tblBorders>
      </w:tblPr>
      <w:tblGrid>
        <w:gridCol w:w="100"/>
      </w:tblGrid>
      <w:tr>
        <w:tc>
          <w:tcPr>
            <w:shd w:fill="F2F2F2" w:val="clear"/>
            <w:tcMar>
              <w:top w:type="dxa" w:w="120"/>
              <w:left w:type="dxa" w:w="200"/>
              <w:bottom w:type="dxa" w:w="120"/>
              <w:right w:type="dxa" w:w="200"/>
            </w:tcMar>
          </w:tcPr>
          <w:p>
            <w:r>
              <w:rPr>
                <w:rFonts w:ascii="Calibri" w:cs="Calibri" w:eastAsia="Calibri" w:hAnsi="Calibri"/>
                <w:b/>
                <w:bCs/>
                <w:color w:val="C9A227"/>
                <w:sz w:val="23"/>
                <w:szCs w:val="23"/>
              </w:rPr>
              <w:t xml:space="preserve">TASK 6.3  </w:t>
            </w:r>
            <w:r>
              <w:rPr>
                <w:rFonts w:ascii="Calibri" w:cs="Calibri" w:eastAsia="Calibri" w:hAnsi="Calibri"/>
                <w:b/>
                <w:bCs/>
                <w:color w:val="1B2A4A"/>
                <w:sz w:val="23"/>
                <w:szCs w:val="23"/>
              </w:rPr>
              <w:t xml:space="preserve">Governance and Compliance</w:t>
            </w:r>
          </w:p>
        </w:tc>
      </w:tr>
    </w:tbl>
    <w:p>
      <w:pPr>
        <w:spacing w:after="100"/>
      </w:pPr>
    </w:p>
    <w:p>
      <w:pPr>
        <w:pStyle w:val="Heading3"/>
        <w:spacing w:after="100" w:before="220"/>
      </w:pPr>
      <w:r>
        <w:rPr>
          <w:rFonts w:ascii="Calibri" w:cs="Calibri" w:eastAsia="Calibri" w:hAnsi="Calibri"/>
          <w:b/>
          <w:bCs/>
          <w:color w:val="0F1B33"/>
          <w:sz w:val="23"/>
          <w:szCs w:val="23"/>
        </w:rPr>
        <w:t xml:space="preserve">1. Understand how watsonx Orchestrate provides built-in governance dashboards, policy controls, and monitoring</w:t>
      </w:r>
    </w:p>
    <w:p>
      <w:pPr>
        <w:spacing w:after="120" w:line="276"/>
      </w:pPr>
      <w:r>
        <w:rPr>
          <w:rFonts w:ascii="Calibri" w:cs="Calibri" w:eastAsia="Calibri" w:hAnsi="Calibri"/>
          <w:color w:val="222222"/>
          <w:sz w:val="21"/>
          <w:szCs w:val="21"/>
        </w:rPr>
        <w:t xml:space="preserve">A governed catalog and control-plane view give administrators a centralized way to see agent inventory, enforce policy (e.g., which models or tools are approved), and monitor performance/compliance across the entire agentic estate — regardless of which framework built each agent.</w:t>
      </w:r>
    </w:p>
    <w:p>
      <w:pPr>
        <w:pStyle w:val="Heading3"/>
        <w:spacing w:after="100" w:before="220"/>
      </w:pPr>
      <w:r>
        <w:rPr>
          <w:rFonts w:ascii="Calibri" w:cs="Calibri" w:eastAsia="Calibri" w:hAnsi="Calibri"/>
          <w:b/>
          <w:bCs/>
          <w:color w:val="0F1B33"/>
          <w:sz w:val="23"/>
          <w:szCs w:val="23"/>
        </w:rPr>
        <w:t xml:space="preserve">2. Understand how compliance controls are embedded</w:t>
      </w:r>
    </w:p>
    <w:p>
      <w:pPr>
        <w:spacing w:after="120" w:line="276"/>
      </w:pPr>
      <w:r>
        <w:rPr>
          <w:rFonts w:ascii="Calibri" w:cs="Calibri" w:eastAsia="Calibri" w:hAnsi="Calibri"/>
          <w:color w:val="222222"/>
          <w:sz w:val="21"/>
          <w:szCs w:val="21"/>
        </w:rPr>
        <w:t xml:space="preserve">Compliance controls are embedded through guideline/guardrail instructions on agents, input/output plug-ins that enforce data-handling and content rules automatically, model policies restricting approved models, and RBAC restricting who can change any of the above.</w:t>
      </w:r>
    </w:p>
    <w:p>
      <w:pPr>
        <w:pStyle w:val="Heading3"/>
        <w:spacing w:after="100" w:before="220"/>
      </w:pPr>
      <w:r>
        <w:rPr>
          <w:rFonts w:ascii="Calibri" w:cs="Calibri" w:eastAsia="Calibri" w:hAnsi="Calibri"/>
          <w:b/>
          <w:bCs/>
          <w:color w:val="0F1B33"/>
          <w:sz w:val="23"/>
          <w:szCs w:val="23"/>
        </w:rPr>
        <w:t xml:space="preserve">3. Understand how enterprise regulatory frameworks are supported</w:t>
      </w:r>
    </w:p>
    <w:p>
      <w:pPr>
        <w:spacing w:after="120" w:line="276"/>
      </w:pPr>
      <w:r>
        <w:rPr>
          <w:rFonts w:ascii="Calibri" w:cs="Calibri" w:eastAsia="Calibri" w:hAnsi="Calibri"/>
          <w:color w:val="222222"/>
          <w:sz w:val="21"/>
          <w:szCs w:val="21"/>
        </w:rPr>
        <w:t xml:space="preserve">Policy enforcement and visibility (audit logs, governance dashboards, RBAC) collectively give organisations the evidence trail needed to demonstrate adherence to regulatory frameworks relevant to their industry (e.g., financial services, healthcare), even though the platform itself is framework-agnostic rather than certifying to any single named regulation.</w:t>
      </w:r>
    </w:p>
    <w:p>
      <w:pPr>
        <w:pStyle w:val="Heading3"/>
        <w:spacing w:after="100" w:before="220"/>
      </w:pPr>
      <w:r>
        <w:rPr>
          <w:rFonts w:ascii="Calibri" w:cs="Calibri" w:eastAsia="Calibri" w:hAnsi="Calibri"/>
          <w:b/>
          <w:bCs/>
          <w:color w:val="0F1B33"/>
          <w:sz w:val="23"/>
          <w:szCs w:val="23"/>
        </w:rPr>
        <w:t xml:space="preserve">4. Understand how governance activities are applied across the lifecycle</w:t>
      </w:r>
    </w:p>
    <w:p>
      <w:pPr>
        <w:spacing w:after="120" w:line="276"/>
      </w:pPr>
      <w:r>
        <w:rPr>
          <w:rFonts w:ascii="Calibri" w:cs="Calibri" w:eastAsia="Calibri" w:hAnsi="Calibri"/>
          <w:color w:val="222222"/>
          <w:sz w:val="21"/>
          <w:szCs w:val="21"/>
        </w:rPr>
        <w:t xml:space="preserve">Governance isn't a one-time gate — it applies from initial design (embedding guidelines), through build and test (evaluation, vulnerability testing), to deployment and ongoing operation (observability, audit logging, policy enforcement) for agents, assistants, and workflows alike.</w:t>
      </w:r>
    </w:p>
    <w:p>
      <w:pPr>
        <w:pStyle w:val="Heading3"/>
        <w:spacing w:after="100" w:before="220"/>
      </w:pPr>
      <w:r>
        <w:rPr>
          <w:rFonts w:ascii="Calibri" w:cs="Calibri" w:eastAsia="Calibri" w:hAnsi="Calibri"/>
          <w:b/>
          <w:bCs/>
          <w:color w:val="0F1B33"/>
          <w:sz w:val="23"/>
          <w:szCs w:val="23"/>
        </w:rPr>
        <w:t xml:space="preserve">5. Understand how watsonx Orchestrate aligns with enterprise security and compliance frameworks</w:t>
      </w:r>
    </w:p>
    <w:p>
      <w:pPr>
        <w:spacing w:after="120" w:line="276"/>
      </w:pPr>
      <w:r>
        <w:rPr>
          <w:rFonts w:ascii="Calibri" w:cs="Calibri" w:eastAsia="Calibri" w:hAnsi="Calibri"/>
          <w:color w:val="222222"/>
          <w:sz w:val="21"/>
          <w:szCs w:val="21"/>
        </w:rPr>
        <w:t xml:space="preserve">Alignment is achieved through the combination of RBAC, encrypted/managed credentials, audit logging, and hybrid deployment options (cloud or on-premises) that let regulated organisations keep data and processing within required jurisdictional or infrastructure boundaries.</w:t>
      </w:r>
    </w:p>
    <w:p>
      <w:pPr>
        <w:pStyle w:val="Heading3"/>
        <w:spacing w:after="100" w:before="220"/>
      </w:pPr>
      <w:r>
        <w:rPr>
          <w:rFonts w:ascii="Calibri" w:cs="Calibri" w:eastAsia="Calibri" w:hAnsi="Calibri"/>
          <w:b/>
          <w:bCs/>
          <w:color w:val="0F1B33"/>
          <w:sz w:val="23"/>
          <w:szCs w:val="23"/>
        </w:rPr>
        <w:t xml:space="preserve">6. Understand how to configure features for Security and Privacy by Design (SPbD)</w:t>
      </w:r>
    </w:p>
    <w:p>
      <w:pPr>
        <w:spacing w:after="120" w:line="276"/>
      </w:pPr>
      <w:r>
        <w:rPr>
          <w:rFonts w:ascii="Calibri" w:cs="Calibri" w:eastAsia="Calibri" w:hAnsi="Calibri"/>
          <w:color w:val="222222"/>
          <w:sz w:val="21"/>
          <w:szCs w:val="21"/>
        </w:rPr>
        <w:t xml:space="preserve">SPbD means building privacy and security controls into an agent from the outset — for example, using input/output plug-ins to redact or block sensitive data, scoping connections to least privilege, and ensuring knowledge bases only expose documents the requesting user is authorised to see — rather than adding these controls retroactively.</w:t>
      </w:r>
    </w:p>
    <w:p>
      <w:pPr>
        <w:pStyle w:val="Heading3"/>
        <w:spacing w:after="100" w:before="220"/>
      </w:pPr>
      <w:r>
        <w:rPr>
          <w:rFonts w:ascii="Calibri" w:cs="Calibri" w:eastAsia="Calibri" w:hAnsi="Calibri"/>
          <w:b/>
          <w:bCs/>
          <w:color w:val="0F1B33"/>
          <w:sz w:val="23"/>
          <w:szCs w:val="23"/>
        </w:rPr>
        <w:t xml:space="preserve">7. Understand governance and compliance considerations when designing an agent's behavioural profile</w:t>
      </w:r>
    </w:p>
    <w:p>
      <w:pPr>
        <w:spacing w:after="120" w:line="276"/>
      </w:pPr>
      <w:r>
        <w:rPr>
          <w:rFonts w:ascii="Calibri" w:cs="Calibri" w:eastAsia="Calibri" w:hAnsi="Calibri"/>
          <w:color w:val="222222"/>
          <w:sz w:val="21"/>
          <w:szCs w:val="21"/>
        </w:rPr>
        <w:t xml:space="preserve">An agent's guidelines/instructions should explicitly state what it must never disclose or do, what requires human approval, and how it should behave when uncertain — treating the behavioural profile itself as a compliance control, not just a UX nicety.</w:t>
      </w:r>
    </w:p>
    <w:p>
      <w:r>
        <w:br w:type="page"/>
      </w:r>
    </w:p>
    <w:tbl>
      <w:tblPr>
        <w:tblW w:type="pct" w:w="100%"/>
        <w:tblBorders>
          <w:top w:val="none"/>
          <w:left w:val="none"/>
          <w:bottom w:val="none"/>
          <w:right w:val="none"/>
          <w:insideH w:val="none"/>
          <w:insideV w:val="none"/>
        </w:tblBorders>
      </w:tblPr>
      <w:tblGrid>
        <w:gridCol w:w="100"/>
      </w:tblGrid>
      <w:tr>
        <w:tc>
          <w:tcPr>
            <w:tcW w:type="pct" w:w="100%"/>
            <w:shd w:fill="1B2A4A" w:val="clear"/>
            <w:tcMar>
              <w:top w:type="dxa" w:w="200"/>
              <w:left w:type="dxa" w:w="250"/>
              <w:bottom w:type="dxa" w:w="200"/>
              <w:right w:type="dxa" w:w="250"/>
            </w:tcMar>
          </w:tcPr>
          <w:p>
            <w:r>
              <w:rPr>
                <w:rFonts w:ascii="Calibri" w:cs="Calibri" w:eastAsia="Calibri" w:hAnsi="Calibri"/>
                <w:b/>
                <w:bCs/>
                <w:color w:val="C9A227"/>
                <w:sz w:val="20"/>
                <w:szCs w:val="20"/>
              </w:rPr>
              <w:t xml:space="preserve">SECTION 7</w:t>
            </w:r>
          </w:p>
          <w:p>
            <w:pPr>
              <w:spacing w:before="60"/>
            </w:pPr>
            <w:r>
              <w:rPr>
                <w:rFonts w:ascii="Calibri" w:cs="Calibri" w:eastAsia="Calibri" w:hAnsi="Calibri"/>
                <w:b/>
                <w:bCs/>
                <w:color w:val="FFFFFF"/>
                <w:sz w:val="30"/>
                <w:szCs w:val="30"/>
              </w:rPr>
              <w:t xml:space="preserve">Deployment, Scaling, Optimization, and Resiliency</w:t>
            </w:r>
          </w:p>
          <w:p>
            <w:pPr>
              <w:spacing w:before="60"/>
            </w:pPr>
            <w:r>
              <w:rPr>
                <w:rFonts w:ascii="Calibri" w:cs="Calibri" w:eastAsia="Calibri" w:hAnsi="Calibri"/>
                <w:i/>
                <w:iCs/>
                <w:color w:val="F5E9C6"/>
                <w:sz w:val="20"/>
                <w:szCs w:val="20"/>
              </w:rPr>
              <w:t xml:space="preserve">Exam Weight: approximately 10% of the C1000-207 exam</w:t>
            </w:r>
          </w:p>
        </w:tc>
      </w:tr>
    </w:tbl>
    <w:p>
      <w:pPr>
        <w:spacing w:after="200"/>
      </w:pPr>
    </w:p>
    <w:p>
      <w:pPr>
        <w:spacing w:after="120" w:line="276"/>
      </w:pPr>
      <w:r>
        <w:rPr>
          <w:rFonts w:ascii="Calibri" w:cs="Calibri" w:eastAsia="Calibri" w:hAnsi="Calibri"/>
          <w:color w:val="222222"/>
          <w:sz w:val="21"/>
          <w:szCs w:val="21"/>
        </w:rPr>
        <w:t xml:space="preserve">The final section covers the full operational lifecycle: managing environments, building and maintaining knowledge bases at scale, running agents/assistants/gateways in production, and implementing CI/CD pipelines.</w:t>
      </w:r>
    </w:p>
    <w:tbl>
      <w:tblPr>
        <w:tblW w:type="pct" w:w="100%"/>
        <w:tblBorders>
          <w:top w:val="none"/>
          <w:left w:val="none"/>
          <w:bottom w:val="single" w:color="C9A227" w:sz="6"/>
          <w:right w:val="none"/>
          <w:insideH w:val="none"/>
          <w:insideV w:val="none"/>
        </w:tblBorders>
      </w:tblPr>
      <w:tblGrid>
        <w:gridCol w:w="100"/>
      </w:tblGrid>
      <w:tr>
        <w:tc>
          <w:tcPr>
            <w:shd w:fill="F2F2F2" w:val="clear"/>
            <w:tcMar>
              <w:top w:type="dxa" w:w="120"/>
              <w:left w:type="dxa" w:w="200"/>
              <w:bottom w:type="dxa" w:w="120"/>
              <w:right w:type="dxa" w:w="200"/>
            </w:tcMar>
          </w:tcPr>
          <w:p>
            <w:r>
              <w:rPr>
                <w:rFonts w:ascii="Calibri" w:cs="Calibri" w:eastAsia="Calibri" w:hAnsi="Calibri"/>
                <w:b/>
                <w:bCs/>
                <w:color w:val="C9A227"/>
                <w:sz w:val="23"/>
                <w:szCs w:val="23"/>
              </w:rPr>
              <w:t xml:space="preserve">TASK 7.1  </w:t>
            </w:r>
            <w:r>
              <w:rPr>
                <w:rFonts w:ascii="Calibri" w:cs="Calibri" w:eastAsia="Calibri" w:hAnsi="Calibri"/>
                <w:b/>
                <w:bCs/>
                <w:color w:val="1B2A4A"/>
                <w:sz w:val="23"/>
                <w:szCs w:val="23"/>
              </w:rPr>
              <w:t xml:space="preserve">Build and Manage Environments</w:t>
            </w:r>
          </w:p>
        </w:tc>
      </w:tr>
    </w:tbl>
    <w:p>
      <w:pPr>
        <w:spacing w:after="100"/>
      </w:pPr>
    </w:p>
    <w:p>
      <w:pPr>
        <w:pStyle w:val="Heading3"/>
        <w:spacing w:after="100" w:before="220"/>
      </w:pPr>
      <w:r>
        <w:rPr>
          <w:rFonts w:ascii="Calibri" w:cs="Calibri" w:eastAsia="Calibri" w:hAnsi="Calibri"/>
          <w:b/>
          <w:bCs/>
          <w:color w:val="0F1B33"/>
          <w:sz w:val="23"/>
          <w:szCs w:val="23"/>
        </w:rPr>
        <w:t xml:space="preserve">1. Create and configure new watsonx Orchestrate environments</w:t>
      </w:r>
    </w:p>
    <w:p>
      <w:pPr>
        <w:spacing w:after="120" w:line="276"/>
      </w:pPr>
      <w:r>
        <w:rPr>
          <w:rFonts w:ascii="Calibri" w:cs="Calibri" w:eastAsia="Calibri" w:hAnsi="Calibri"/>
          <w:color w:val="222222"/>
          <w:sz w:val="21"/>
          <w:szCs w:val="21"/>
        </w:rPr>
        <w:t xml:space="preserve">Set up environment instances (Dev/Test/Prod, or additional named environments) with appropriate naming conventions, regions, and resource tiers, using the ADK CLI's environment-management commands or the console.</w:t>
      </w:r>
    </w:p>
    <w:p>
      <w:pPr>
        <w:pStyle w:val="Heading3"/>
        <w:spacing w:after="100" w:before="220"/>
      </w:pPr>
      <w:r>
        <w:rPr>
          <w:rFonts w:ascii="Calibri" w:cs="Calibri" w:eastAsia="Calibri" w:hAnsi="Calibri"/>
          <w:b/>
          <w:bCs/>
          <w:color w:val="0F1B33"/>
          <w:sz w:val="23"/>
          <w:szCs w:val="23"/>
        </w:rPr>
        <w:t xml:space="preserve">2. Manage environment variables and configurations</w:t>
      </w:r>
    </w:p>
    <w:p>
      <w:pPr>
        <w:spacing w:after="120" w:line="276"/>
      </w:pPr>
      <w:r>
        <w:rPr>
          <w:rFonts w:ascii="Calibri" w:cs="Calibri" w:eastAsia="Calibri" w:hAnsi="Calibri"/>
          <w:color w:val="222222"/>
          <w:sz w:val="21"/>
          <w:szCs w:val="21"/>
        </w:rPr>
        <w:t xml:space="preserve">Define and update environment-specific settings — API keys, connection parameters, model policy assignments — so that the same agent/tool definitions behave correctly as they move between environments.</w:t>
      </w:r>
    </w:p>
    <w:p>
      <w:pPr>
        <w:pStyle w:val="Heading3"/>
        <w:spacing w:after="100" w:before="220"/>
      </w:pPr>
      <w:r>
        <w:rPr>
          <w:rFonts w:ascii="Calibri" w:cs="Calibri" w:eastAsia="Calibri" w:hAnsi="Calibri"/>
          <w:b/>
          <w:bCs/>
          <w:color w:val="0F1B33"/>
          <w:sz w:val="23"/>
          <w:szCs w:val="23"/>
        </w:rPr>
        <w:t xml:space="preserve">3. Implement environment isolation</w:t>
      </w:r>
    </w:p>
    <w:p>
      <w:pPr>
        <w:spacing w:after="120" w:line="276"/>
      </w:pPr>
      <w:r>
        <w:rPr>
          <w:rFonts w:ascii="Calibri" w:cs="Calibri" w:eastAsia="Calibri" w:hAnsi="Calibri"/>
          <w:color w:val="222222"/>
          <w:sz w:val="21"/>
          <w:szCs w:val="21"/>
        </w:rPr>
        <w:t xml:space="preserve">Keep dev, test, and prod strictly separated (distinct credentials, distinct data) so that experimentation and testing cannot accidentally affect production data or users.</w:t>
      </w:r>
    </w:p>
    <w:p>
      <w:pPr>
        <w:pStyle w:val="Heading3"/>
        <w:spacing w:after="100" w:before="220"/>
      </w:pPr>
      <w:r>
        <w:rPr>
          <w:rFonts w:ascii="Calibri" w:cs="Calibri" w:eastAsia="Calibri" w:hAnsi="Calibri"/>
          <w:b/>
          <w:bCs/>
          <w:color w:val="0F1B33"/>
          <w:sz w:val="23"/>
          <w:szCs w:val="23"/>
        </w:rPr>
        <w:t xml:space="preserve">4. Monitor environment health and resource utilization</w:t>
      </w:r>
    </w:p>
    <w:p>
      <w:pPr>
        <w:spacing w:after="120" w:line="276"/>
      </w:pPr>
      <w:r>
        <w:rPr>
          <w:rFonts w:ascii="Calibri" w:cs="Calibri" w:eastAsia="Calibri" w:hAnsi="Calibri"/>
          <w:color w:val="222222"/>
          <w:sz w:val="21"/>
          <w:szCs w:val="21"/>
        </w:rPr>
        <w:t xml:space="preserve">Track performance metrics, capacity limits, and system alerts per environment to catch resource pressure or failures before they affect users.</w:t>
      </w:r>
    </w:p>
    <w:p>
      <w:pPr>
        <w:pStyle w:val="Heading3"/>
        <w:spacing w:after="100" w:before="220"/>
      </w:pPr>
      <w:r>
        <w:rPr>
          <w:rFonts w:ascii="Calibri" w:cs="Calibri" w:eastAsia="Calibri" w:hAnsi="Calibri"/>
          <w:b/>
          <w:bCs/>
          <w:color w:val="0F1B33"/>
          <w:sz w:val="23"/>
          <w:szCs w:val="23"/>
        </w:rPr>
        <w:t xml:space="preserve">5. Perform environment backup, restore, and migration</w:t>
      </w:r>
    </w:p>
    <w:p>
      <w:pPr>
        <w:spacing w:after="120" w:line="276"/>
      </w:pPr>
      <w:r>
        <w:rPr>
          <w:rFonts w:ascii="Calibri" w:cs="Calibri" w:eastAsia="Calibri" w:hAnsi="Calibri"/>
          <w:color w:val="222222"/>
          <w:sz w:val="21"/>
          <w:szCs w:val="21"/>
        </w:rPr>
        <w:t xml:space="preserve">Export/import agent, tool, connection, and knowledge-base configurations, and manage environment versioning, so environments can be recreated, restored, or migrated (e.g., between regions or from on-prem to cloud) reliably.</w:t>
      </w:r>
    </w:p>
    <w:p>
      <w:pPr>
        <w:spacing w:after="150"/>
      </w:pPr>
    </w:p>
    <w:tbl>
      <w:tblPr>
        <w:tblW w:type="pct" w:w="100%"/>
        <w:tblBorders>
          <w:top w:val="none"/>
          <w:left w:val="none"/>
          <w:bottom w:val="single" w:color="C9A227" w:sz="6"/>
          <w:right w:val="none"/>
          <w:insideH w:val="none"/>
          <w:insideV w:val="none"/>
        </w:tblBorders>
      </w:tblPr>
      <w:tblGrid>
        <w:gridCol w:w="100"/>
      </w:tblGrid>
      <w:tr>
        <w:tc>
          <w:tcPr>
            <w:shd w:fill="F2F2F2" w:val="clear"/>
            <w:tcMar>
              <w:top w:type="dxa" w:w="120"/>
              <w:left w:type="dxa" w:w="200"/>
              <w:bottom w:type="dxa" w:w="120"/>
              <w:right w:type="dxa" w:w="200"/>
            </w:tcMar>
          </w:tcPr>
          <w:p>
            <w:r>
              <w:rPr>
                <w:rFonts w:ascii="Calibri" w:cs="Calibri" w:eastAsia="Calibri" w:hAnsi="Calibri"/>
                <w:b/>
                <w:bCs/>
                <w:color w:val="C9A227"/>
                <w:sz w:val="23"/>
                <w:szCs w:val="23"/>
              </w:rPr>
              <w:t xml:space="preserve">TASK 7.2  </w:t>
            </w:r>
            <w:r>
              <w:rPr>
                <w:rFonts w:ascii="Calibri" w:cs="Calibri" w:eastAsia="Calibri" w:hAnsi="Calibri"/>
                <w:b/>
                <w:bCs/>
                <w:color w:val="1B2A4A"/>
                <w:sz w:val="23"/>
                <w:szCs w:val="23"/>
              </w:rPr>
              <w:t xml:space="preserve">Build and Manage Knowledge Bases</w:t>
            </w:r>
          </w:p>
        </w:tc>
      </w:tr>
    </w:tbl>
    <w:p>
      <w:pPr>
        <w:spacing w:after="100"/>
      </w:pPr>
    </w:p>
    <w:p>
      <w:pPr>
        <w:pStyle w:val="Heading3"/>
        <w:spacing w:after="100" w:before="220"/>
      </w:pPr>
      <w:r>
        <w:rPr>
          <w:rFonts w:ascii="Calibri" w:cs="Calibri" w:eastAsia="Calibri" w:hAnsi="Calibri"/>
          <w:b/>
          <w:bCs/>
          <w:color w:val="0F1B33"/>
          <w:sz w:val="23"/>
          <w:szCs w:val="23"/>
        </w:rPr>
        <w:t xml:space="preserve">1. Create and configure knowledge bases</w:t>
      </w:r>
    </w:p>
    <w:p>
      <w:pPr>
        <w:spacing w:after="120" w:line="276"/>
      </w:pPr>
      <w:r>
        <w:rPr>
          <w:rFonts w:ascii="Calibri" w:cs="Calibri" w:eastAsia="Calibri" w:hAnsi="Calibri"/>
          <w:color w:val="222222"/>
          <w:sz w:val="21"/>
          <w:szCs w:val="21"/>
        </w:rPr>
        <w:t xml:space="preserve">Initialize knowledge-base instances with appropriate schemas, storage backends, and retrieval configurations to ground agent responses in enterprise content.</w:t>
      </w:r>
    </w:p>
    <w:p>
      <w:pPr>
        <w:pStyle w:val="Heading3"/>
        <w:spacing w:after="100" w:before="220"/>
      </w:pPr>
      <w:r>
        <w:rPr>
          <w:rFonts w:ascii="Calibri" w:cs="Calibri" w:eastAsia="Calibri" w:hAnsi="Calibri"/>
          <w:b/>
          <w:bCs/>
          <w:color w:val="0F1B33"/>
          <w:sz w:val="23"/>
          <w:szCs w:val="23"/>
        </w:rPr>
        <w:t xml:space="preserve">2. Ingest and process documents</w:t>
      </w:r>
    </w:p>
    <w:p>
      <w:pPr>
        <w:spacing w:after="120" w:line="276"/>
      </w:pPr>
      <w:r>
        <w:rPr>
          <w:rFonts w:ascii="Calibri" w:cs="Calibri" w:eastAsia="Calibri" w:hAnsi="Calibri"/>
          <w:color w:val="222222"/>
          <w:sz w:val="21"/>
          <w:szCs w:val="21"/>
        </w:rPr>
        <w:t xml:space="preserve">Upload documents in formats such as PDF, HTML, and JSON; configure chunking strategies (how documents are split for retrieval) and manage associated metadata (source, owner, sensitivity).</w:t>
      </w:r>
    </w:p>
    <w:p>
      <w:pPr>
        <w:pStyle w:val="Heading3"/>
        <w:spacing w:after="100" w:before="220"/>
      </w:pPr>
      <w:r>
        <w:rPr>
          <w:rFonts w:ascii="Calibri" w:cs="Calibri" w:eastAsia="Calibri" w:hAnsi="Calibri"/>
          <w:b/>
          <w:bCs/>
          <w:color w:val="0F1B33"/>
          <w:sz w:val="23"/>
          <w:szCs w:val="23"/>
        </w:rPr>
        <w:t xml:space="preserve">3. Implement vector embeddings and indexing</w:t>
      </w:r>
    </w:p>
    <w:p>
      <w:pPr>
        <w:spacing w:after="120" w:line="276"/>
      </w:pPr>
      <w:r>
        <w:rPr>
          <w:rFonts w:ascii="Calibri" w:cs="Calibri" w:eastAsia="Calibri" w:hAnsi="Calibri"/>
          <w:color w:val="222222"/>
          <w:sz w:val="21"/>
          <w:szCs w:val="21"/>
        </w:rPr>
        <w:t xml:space="preserve">Configure the embedding model (registered via AI Gateway, following the model-selection guidance in Section 5), the vector database, and indexing parameters that enable semantic search over the ingested content.</w:t>
      </w:r>
    </w:p>
    <w:p>
      <w:pPr>
        <w:pStyle w:val="Heading3"/>
        <w:spacing w:after="100" w:before="220"/>
      </w:pPr>
      <w:r>
        <w:rPr>
          <w:rFonts w:ascii="Calibri" w:cs="Calibri" w:eastAsia="Calibri" w:hAnsi="Calibri"/>
          <w:b/>
          <w:bCs/>
          <w:color w:val="0F1B33"/>
          <w:sz w:val="23"/>
          <w:szCs w:val="23"/>
        </w:rPr>
        <w:t xml:space="preserve">4. Manage knowledge base versioning and updates</w:t>
      </w:r>
    </w:p>
    <w:p>
      <w:pPr>
        <w:spacing w:after="120" w:line="276"/>
      </w:pPr>
      <w:r>
        <w:rPr>
          <w:rFonts w:ascii="Calibri" w:cs="Calibri" w:eastAsia="Calibri" w:hAnsi="Calibri"/>
          <w:color w:val="222222"/>
          <w:sz w:val="21"/>
          <w:szCs w:val="21"/>
        </w:rPr>
        <w:t xml:space="preserve">Track document versions, perform incremental updates as source content changes, and maintain snapshot/rollback procedures so a bad ingestion can be reversed.</w:t>
      </w:r>
    </w:p>
    <w:p>
      <w:pPr>
        <w:pStyle w:val="Heading3"/>
        <w:spacing w:after="100" w:before="220"/>
      </w:pPr>
      <w:r>
        <w:rPr>
          <w:rFonts w:ascii="Calibri" w:cs="Calibri" w:eastAsia="Calibri" w:hAnsi="Calibri"/>
          <w:b/>
          <w:bCs/>
          <w:color w:val="0F1B33"/>
          <w:sz w:val="23"/>
          <w:szCs w:val="23"/>
        </w:rPr>
        <w:t xml:space="preserve">5. Optimize retrieval performance and relevance</w:t>
      </w:r>
    </w:p>
    <w:p>
      <w:pPr>
        <w:spacing w:after="120" w:line="276"/>
      </w:pPr>
      <w:r>
        <w:rPr>
          <w:rFonts w:ascii="Calibri" w:cs="Calibri" w:eastAsia="Calibri" w:hAnsi="Calibri"/>
          <w:color w:val="222222"/>
          <w:sz w:val="21"/>
          <w:szCs w:val="21"/>
        </w:rPr>
        <w:t xml:space="preserve">Tune search parameters (e.g., chunk size, number of retrieved passages), implement filtering (by metadata such as document type or sensitivity), and monitor query latency and accuracy metrics to keep retrieval both fast and relevant.</w:t>
      </w:r>
    </w:p>
    <w:p>
      <w:pPr>
        <w:pStyle w:val="Heading3"/>
        <w:spacing w:after="100" w:before="220"/>
      </w:pPr>
      <w:r>
        <w:rPr>
          <w:rFonts w:ascii="Calibri" w:cs="Calibri" w:eastAsia="Calibri" w:hAnsi="Calibri"/>
          <w:b/>
          <w:bCs/>
          <w:color w:val="0F1B33"/>
          <w:sz w:val="23"/>
          <w:szCs w:val="23"/>
        </w:rPr>
        <w:t xml:space="preserve">6. Implement knowledge base security and access control</w:t>
      </w:r>
    </w:p>
    <w:p>
      <w:pPr>
        <w:spacing w:after="120" w:line="276"/>
      </w:pPr>
      <w:r>
        <w:rPr>
          <w:rFonts w:ascii="Calibri" w:cs="Calibri" w:eastAsia="Calibri" w:hAnsi="Calibri"/>
          <w:color w:val="222222"/>
          <w:sz w:val="21"/>
          <w:szCs w:val="21"/>
        </w:rPr>
        <w:t xml:space="preserve">Configure document-level permissions and data isolation so that an agent — and the user interacting with it — only ever retrieves content they are authorised to see, consistent with the SPbD principles from Section 6.</w:t>
      </w:r>
    </w:p>
    <w:p>
      <w:pPr>
        <w:spacing w:after="150"/>
      </w:pPr>
    </w:p>
    <w:tbl>
      <w:tblPr>
        <w:tblW w:type="pct" w:w="100%"/>
        <w:tblBorders>
          <w:top w:val="none"/>
          <w:left w:val="none"/>
          <w:bottom w:val="single" w:color="C9A227" w:sz="6"/>
          <w:right w:val="none"/>
          <w:insideH w:val="none"/>
          <w:insideV w:val="none"/>
        </w:tblBorders>
      </w:tblPr>
      <w:tblGrid>
        <w:gridCol w:w="100"/>
      </w:tblGrid>
      <w:tr>
        <w:tc>
          <w:tcPr>
            <w:shd w:fill="F2F2F2" w:val="clear"/>
            <w:tcMar>
              <w:top w:type="dxa" w:w="120"/>
              <w:left w:type="dxa" w:w="200"/>
              <w:bottom w:type="dxa" w:w="120"/>
              <w:right w:type="dxa" w:w="200"/>
            </w:tcMar>
          </w:tcPr>
          <w:p>
            <w:r>
              <w:rPr>
                <w:rFonts w:ascii="Calibri" w:cs="Calibri" w:eastAsia="Calibri" w:hAnsi="Calibri"/>
                <w:b/>
                <w:bCs/>
                <w:color w:val="C9A227"/>
                <w:sz w:val="23"/>
                <w:szCs w:val="23"/>
              </w:rPr>
              <w:t xml:space="preserve">TASK 7.3  </w:t>
            </w:r>
            <w:r>
              <w:rPr>
                <w:rFonts w:ascii="Calibri" w:cs="Calibri" w:eastAsia="Calibri" w:hAnsi="Calibri"/>
                <w:b/>
                <w:bCs/>
                <w:color w:val="1B2A4A"/>
                <w:sz w:val="23"/>
                <w:szCs w:val="23"/>
              </w:rPr>
              <w:t xml:space="preserve">Manage Agents, Assistants, and Gateways</w:t>
            </w:r>
          </w:p>
        </w:tc>
      </w:tr>
    </w:tbl>
    <w:p>
      <w:pPr>
        <w:spacing w:after="100"/>
      </w:pPr>
    </w:p>
    <w:p>
      <w:pPr>
        <w:pStyle w:val="Heading3"/>
        <w:spacing w:after="100" w:before="220"/>
      </w:pPr>
      <w:r>
        <w:rPr>
          <w:rFonts w:ascii="Calibri" w:cs="Calibri" w:eastAsia="Calibri" w:hAnsi="Calibri"/>
          <w:b/>
          <w:bCs/>
          <w:color w:val="0F1B33"/>
          <w:sz w:val="23"/>
          <w:szCs w:val="23"/>
        </w:rPr>
        <w:t xml:space="preserve">1. Deploy and configure conversational assistants</w:t>
      </w:r>
    </w:p>
    <w:p>
      <w:pPr>
        <w:spacing w:after="120" w:line="276"/>
      </w:pPr>
      <w:r>
        <w:rPr>
          <w:rFonts w:ascii="Calibri" w:cs="Calibri" w:eastAsia="Calibri" w:hAnsi="Calibri"/>
          <w:color w:val="222222"/>
          <w:sz w:val="21"/>
          <w:szCs w:val="21"/>
        </w:rPr>
        <w:t xml:space="preserve">Create assistant instances, connect them to knowledge bases, and configure their conversation flows for deployment.</w:t>
      </w:r>
    </w:p>
    <w:p>
      <w:pPr>
        <w:pStyle w:val="Heading3"/>
        <w:spacing w:after="100" w:before="220"/>
      </w:pPr>
      <w:r>
        <w:rPr>
          <w:rFonts w:ascii="Calibri" w:cs="Calibri" w:eastAsia="Calibri" w:hAnsi="Calibri"/>
          <w:b/>
          <w:bCs/>
          <w:color w:val="0F1B33"/>
          <w:sz w:val="23"/>
          <w:szCs w:val="23"/>
        </w:rPr>
        <w:t xml:space="preserve">2. Build and manage autonomous agents</w:t>
      </w:r>
    </w:p>
    <w:p>
      <w:pPr>
        <w:spacing w:after="120" w:line="276"/>
      </w:pPr>
      <w:r>
        <w:rPr>
          <w:rFonts w:ascii="Calibri" w:cs="Calibri" w:eastAsia="Calibri" w:hAnsi="Calibri"/>
          <w:color w:val="222222"/>
          <w:sz w:val="21"/>
          <w:szCs w:val="21"/>
        </w:rPr>
        <w:t xml:space="preserve">Define agent goals, connect skills/tools, implement decision-making logic, and configure overall agent behaviour for production use.</w:t>
      </w:r>
    </w:p>
    <w:p>
      <w:pPr>
        <w:pStyle w:val="Heading3"/>
        <w:spacing w:after="100" w:before="220"/>
      </w:pPr>
      <w:r>
        <w:rPr>
          <w:rFonts w:ascii="Calibri" w:cs="Calibri" w:eastAsia="Calibri" w:hAnsi="Calibri"/>
          <w:b/>
          <w:bCs/>
          <w:color w:val="0F1B33"/>
          <w:sz w:val="23"/>
          <w:szCs w:val="23"/>
        </w:rPr>
        <w:t xml:space="preserve">3. Configure and manage API gateways</w:t>
      </w:r>
    </w:p>
    <w:p>
      <w:pPr>
        <w:spacing w:after="120" w:line="276"/>
      </w:pPr>
      <w:r>
        <w:rPr>
          <w:rFonts w:ascii="Calibri" w:cs="Calibri" w:eastAsia="Calibri" w:hAnsi="Calibri"/>
          <w:color w:val="222222"/>
          <w:sz w:val="21"/>
          <w:szCs w:val="21"/>
        </w:rPr>
        <w:t xml:space="preserve">Set up gateway endpoints, implement routing rules, and configure rate limiting and authentication for APIs that expose or front agent capabilities.</w:t>
      </w:r>
    </w:p>
    <w:p>
      <w:pPr>
        <w:pStyle w:val="Heading3"/>
        <w:spacing w:after="100" w:before="220"/>
      </w:pPr>
      <w:r>
        <w:rPr>
          <w:rFonts w:ascii="Calibri" w:cs="Calibri" w:eastAsia="Calibri" w:hAnsi="Calibri"/>
          <w:b/>
          <w:bCs/>
          <w:color w:val="0F1B33"/>
          <w:sz w:val="23"/>
          <w:szCs w:val="23"/>
        </w:rPr>
        <w:t xml:space="preserve">4. Connect and orchestrate skills</w:t>
      </w:r>
    </w:p>
    <w:p>
      <w:pPr>
        <w:spacing w:after="120" w:line="276"/>
      </w:pPr>
      <w:r>
        <w:rPr>
          <w:rFonts w:ascii="Calibri" w:cs="Calibri" w:eastAsia="Calibri" w:hAnsi="Calibri"/>
          <w:color w:val="222222"/>
          <w:sz w:val="21"/>
          <w:szCs w:val="21"/>
        </w:rPr>
        <w:t xml:space="preserve">Integrate pre-built and custom skills/tools, manage skill dependencies, and configure skill chaining within agents and workflows.</w:t>
      </w:r>
    </w:p>
    <w:p>
      <w:pPr>
        <w:pStyle w:val="Heading3"/>
        <w:spacing w:after="100" w:before="220"/>
      </w:pPr>
      <w:r>
        <w:rPr>
          <w:rFonts w:ascii="Calibri" w:cs="Calibri" w:eastAsia="Calibri" w:hAnsi="Calibri"/>
          <w:b/>
          <w:bCs/>
          <w:color w:val="0F1B33"/>
          <w:sz w:val="23"/>
          <w:szCs w:val="23"/>
        </w:rPr>
        <w:t xml:space="preserve">5. Implement versioning and A/B testing</w:t>
      </w:r>
    </w:p>
    <w:p>
      <w:pPr>
        <w:spacing w:after="120" w:line="276"/>
      </w:pPr>
      <w:r>
        <w:rPr>
          <w:rFonts w:ascii="Calibri" w:cs="Calibri" w:eastAsia="Calibri" w:hAnsi="Calibri"/>
          <w:color w:val="222222"/>
          <w:sz w:val="21"/>
          <w:szCs w:val="21"/>
        </w:rPr>
        <w:t xml:space="preserve">Deploy multiple assistant/agent versions in parallel, route a portion of traffic to each for comparison, and maintain rollback procedures if a new version underperforms.</w:t>
      </w:r>
    </w:p>
    <w:p>
      <w:pPr>
        <w:pStyle w:val="Heading3"/>
        <w:spacing w:after="100" w:before="220"/>
      </w:pPr>
      <w:r>
        <w:rPr>
          <w:rFonts w:ascii="Calibri" w:cs="Calibri" w:eastAsia="Calibri" w:hAnsi="Calibri"/>
          <w:b/>
          <w:bCs/>
          <w:color w:val="0F1B33"/>
          <w:sz w:val="23"/>
          <w:szCs w:val="23"/>
        </w:rPr>
        <w:t xml:space="preserve">6. Monitor agent/assistant performance</w:t>
      </w:r>
    </w:p>
    <w:p>
      <w:pPr>
        <w:spacing w:after="120" w:line="276"/>
      </w:pPr>
      <w:r>
        <w:rPr>
          <w:rFonts w:ascii="Calibri" w:cs="Calibri" w:eastAsia="Calibri" w:hAnsi="Calibri"/>
          <w:color w:val="222222"/>
          <w:sz w:val="21"/>
          <w:szCs w:val="21"/>
        </w:rPr>
        <w:t xml:space="preserve">Track conversation metrics, error rates, user satisfaction, and response times on an ongoing basis (tying back to the observability capabilities in Section 6).</w:t>
      </w:r>
    </w:p>
    <w:p>
      <w:pPr>
        <w:pStyle w:val="Heading3"/>
        <w:spacing w:after="100" w:before="220"/>
      </w:pPr>
      <w:r>
        <w:rPr>
          <w:rFonts w:ascii="Calibri" w:cs="Calibri" w:eastAsia="Calibri" w:hAnsi="Calibri"/>
          <w:b/>
          <w:bCs/>
          <w:color w:val="0F1B33"/>
          <w:sz w:val="23"/>
          <w:szCs w:val="23"/>
        </w:rPr>
        <w:t xml:space="preserve">7. Troubleshoot and optimize agent behaviour</w:t>
      </w:r>
    </w:p>
    <w:p>
      <w:pPr>
        <w:spacing w:after="120" w:line="276"/>
      </w:pPr>
      <w:r>
        <w:rPr>
          <w:rFonts w:ascii="Calibri" w:cs="Calibri" w:eastAsia="Calibri" w:hAnsi="Calibri"/>
          <w:color w:val="222222"/>
          <w:sz w:val="21"/>
          <w:szCs w:val="21"/>
        </w:rPr>
        <w:t xml:space="preserve">Debug conversation flows using traces/logs, optimize prompt engineering (per Task 4.4), and iteratively improve response accuracy based on observed failures.</w:t>
      </w:r>
    </w:p>
    <w:p>
      <w:pPr>
        <w:spacing w:after="150"/>
      </w:pPr>
    </w:p>
    <w:tbl>
      <w:tblPr>
        <w:tblW w:type="pct" w:w="100%"/>
        <w:tblBorders>
          <w:top w:val="none"/>
          <w:left w:val="none"/>
          <w:bottom w:val="single" w:color="C9A227" w:sz="6"/>
          <w:right w:val="none"/>
          <w:insideH w:val="none"/>
          <w:insideV w:val="none"/>
        </w:tblBorders>
      </w:tblPr>
      <w:tblGrid>
        <w:gridCol w:w="100"/>
      </w:tblGrid>
      <w:tr>
        <w:tc>
          <w:tcPr>
            <w:shd w:fill="F2F2F2" w:val="clear"/>
            <w:tcMar>
              <w:top w:type="dxa" w:w="120"/>
              <w:left w:type="dxa" w:w="200"/>
              <w:bottom w:type="dxa" w:w="120"/>
              <w:right w:type="dxa" w:w="200"/>
            </w:tcMar>
          </w:tcPr>
          <w:p>
            <w:r>
              <w:rPr>
                <w:rFonts w:ascii="Calibri" w:cs="Calibri" w:eastAsia="Calibri" w:hAnsi="Calibri"/>
                <w:b/>
                <w:bCs/>
                <w:color w:val="C9A227"/>
                <w:sz w:val="23"/>
                <w:szCs w:val="23"/>
              </w:rPr>
              <w:t xml:space="preserve">TASK 7.4  </w:t>
            </w:r>
            <w:r>
              <w:rPr>
                <w:rFonts w:ascii="Calibri" w:cs="Calibri" w:eastAsia="Calibri" w:hAnsi="Calibri"/>
                <w:b/>
                <w:bCs/>
                <w:color w:val="1B2A4A"/>
                <w:sz w:val="23"/>
                <w:szCs w:val="23"/>
              </w:rPr>
              <w:t xml:space="preserve">Implement CI/CD Pipelines</w:t>
            </w:r>
          </w:p>
        </w:tc>
      </w:tr>
    </w:tbl>
    <w:p>
      <w:pPr>
        <w:spacing w:after="100"/>
      </w:pPr>
    </w:p>
    <w:p>
      <w:pPr>
        <w:pStyle w:val="Heading3"/>
        <w:spacing w:after="100" w:before="220"/>
      </w:pPr>
      <w:r>
        <w:rPr>
          <w:rFonts w:ascii="Calibri" w:cs="Calibri" w:eastAsia="Calibri" w:hAnsi="Calibri"/>
          <w:b/>
          <w:bCs/>
          <w:color w:val="0F1B33"/>
          <w:sz w:val="23"/>
          <w:szCs w:val="23"/>
        </w:rPr>
        <w:t xml:space="preserve">1. Design CI/CD pipeline architecture</w:t>
      </w:r>
    </w:p>
    <w:p>
      <w:pPr>
        <w:spacing w:after="120" w:line="276"/>
      </w:pPr>
      <w:r>
        <w:rPr>
          <w:rFonts w:ascii="Calibri" w:cs="Calibri" w:eastAsia="Calibri" w:hAnsi="Calibri"/>
          <w:color w:val="222222"/>
          <w:sz w:val="21"/>
          <w:szCs w:val="21"/>
        </w:rPr>
        <w:t xml:space="preserve">Define pipeline stages (build, test, deploy), identify the artefacts being promoted (agents, tools, connections, model policies, knowledge bases), and establish promotion workflows across Dev → Test → Prod environments.</w:t>
      </w:r>
    </w:p>
    <w:p>
      <w:pPr>
        <w:pStyle w:val="Heading3"/>
        <w:spacing w:after="100" w:before="220"/>
      </w:pPr>
      <w:r>
        <w:rPr>
          <w:rFonts w:ascii="Calibri" w:cs="Calibri" w:eastAsia="Calibri" w:hAnsi="Calibri"/>
          <w:b/>
          <w:bCs/>
          <w:color w:val="0F1B33"/>
          <w:sz w:val="23"/>
          <w:szCs w:val="23"/>
        </w:rPr>
        <w:t xml:space="preserve">2. Implement version control integration</w:t>
      </w:r>
    </w:p>
    <w:p>
      <w:pPr>
        <w:spacing w:after="120" w:line="276"/>
      </w:pPr>
      <w:r>
        <w:rPr>
          <w:rFonts w:ascii="Calibri" w:cs="Calibri" w:eastAsia="Calibri" w:hAnsi="Calibri"/>
          <w:color w:val="222222"/>
          <w:sz w:val="21"/>
          <w:szCs w:val="21"/>
        </w:rPr>
        <w:t xml:space="preserve">Connect Git repositories to track ADK-managed agent/tool definitions, manage branching strategies, and track configuration changes over time — since ADK artefacts are plain YAML/Python, they fit naturally into standard Git workflows.</w:t>
      </w:r>
    </w:p>
    <w:p>
      <w:pPr>
        <w:pStyle w:val="Heading3"/>
        <w:spacing w:after="100" w:before="220"/>
      </w:pPr>
      <w:r>
        <w:rPr>
          <w:rFonts w:ascii="Calibri" w:cs="Calibri" w:eastAsia="Calibri" w:hAnsi="Calibri"/>
          <w:b/>
          <w:bCs/>
          <w:color w:val="0F1B33"/>
          <w:sz w:val="23"/>
          <w:szCs w:val="23"/>
        </w:rPr>
        <w:t xml:space="preserve">3. Automate artifact building and packaging</w:t>
      </w:r>
    </w:p>
    <w:p>
      <w:pPr>
        <w:spacing w:after="120" w:line="276"/>
      </w:pPr>
      <w:r>
        <w:rPr>
          <w:rFonts w:ascii="Calibri" w:cs="Calibri" w:eastAsia="Calibri" w:hAnsi="Calibri"/>
          <w:color w:val="222222"/>
          <w:sz w:val="21"/>
          <w:szCs w:val="21"/>
        </w:rPr>
        <w:t xml:space="preserve">Create automated processes for packaging skills, assistants, and configuration bundles (via the ADK CLI) so they can be deployed consistently rather than manually assembled each time.</w:t>
      </w:r>
    </w:p>
    <w:p>
      <w:pPr>
        <w:pStyle w:val="Heading3"/>
        <w:spacing w:after="100" w:before="220"/>
      </w:pPr>
      <w:r>
        <w:rPr>
          <w:rFonts w:ascii="Calibri" w:cs="Calibri" w:eastAsia="Calibri" w:hAnsi="Calibri"/>
          <w:b/>
          <w:bCs/>
          <w:color w:val="0F1B33"/>
          <w:sz w:val="23"/>
          <w:szCs w:val="23"/>
        </w:rPr>
        <w:t xml:space="preserve">4. Implement automated testing</w:t>
      </w:r>
    </w:p>
    <w:p>
      <w:pPr>
        <w:spacing w:after="120" w:line="276"/>
      </w:pPr>
      <w:r>
        <w:rPr>
          <w:rFonts w:ascii="Calibri" w:cs="Calibri" w:eastAsia="Calibri" w:hAnsi="Calibri"/>
          <w:color w:val="222222"/>
          <w:sz w:val="21"/>
          <w:szCs w:val="21"/>
        </w:rPr>
        <w:t xml:space="preserve">Configure unit tests, integration tests, and conversation-flow validation (leveraging the ADK Evaluation Framework from Task 4.3) as pipeline stages that must pass before promotion continues.</w:t>
      </w:r>
    </w:p>
    <w:p>
      <w:pPr>
        <w:pStyle w:val="Heading3"/>
        <w:spacing w:after="100" w:before="220"/>
      </w:pPr>
      <w:r>
        <w:rPr>
          <w:rFonts w:ascii="Calibri" w:cs="Calibri" w:eastAsia="Calibri" w:hAnsi="Calibri"/>
          <w:b/>
          <w:bCs/>
          <w:color w:val="0F1B33"/>
          <w:sz w:val="23"/>
          <w:szCs w:val="23"/>
        </w:rPr>
        <w:t xml:space="preserve">5. Configure deployment automation</w:t>
      </w:r>
    </w:p>
    <w:p>
      <w:pPr>
        <w:spacing w:after="120" w:line="276"/>
      </w:pPr>
      <w:r>
        <w:rPr>
          <w:rFonts w:ascii="Calibri" w:cs="Calibri" w:eastAsia="Calibri" w:hAnsi="Calibri"/>
          <w:color w:val="222222"/>
          <w:sz w:val="21"/>
          <w:szCs w:val="21"/>
        </w:rPr>
        <w:t xml:space="preserve">Set up automated deployment triggers, approval gates (human sign-off before promoting to Prod), and rollback mechanisms if a deployment introduces a regression.</w:t>
      </w:r>
    </w:p>
    <w:p>
      <w:pPr>
        <w:pStyle w:val="Heading3"/>
        <w:spacing w:after="100" w:before="220"/>
      </w:pPr>
      <w:r>
        <w:rPr>
          <w:rFonts w:ascii="Calibri" w:cs="Calibri" w:eastAsia="Calibri" w:hAnsi="Calibri"/>
          <w:b/>
          <w:bCs/>
          <w:color w:val="0F1B33"/>
          <w:sz w:val="23"/>
          <w:szCs w:val="23"/>
        </w:rPr>
        <w:t xml:space="preserve">6. Integrate with DevOps tools</w:t>
      </w:r>
    </w:p>
    <w:p>
      <w:pPr>
        <w:spacing w:after="120" w:line="276"/>
      </w:pPr>
      <w:r>
        <w:rPr>
          <w:rFonts w:ascii="Calibri" w:cs="Calibri" w:eastAsia="Calibri" w:hAnsi="Calibri"/>
          <w:color w:val="222222"/>
          <w:sz w:val="21"/>
          <w:szCs w:val="21"/>
        </w:rPr>
        <w:t xml:space="preserve">Connect with common CI/CD platforms such as Jenkins, GitLab CI, or Tekton, and configure the watsonx Orchestrate CLI/APIs as the deployment mechanism those pipelines invoke.</w:t>
      </w:r>
    </w:p>
    <w:p>
      <w:pPr>
        <w:pStyle w:val="Heading3"/>
        <w:spacing w:after="100" w:before="220"/>
      </w:pPr>
      <w:r>
        <w:rPr>
          <w:rFonts w:ascii="Calibri" w:cs="Calibri" w:eastAsia="Calibri" w:hAnsi="Calibri"/>
          <w:b/>
          <w:bCs/>
          <w:color w:val="0F1B33"/>
          <w:sz w:val="23"/>
          <w:szCs w:val="23"/>
        </w:rPr>
        <w:t xml:space="preserve">7. Implement monitoring and alerting in pipelines</w:t>
      </w:r>
    </w:p>
    <w:p>
      <w:pPr>
        <w:spacing w:after="120" w:line="276"/>
      </w:pPr>
      <w:r>
        <w:rPr>
          <w:rFonts w:ascii="Calibri" w:cs="Calibri" w:eastAsia="Calibri" w:hAnsi="Calibri"/>
          <w:color w:val="222222"/>
          <w:sz w:val="21"/>
          <w:szCs w:val="21"/>
        </w:rPr>
        <w:t xml:space="preserve">Configure pipeline health checks, post-deployment verification tests, and notification systems so failures in the pipeline itself (not just in the running agent) are caught quickly.</w:t>
      </w:r>
    </w:p>
    <w:p>
      <w:pPr>
        <w:pStyle w:val="Heading3"/>
        <w:spacing w:after="100" w:before="220"/>
      </w:pPr>
      <w:r>
        <w:rPr>
          <w:rFonts w:ascii="Calibri" w:cs="Calibri" w:eastAsia="Calibri" w:hAnsi="Calibri"/>
          <w:b/>
          <w:bCs/>
          <w:color w:val="0F1B33"/>
          <w:sz w:val="23"/>
          <w:szCs w:val="23"/>
        </w:rPr>
        <w:t xml:space="preserve">8. Manage secrets and credentials in pipelines</w:t>
      </w:r>
    </w:p>
    <w:p>
      <w:pPr>
        <w:spacing w:after="120" w:line="276"/>
      </w:pPr>
      <w:r>
        <w:rPr>
          <w:rFonts w:ascii="Calibri" w:cs="Calibri" w:eastAsia="Calibri" w:hAnsi="Calibri"/>
          <w:color w:val="222222"/>
          <w:sz w:val="21"/>
          <w:szCs w:val="21"/>
        </w:rPr>
        <w:t xml:space="preserve">Securely handle API keys, tokens, and other sensitive configuration data within the pipeline — using secrets managers or CI/CD-native secret stores rather than plaintext files — consistent with the security principles in Section 6.</w:t>
      </w:r>
    </w:p>
    <w:tbl>
      <w:tblPr>
        <w:tblW w:type="pct" w:w="100%"/>
        <w:tblBorders>
          <w:top w:val="single" w:color="C9A227" w:sz="4"/>
          <w:left w:val="single" w:color="C9A227" w:sz="4"/>
          <w:bottom w:val="single" w:color="C9A227" w:sz="4"/>
          <w:right w:val="single" w:color="C9A227" w:sz="4"/>
          <w:insideH w:val="none"/>
          <w:insideV w:val="none"/>
        </w:tblBorders>
      </w:tblPr>
      <w:tblGrid>
        <w:gridCol w:w="100"/>
      </w:tblGrid>
      <w:tr>
        <w:tc>
          <w:tcPr>
            <w:shd w:fill="F5E9C6" w:val="clear"/>
            <w:tcMar>
              <w:top w:type="dxa" w:w="150"/>
              <w:left w:type="dxa" w:w="200"/>
              <w:bottom w:type="dxa" w:w="150"/>
              <w:right w:type="dxa" w:w="200"/>
            </w:tcMar>
          </w:tcPr>
          <w:p>
            <w:pPr>
              <w:spacing w:after="80"/>
            </w:pPr>
            <w:r>
              <w:rPr>
                <w:rFonts w:ascii="Calibri" w:cs="Calibri" w:eastAsia="Calibri" w:hAnsi="Calibri"/>
                <w:b/>
                <w:bCs/>
                <w:color w:val="0F1B33"/>
                <w:sz w:val="21"/>
                <w:szCs w:val="21"/>
              </w:rPr>
              <w:t xml:space="preserve">💡 Exam Tip — Sections 5–7</w:t>
            </w:r>
          </w:p>
          <w:p>
            <w:pPr>
              <w:spacing w:after="40"/>
            </w:pPr>
            <w:r>
              <w:rPr>
                <w:rFonts w:ascii="Calibri" w:cs="Calibri" w:eastAsia="Calibri" w:hAnsi="Calibri"/>
                <w:color w:val="222222"/>
                <w:sz w:val="20"/>
                <w:szCs w:val="20"/>
              </w:rPr>
              <w:t xml:space="preserve">• Know the difference between AI Gateway (model routing/policy) and Model Policies (the rules applied within that routing) — they are frequently tested together.</w:t>
            </w:r>
          </w:p>
          <w:p>
            <w:pPr>
              <w:spacing w:after="40"/>
            </w:pPr>
            <w:r>
              <w:rPr>
                <w:rFonts w:ascii="Calibri" w:cs="Calibri" w:eastAsia="Calibri" w:hAnsi="Calibri"/>
                <w:color w:val="222222"/>
                <w:sz w:val="20"/>
                <w:szCs w:val="20"/>
              </w:rPr>
              <w:t xml:space="preserve">• Section 6 rewards knowing WHERE a control lives (RBAC vs. audit logs vs. plug-ins vs. governance dashboards) more than memorising exact menu paths.</w:t>
            </w:r>
          </w:p>
          <w:p>
            <w:pPr>
              <w:spacing w:after="40"/>
            </w:pPr>
            <w:r>
              <w:rPr>
                <w:rFonts w:ascii="Calibri" w:cs="Calibri" w:eastAsia="Calibri" w:hAnsi="Calibri"/>
                <w:color w:val="222222"/>
                <w:sz w:val="20"/>
                <w:szCs w:val="20"/>
              </w:rPr>
              <w:t xml:space="preserve">• For Section 7, remember that environments, knowledge bases, agents/gateways, and CI/CD are four distinct operational surfaces — a scenario question will often ask you to identify which one a described problem belongs to.</w:t>
            </w:r>
          </w:p>
        </w:tc>
      </w:tr>
    </w:tbl>
    <w:p>
      <w:r>
        <w:br w:type="page"/>
      </w:r>
    </w:p>
    <w:p>
      <w:pPr>
        <w:pStyle w:val="Heading1"/>
        <w:pBdr>
          <w:bottom w:val="single" w:color="C9A227" w:sz="12" w:space="4"/>
        </w:pBdr>
        <w:spacing w:after="200" w:before="400"/>
      </w:pPr>
      <w:r>
        <w:rPr>
          <w:rFonts w:ascii="Calibri" w:cs="Calibri" w:eastAsia="Calibri" w:hAnsi="Calibri"/>
          <w:b/>
          <w:bCs/>
          <w:color w:val="1B2A4A"/>
          <w:sz w:val="32"/>
          <w:szCs w:val="32"/>
        </w:rPr>
        <w:t xml:space="preserve">Appendix A: Glossary of Key Terms</w:t>
      </w:r>
    </w:p>
    <w:tbl>
      <w:tblPr>
        <w:tblW w:type="pct" w:w="100%"/>
        <w:tblBorders>
          <w:top w:val="single" w:color="D9D9D9" w:sz="4"/>
          <w:left w:val="single" w:color="D9D9D9" w:sz="4"/>
          <w:bottom w:val="single" w:color="D9D9D9" w:sz="4"/>
          <w:right w:val="single" w:color="D9D9D9" w:sz="4"/>
          <w:insideH w:val="single" w:color="D9D9D9" w:sz="4"/>
          <w:insideV w:val="single" w:color="D9D9D9" w:sz="4"/>
        </w:tblBorders>
      </w:tblPr>
      <w:tblGrid>
        <w:gridCol w:w="2600"/>
        <w:gridCol w:w="7100"/>
      </w:tblGrid>
      <w:tr>
        <w:trPr>
          <w:tblHeader/>
        </w:trPr>
        <w:tc>
          <w:tcPr>
            <w:tcW w:type="dxa" w:w="2600"/>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Term</w:t>
            </w:r>
          </w:p>
        </w:tc>
        <w:tc>
          <w:tcPr>
            <w:tcW w:type="dxa" w:w="7100"/>
            <w:shd w:fill="1B2A4A" w:val="clear"/>
            <w:tcMar>
              <w:top w:type="dxa" w:w="80"/>
              <w:left w:type="dxa" w:w="120"/>
              <w:bottom w:type="dxa" w:w="80"/>
              <w:right w:type="dxa" w:w="120"/>
            </w:tcMar>
          </w:tcPr>
          <w:p>
            <w:r>
              <w:rPr>
                <w:rFonts w:ascii="Calibri" w:cs="Calibri" w:eastAsia="Calibri" w:hAnsi="Calibri"/>
                <w:b/>
                <w:bCs/>
                <w:color w:val="FFFFFF"/>
                <w:sz w:val="20"/>
                <w:szCs w:val="20"/>
              </w:rPr>
              <w:t xml:space="preserve">Definition</w:t>
            </w:r>
          </w:p>
        </w:tc>
      </w:tr>
      <w:tr>
        <w:tc>
          <w:tcPr>
            <w:tcW w:type="dxa" w:w="2600"/>
            <w:shd w:fill="FFFFFF" w:val="clear"/>
            <w:tcMar>
              <w:top w:type="dxa" w:w="80"/>
              <w:left w:type="dxa" w:w="120"/>
              <w:bottom w:type="dxa" w:w="80"/>
              <w:right w:type="dxa" w:w="120"/>
            </w:tcMar>
          </w:tcPr>
          <w:p>
            <w:r>
              <w:rPr>
                <w:rFonts w:ascii="Calibri" w:cs="Calibri" w:eastAsia="Calibri" w:hAnsi="Calibri"/>
                <w:b/>
                <w:bCs/>
                <w:color w:val="0F1B33"/>
                <w:sz w:val="19"/>
                <w:szCs w:val="19"/>
              </w:rPr>
              <w:t xml:space="preserve">Agent</w:t>
            </w:r>
          </w:p>
        </w:tc>
        <w:tc>
          <w:tcPr>
            <w:tcW w:type="dxa" w:w="7100"/>
            <w:shd w:fill="FFFFFF" w:val="clear"/>
            <w:tcMar>
              <w:top w:type="dxa" w:w="80"/>
              <w:left w:type="dxa" w:w="120"/>
              <w:bottom w:type="dxa" w:w="80"/>
              <w:right w:type="dxa" w:w="120"/>
            </w:tcMar>
          </w:tcPr>
          <w:p>
            <w:r>
              <w:rPr>
                <w:rFonts w:ascii="Calibri" w:cs="Calibri" w:eastAsia="Calibri" w:hAnsi="Calibri"/>
                <w:color w:val="222222"/>
                <w:sz w:val="19"/>
                <w:szCs w:val="19"/>
              </w:rPr>
              <w:t xml:space="preserve">An LLM-driven entity with a profile, tools, optional knowledge, and optional collaborators that reasons and acts autonomously toward a goal (Plan → Execute → Reflect).</w:t>
            </w:r>
          </w:p>
        </w:tc>
      </w:tr>
      <w:tr>
        <w:tc>
          <w:tcPr>
            <w:tcW w:type="dxa" w:w="2600"/>
            <w:shd w:fill="F2F2F2" w:val="clear"/>
            <w:tcMar>
              <w:top w:type="dxa" w:w="80"/>
              <w:left w:type="dxa" w:w="120"/>
              <w:bottom w:type="dxa" w:w="80"/>
              <w:right w:type="dxa" w:w="120"/>
            </w:tcMar>
          </w:tcPr>
          <w:p>
            <w:r>
              <w:rPr>
                <w:rFonts w:ascii="Calibri" w:cs="Calibri" w:eastAsia="Calibri" w:hAnsi="Calibri"/>
                <w:b/>
                <w:bCs/>
                <w:color w:val="0F1B33"/>
                <w:sz w:val="19"/>
                <w:szCs w:val="19"/>
              </w:rPr>
              <w:t xml:space="preserve">Assistant</w:t>
            </w:r>
          </w:p>
        </w:tc>
        <w:tc>
          <w:tcPr>
            <w:tcW w:type="dxa" w:w="7100"/>
            <w:shd w:fill="F2F2F2" w:val="clear"/>
            <w:tcMar>
              <w:top w:type="dxa" w:w="80"/>
              <w:left w:type="dxa" w:w="120"/>
              <w:bottom w:type="dxa" w:w="80"/>
              <w:right w:type="dxa" w:w="120"/>
            </w:tcMar>
          </w:tcPr>
          <w:p>
            <w:r>
              <w:rPr>
                <w:rFonts w:ascii="Calibri" w:cs="Calibri" w:eastAsia="Calibri" w:hAnsi="Calibri"/>
                <w:color w:val="222222"/>
                <w:sz w:val="19"/>
                <w:szCs w:val="19"/>
              </w:rPr>
              <w:t xml:space="preserve">A conversational entity following a largely deterministic, designer-authored flow of actions/intents.</w:t>
            </w:r>
          </w:p>
        </w:tc>
      </w:tr>
      <w:tr>
        <w:tc>
          <w:tcPr>
            <w:tcW w:type="dxa" w:w="2600"/>
            <w:shd w:fill="FFFFFF" w:val="clear"/>
            <w:tcMar>
              <w:top w:type="dxa" w:w="80"/>
              <w:left w:type="dxa" w:w="120"/>
              <w:bottom w:type="dxa" w:w="80"/>
              <w:right w:type="dxa" w:w="120"/>
            </w:tcMar>
          </w:tcPr>
          <w:p>
            <w:r>
              <w:rPr>
                <w:rFonts w:ascii="Calibri" w:cs="Calibri" w:eastAsia="Calibri" w:hAnsi="Calibri"/>
                <w:b/>
                <w:bCs/>
                <w:color w:val="0F1B33"/>
                <w:sz w:val="19"/>
                <w:szCs w:val="19"/>
              </w:rPr>
              <w:t xml:space="preserve">Collaborator agent</w:t>
            </w:r>
          </w:p>
        </w:tc>
        <w:tc>
          <w:tcPr>
            <w:tcW w:type="dxa" w:w="7100"/>
            <w:shd w:fill="FFFFFF" w:val="clear"/>
            <w:tcMar>
              <w:top w:type="dxa" w:w="80"/>
              <w:left w:type="dxa" w:w="120"/>
              <w:bottom w:type="dxa" w:w="80"/>
              <w:right w:type="dxa" w:w="120"/>
            </w:tcMar>
          </w:tcPr>
          <w:p>
            <w:r>
              <w:rPr>
                <w:rFonts w:ascii="Calibri" w:cs="Calibri" w:eastAsia="Calibri" w:hAnsi="Calibri"/>
                <w:color w:val="222222"/>
                <w:sz w:val="19"/>
                <w:szCs w:val="19"/>
              </w:rPr>
              <w:t xml:space="preserve">Any agent a parent/orchestrator agent is permitted to delegate sub-tasks to.</w:t>
            </w:r>
          </w:p>
        </w:tc>
      </w:tr>
      <w:tr>
        <w:tc>
          <w:tcPr>
            <w:tcW w:type="dxa" w:w="2600"/>
            <w:shd w:fill="F2F2F2" w:val="clear"/>
            <w:tcMar>
              <w:top w:type="dxa" w:w="80"/>
              <w:left w:type="dxa" w:w="120"/>
              <w:bottom w:type="dxa" w:w="80"/>
              <w:right w:type="dxa" w:w="120"/>
            </w:tcMar>
          </w:tcPr>
          <w:p>
            <w:r>
              <w:rPr>
                <w:rFonts w:ascii="Calibri" w:cs="Calibri" w:eastAsia="Calibri" w:hAnsi="Calibri"/>
                <w:b/>
                <w:bCs/>
                <w:color w:val="0F1B33"/>
                <w:sz w:val="19"/>
                <w:szCs w:val="19"/>
              </w:rPr>
              <w:t xml:space="preserve">External agent</w:t>
            </w:r>
          </w:p>
        </w:tc>
        <w:tc>
          <w:tcPr>
            <w:tcW w:type="dxa" w:w="7100"/>
            <w:shd w:fill="F2F2F2" w:val="clear"/>
            <w:tcMar>
              <w:top w:type="dxa" w:w="80"/>
              <w:left w:type="dxa" w:w="120"/>
              <w:bottom w:type="dxa" w:w="80"/>
              <w:right w:type="dxa" w:w="120"/>
            </w:tcMar>
          </w:tcPr>
          <w:p>
            <w:r>
              <w:rPr>
                <w:rFonts w:ascii="Calibri" w:cs="Calibri" w:eastAsia="Calibri" w:hAnsi="Calibri"/>
                <w:color w:val="222222"/>
                <w:sz w:val="19"/>
                <w:szCs w:val="19"/>
              </w:rPr>
              <w:t xml:space="preserve">An agent hosted outside watsonx Orchestrate's native runtime, integrated via external_chat, an AI-service/Agent Connect endpoint, or A2A.</w:t>
            </w:r>
          </w:p>
        </w:tc>
      </w:tr>
      <w:tr>
        <w:tc>
          <w:tcPr>
            <w:tcW w:type="dxa" w:w="2600"/>
            <w:shd w:fill="FFFFFF" w:val="clear"/>
            <w:tcMar>
              <w:top w:type="dxa" w:w="80"/>
              <w:left w:type="dxa" w:w="120"/>
              <w:bottom w:type="dxa" w:w="80"/>
              <w:right w:type="dxa" w:w="120"/>
            </w:tcMar>
          </w:tcPr>
          <w:p>
            <w:r>
              <w:rPr>
                <w:rFonts w:ascii="Calibri" w:cs="Calibri" w:eastAsia="Calibri" w:hAnsi="Calibri"/>
                <w:b/>
                <w:bCs/>
                <w:color w:val="0F1B33"/>
                <w:sz w:val="19"/>
                <w:szCs w:val="19"/>
              </w:rPr>
              <w:t xml:space="preserve">A2A (Agent2Agent)</w:t>
            </w:r>
          </w:p>
        </w:tc>
        <w:tc>
          <w:tcPr>
            <w:tcW w:type="dxa" w:w="7100"/>
            <w:shd w:fill="FFFFFF" w:val="clear"/>
            <w:tcMar>
              <w:top w:type="dxa" w:w="80"/>
              <w:left w:type="dxa" w:w="120"/>
              <w:bottom w:type="dxa" w:w="80"/>
              <w:right w:type="dxa" w:w="120"/>
            </w:tcMar>
          </w:tcPr>
          <w:p>
            <w:r>
              <w:rPr>
                <w:rFonts w:ascii="Calibri" w:cs="Calibri" w:eastAsia="Calibri" w:hAnsi="Calibri"/>
                <w:color w:val="222222"/>
                <w:sz w:val="19"/>
                <w:szCs w:val="19"/>
              </w:rPr>
              <w:t xml:space="preserve">An open protocol for agent interoperability across frameworks; external A2A agents can only be configured via the ADK.</w:t>
            </w:r>
          </w:p>
        </w:tc>
      </w:tr>
      <w:tr>
        <w:tc>
          <w:tcPr>
            <w:tcW w:type="dxa" w:w="2600"/>
            <w:shd w:fill="F2F2F2" w:val="clear"/>
            <w:tcMar>
              <w:top w:type="dxa" w:w="80"/>
              <w:left w:type="dxa" w:w="120"/>
              <w:bottom w:type="dxa" w:w="80"/>
              <w:right w:type="dxa" w:w="120"/>
            </w:tcMar>
          </w:tcPr>
          <w:p>
            <w:r>
              <w:rPr>
                <w:rFonts w:ascii="Calibri" w:cs="Calibri" w:eastAsia="Calibri" w:hAnsi="Calibri"/>
                <w:b/>
                <w:bCs/>
                <w:color w:val="0F1B33"/>
                <w:sz w:val="19"/>
                <w:szCs w:val="19"/>
              </w:rPr>
              <w:t xml:space="preserve">ADK (Agent Development Kit)</w:t>
            </w:r>
          </w:p>
        </w:tc>
        <w:tc>
          <w:tcPr>
            <w:tcW w:type="dxa" w:w="7100"/>
            <w:shd w:fill="F2F2F2" w:val="clear"/>
            <w:tcMar>
              <w:top w:type="dxa" w:w="80"/>
              <w:left w:type="dxa" w:w="120"/>
              <w:bottom w:type="dxa" w:w="80"/>
              <w:right w:type="dxa" w:w="120"/>
            </w:tcMar>
          </w:tcPr>
          <w:p>
            <w:r>
              <w:rPr>
                <w:rFonts w:ascii="Calibri" w:cs="Calibri" w:eastAsia="Calibri" w:hAnsi="Calibri"/>
                <w:color w:val="222222"/>
                <w:sz w:val="19"/>
                <w:szCs w:val="19"/>
              </w:rPr>
              <w:t xml:space="preserve">The pro-code toolchain (CLI, Python SDK, Developer Edition) for defining and deploying agents, tools, connections, and knowledge bases as code.</w:t>
            </w:r>
          </w:p>
        </w:tc>
      </w:tr>
      <w:tr>
        <w:tc>
          <w:tcPr>
            <w:tcW w:type="dxa" w:w="2600"/>
            <w:shd w:fill="FFFFFF" w:val="clear"/>
            <w:tcMar>
              <w:top w:type="dxa" w:w="80"/>
              <w:left w:type="dxa" w:w="120"/>
              <w:bottom w:type="dxa" w:w="80"/>
              <w:right w:type="dxa" w:w="120"/>
            </w:tcMar>
          </w:tcPr>
          <w:p>
            <w:r>
              <w:rPr>
                <w:rFonts w:ascii="Calibri" w:cs="Calibri" w:eastAsia="Calibri" w:hAnsi="Calibri"/>
                <w:b/>
                <w:bCs/>
                <w:color w:val="0F1B33"/>
                <w:sz w:val="19"/>
                <w:szCs w:val="19"/>
              </w:rPr>
              <w:t xml:space="preserve">Agent Builder</w:t>
            </w:r>
          </w:p>
        </w:tc>
        <w:tc>
          <w:tcPr>
            <w:tcW w:type="dxa" w:w="7100"/>
            <w:shd w:fill="FFFFFF" w:val="clear"/>
            <w:tcMar>
              <w:top w:type="dxa" w:w="80"/>
              <w:left w:type="dxa" w:w="120"/>
              <w:bottom w:type="dxa" w:w="80"/>
              <w:right w:type="dxa" w:w="120"/>
            </w:tcMar>
          </w:tcPr>
          <w:p>
            <w:r>
              <w:rPr>
                <w:rFonts w:ascii="Calibri" w:cs="Calibri" w:eastAsia="Calibri" w:hAnsi="Calibri"/>
                <w:color w:val="222222"/>
                <w:sz w:val="19"/>
                <w:szCs w:val="19"/>
              </w:rPr>
              <w:t xml:space="preserve">The no-code, low-code UI for designing, customising, testing, and deploying agents.</w:t>
            </w:r>
          </w:p>
        </w:tc>
      </w:tr>
      <w:tr>
        <w:tc>
          <w:tcPr>
            <w:tcW w:type="dxa" w:w="2600"/>
            <w:shd w:fill="F2F2F2" w:val="clear"/>
            <w:tcMar>
              <w:top w:type="dxa" w:w="80"/>
              <w:left w:type="dxa" w:w="120"/>
              <w:bottom w:type="dxa" w:w="80"/>
              <w:right w:type="dxa" w:w="120"/>
            </w:tcMar>
          </w:tcPr>
          <w:p>
            <w:r>
              <w:rPr>
                <w:rFonts w:ascii="Calibri" w:cs="Calibri" w:eastAsia="Calibri" w:hAnsi="Calibri"/>
                <w:b/>
                <w:bCs/>
                <w:color w:val="0F1B33"/>
                <w:sz w:val="19"/>
                <w:szCs w:val="19"/>
              </w:rPr>
              <w:t xml:space="preserve">Agent Catalog</w:t>
            </w:r>
          </w:p>
        </w:tc>
        <w:tc>
          <w:tcPr>
            <w:tcW w:type="dxa" w:w="7100"/>
            <w:shd w:fill="F2F2F2" w:val="clear"/>
            <w:tcMar>
              <w:top w:type="dxa" w:w="80"/>
              <w:left w:type="dxa" w:w="120"/>
              <w:bottom w:type="dxa" w:w="80"/>
              <w:right w:type="dxa" w:w="120"/>
            </w:tcMar>
          </w:tcPr>
          <w:p>
            <w:r>
              <w:rPr>
                <w:rFonts w:ascii="Calibri" w:cs="Calibri" w:eastAsia="Calibri" w:hAnsi="Calibri"/>
                <w:color w:val="222222"/>
                <w:sz w:val="19"/>
                <w:szCs w:val="19"/>
              </w:rPr>
              <w:t xml:space="preserve">A governed repository of prebuilt IBM and partner agents/tools that can be deployed as-is or adapted.</w:t>
            </w:r>
          </w:p>
        </w:tc>
      </w:tr>
      <w:tr>
        <w:tc>
          <w:tcPr>
            <w:tcW w:type="dxa" w:w="2600"/>
            <w:shd w:fill="FFFFFF" w:val="clear"/>
            <w:tcMar>
              <w:top w:type="dxa" w:w="80"/>
              <w:left w:type="dxa" w:w="120"/>
              <w:bottom w:type="dxa" w:w="80"/>
              <w:right w:type="dxa" w:w="120"/>
            </w:tcMar>
          </w:tcPr>
          <w:p>
            <w:r>
              <w:rPr>
                <w:rFonts w:ascii="Calibri" w:cs="Calibri" w:eastAsia="Calibri" w:hAnsi="Calibri"/>
                <w:b/>
                <w:bCs/>
                <w:color w:val="0F1B33"/>
                <w:sz w:val="19"/>
                <w:szCs w:val="19"/>
              </w:rPr>
              <w:t xml:space="preserve">Agentic Workflow / Flow Builder</w:t>
            </w:r>
          </w:p>
        </w:tc>
        <w:tc>
          <w:tcPr>
            <w:tcW w:type="dxa" w:w="7100"/>
            <w:shd w:fill="FFFFFF" w:val="clear"/>
            <w:tcMar>
              <w:top w:type="dxa" w:w="80"/>
              <w:left w:type="dxa" w:w="120"/>
              <w:bottom w:type="dxa" w:w="80"/>
              <w:right w:type="dxa" w:w="120"/>
            </w:tcMar>
          </w:tcPr>
          <w:p>
            <w:r>
              <w:rPr>
                <w:rFonts w:ascii="Calibri" w:cs="Calibri" w:eastAsia="Calibri" w:hAnsi="Calibri"/>
                <w:color w:val="222222"/>
                <w:sz w:val="19"/>
                <w:szCs w:val="19"/>
              </w:rPr>
              <w:t xml:space="preserve">A visual/declarative flow combining tools, agents, code blocks, and human-in-the-loop steps into a structured, repeatable automation.</w:t>
            </w:r>
          </w:p>
        </w:tc>
      </w:tr>
      <w:tr>
        <w:tc>
          <w:tcPr>
            <w:tcW w:type="dxa" w:w="2600"/>
            <w:shd w:fill="F2F2F2" w:val="clear"/>
            <w:tcMar>
              <w:top w:type="dxa" w:w="80"/>
              <w:left w:type="dxa" w:w="120"/>
              <w:bottom w:type="dxa" w:w="80"/>
              <w:right w:type="dxa" w:w="120"/>
            </w:tcMar>
          </w:tcPr>
          <w:p>
            <w:r>
              <w:rPr>
                <w:rFonts w:ascii="Calibri" w:cs="Calibri" w:eastAsia="Calibri" w:hAnsi="Calibri"/>
                <w:b/>
                <w:bCs/>
                <w:color w:val="0F1B33"/>
                <w:sz w:val="19"/>
                <w:szCs w:val="19"/>
              </w:rPr>
              <w:t xml:space="preserve">AI Gateway</w:t>
            </w:r>
          </w:p>
        </w:tc>
        <w:tc>
          <w:tcPr>
            <w:tcW w:type="dxa" w:w="7100"/>
            <w:shd w:fill="F2F2F2" w:val="clear"/>
            <w:tcMar>
              <w:top w:type="dxa" w:w="80"/>
              <w:left w:type="dxa" w:w="120"/>
              <w:bottom w:type="dxa" w:w="80"/>
              <w:right w:type="dxa" w:w="120"/>
            </w:tcMar>
          </w:tcPr>
          <w:p>
            <w:r>
              <w:rPr>
                <w:rFonts w:ascii="Calibri" w:cs="Calibri" w:eastAsia="Calibri" w:hAnsi="Calibri"/>
                <w:color w:val="222222"/>
                <w:sz w:val="19"/>
                <w:szCs w:val="19"/>
              </w:rPr>
              <w:t xml:space="preserve">A unified layer for registering multiple LLM/embedding providers and routing requests to them via configurable policies.</w:t>
            </w:r>
          </w:p>
        </w:tc>
      </w:tr>
      <w:tr>
        <w:tc>
          <w:tcPr>
            <w:tcW w:type="dxa" w:w="2600"/>
            <w:shd w:fill="FFFFFF" w:val="clear"/>
            <w:tcMar>
              <w:top w:type="dxa" w:w="80"/>
              <w:left w:type="dxa" w:w="120"/>
              <w:bottom w:type="dxa" w:w="80"/>
              <w:right w:type="dxa" w:w="120"/>
            </w:tcMar>
          </w:tcPr>
          <w:p>
            <w:r>
              <w:rPr>
                <w:rFonts w:ascii="Calibri" w:cs="Calibri" w:eastAsia="Calibri" w:hAnsi="Calibri"/>
                <w:b/>
                <w:bCs/>
                <w:color w:val="0F1B33"/>
                <w:sz w:val="19"/>
                <w:szCs w:val="19"/>
              </w:rPr>
              <w:t xml:space="preserve">Model policy</w:t>
            </w:r>
          </w:p>
        </w:tc>
        <w:tc>
          <w:tcPr>
            <w:tcW w:type="dxa" w:w="7100"/>
            <w:shd w:fill="FFFFFF" w:val="clear"/>
            <w:tcMar>
              <w:top w:type="dxa" w:w="80"/>
              <w:left w:type="dxa" w:w="120"/>
              <w:bottom w:type="dxa" w:w="80"/>
              <w:right w:type="dxa" w:w="120"/>
            </w:tcMar>
          </w:tcPr>
          <w:p>
            <w:r>
              <w:rPr>
                <w:rFonts w:ascii="Calibri" w:cs="Calibri" w:eastAsia="Calibri" w:hAnsi="Calibri"/>
                <w:color w:val="222222"/>
                <w:sz w:val="19"/>
                <w:szCs w:val="19"/>
              </w:rPr>
              <w:t xml:space="preserve">A rule set governing default model selection, failover, and guardrails within the AI Gateway.</w:t>
            </w:r>
          </w:p>
        </w:tc>
      </w:tr>
      <w:tr>
        <w:tc>
          <w:tcPr>
            <w:tcW w:type="dxa" w:w="2600"/>
            <w:shd w:fill="F2F2F2" w:val="clear"/>
            <w:tcMar>
              <w:top w:type="dxa" w:w="80"/>
              <w:left w:type="dxa" w:w="120"/>
              <w:bottom w:type="dxa" w:w="80"/>
              <w:right w:type="dxa" w:w="120"/>
            </w:tcMar>
          </w:tcPr>
          <w:p>
            <w:r>
              <w:rPr>
                <w:rFonts w:ascii="Calibri" w:cs="Calibri" w:eastAsia="Calibri" w:hAnsi="Calibri"/>
                <w:b/>
                <w:bCs/>
                <w:color w:val="0F1B33"/>
                <w:sz w:val="19"/>
                <w:szCs w:val="19"/>
              </w:rPr>
              <w:t xml:space="preserve">Knowledge Base</w:t>
            </w:r>
          </w:p>
        </w:tc>
        <w:tc>
          <w:tcPr>
            <w:tcW w:type="dxa" w:w="7100"/>
            <w:shd w:fill="F2F2F2" w:val="clear"/>
            <w:tcMar>
              <w:top w:type="dxa" w:w="80"/>
              <w:left w:type="dxa" w:w="120"/>
              <w:bottom w:type="dxa" w:w="80"/>
              <w:right w:type="dxa" w:w="120"/>
            </w:tcMar>
          </w:tcPr>
          <w:p>
            <w:r>
              <w:rPr>
                <w:rFonts w:ascii="Calibri" w:cs="Calibri" w:eastAsia="Calibri" w:hAnsi="Calibri"/>
                <w:color w:val="222222"/>
                <w:sz w:val="19"/>
                <w:szCs w:val="19"/>
              </w:rPr>
              <w:t xml:space="preserve">A document/vector-store backed repository that grounds agent answers in enterprise content (RAG).</w:t>
            </w:r>
          </w:p>
        </w:tc>
      </w:tr>
      <w:tr>
        <w:tc>
          <w:tcPr>
            <w:tcW w:type="dxa" w:w="2600"/>
            <w:shd w:fill="FFFFFF" w:val="clear"/>
            <w:tcMar>
              <w:top w:type="dxa" w:w="80"/>
              <w:left w:type="dxa" w:w="120"/>
              <w:bottom w:type="dxa" w:w="80"/>
              <w:right w:type="dxa" w:w="120"/>
            </w:tcMar>
          </w:tcPr>
          <w:p>
            <w:r>
              <w:rPr>
                <w:rFonts w:ascii="Calibri" w:cs="Calibri" w:eastAsia="Calibri" w:hAnsi="Calibri"/>
                <w:b/>
                <w:bCs/>
                <w:color w:val="0F1B33"/>
                <w:sz w:val="19"/>
                <w:szCs w:val="19"/>
              </w:rPr>
              <w:t xml:space="preserve">MCP (Model Context Protocol)</w:t>
            </w:r>
          </w:p>
        </w:tc>
        <w:tc>
          <w:tcPr>
            <w:tcW w:type="dxa" w:w="7100"/>
            <w:shd w:fill="FFFFFF" w:val="clear"/>
            <w:tcMar>
              <w:top w:type="dxa" w:w="80"/>
              <w:left w:type="dxa" w:w="120"/>
              <w:bottom w:type="dxa" w:w="80"/>
              <w:right w:type="dxa" w:w="120"/>
            </w:tcMar>
          </w:tcPr>
          <w:p>
            <w:r>
              <w:rPr>
                <w:rFonts w:ascii="Calibri" w:cs="Calibri" w:eastAsia="Calibri" w:hAnsi="Calibri"/>
                <w:color w:val="222222"/>
                <w:sz w:val="19"/>
                <w:szCs w:val="19"/>
              </w:rPr>
              <w:t xml:space="preserve">An open standard letting AI agents call external tools/data sources through a consistent, structured, framework-agnostic interface.</w:t>
            </w:r>
          </w:p>
        </w:tc>
      </w:tr>
      <w:tr>
        <w:tc>
          <w:tcPr>
            <w:tcW w:type="dxa" w:w="2600"/>
            <w:shd w:fill="F2F2F2" w:val="clear"/>
            <w:tcMar>
              <w:top w:type="dxa" w:w="80"/>
              <w:left w:type="dxa" w:w="120"/>
              <w:bottom w:type="dxa" w:w="80"/>
              <w:right w:type="dxa" w:w="120"/>
            </w:tcMar>
          </w:tcPr>
          <w:p>
            <w:r>
              <w:rPr>
                <w:rFonts w:ascii="Calibri" w:cs="Calibri" w:eastAsia="Calibri" w:hAnsi="Calibri"/>
                <w:b/>
                <w:bCs/>
                <w:color w:val="0F1B33"/>
                <w:sz w:val="19"/>
                <w:szCs w:val="19"/>
              </w:rPr>
              <w:t xml:space="preserve">ContextForge MCP Gateway</w:t>
            </w:r>
          </w:p>
        </w:tc>
        <w:tc>
          <w:tcPr>
            <w:tcW w:type="dxa" w:w="7100"/>
            <w:shd w:fill="F2F2F2" w:val="clear"/>
            <w:tcMar>
              <w:top w:type="dxa" w:w="80"/>
              <w:left w:type="dxa" w:w="120"/>
              <w:bottom w:type="dxa" w:w="80"/>
              <w:right w:type="dxa" w:w="120"/>
            </w:tcMar>
          </w:tcPr>
          <w:p>
            <w:r>
              <w:rPr>
                <w:rFonts w:ascii="Calibri" w:cs="Calibri" w:eastAsia="Calibri" w:hAnsi="Calibri"/>
                <w:color w:val="222222"/>
                <w:sz w:val="19"/>
                <w:szCs w:val="19"/>
              </w:rPr>
              <w:t xml:space="preserve">A proxy/registry for MCP tools that lets you register multiple MCP servers, combine tools into virtual servers, and expose a governed subset to agents.</w:t>
            </w:r>
          </w:p>
        </w:tc>
      </w:tr>
      <w:tr>
        <w:tc>
          <w:tcPr>
            <w:tcW w:type="dxa" w:w="2600"/>
            <w:shd w:fill="FFFFFF" w:val="clear"/>
            <w:tcMar>
              <w:top w:type="dxa" w:w="80"/>
              <w:left w:type="dxa" w:w="120"/>
              <w:bottom w:type="dxa" w:w="80"/>
              <w:right w:type="dxa" w:w="120"/>
            </w:tcMar>
          </w:tcPr>
          <w:p>
            <w:r>
              <w:rPr>
                <w:rFonts w:ascii="Calibri" w:cs="Calibri" w:eastAsia="Calibri" w:hAnsi="Calibri"/>
                <w:b/>
                <w:bCs/>
                <w:color w:val="0F1B33"/>
                <w:sz w:val="19"/>
                <w:szCs w:val="19"/>
              </w:rPr>
              <w:t xml:space="preserve">Langflow</w:t>
            </w:r>
          </w:p>
        </w:tc>
        <w:tc>
          <w:tcPr>
            <w:tcW w:type="dxa" w:w="7100"/>
            <w:shd w:fill="FFFFFF" w:val="clear"/>
            <w:tcMar>
              <w:top w:type="dxa" w:w="80"/>
              <w:left w:type="dxa" w:w="120"/>
              <w:bottom w:type="dxa" w:w="80"/>
              <w:right w:type="dxa" w:w="120"/>
            </w:tcMar>
          </w:tcPr>
          <w:p>
            <w:r>
              <w:rPr>
                <w:rFonts w:ascii="Calibri" w:cs="Calibri" w:eastAsia="Calibri" w:hAnsi="Calibri"/>
                <w:color w:val="222222"/>
                <w:sz w:val="19"/>
                <w:szCs w:val="19"/>
              </w:rPr>
              <w:t xml:space="preserve">An open-source visual builder for LLM applications; flows are exported as JSON and imported into watsonx Orchestrate as tools.</w:t>
            </w:r>
          </w:p>
        </w:tc>
      </w:tr>
      <w:tr>
        <w:tc>
          <w:tcPr>
            <w:tcW w:type="dxa" w:w="2600"/>
            <w:shd w:fill="F2F2F2" w:val="clear"/>
            <w:tcMar>
              <w:top w:type="dxa" w:w="80"/>
              <w:left w:type="dxa" w:w="120"/>
              <w:bottom w:type="dxa" w:w="80"/>
              <w:right w:type="dxa" w:w="120"/>
            </w:tcMar>
          </w:tcPr>
          <w:p>
            <w:r>
              <w:rPr>
                <w:rFonts w:ascii="Calibri" w:cs="Calibri" w:eastAsia="Calibri" w:hAnsi="Calibri"/>
                <w:b/>
                <w:bCs/>
                <w:color w:val="0F1B33"/>
                <w:sz w:val="19"/>
                <w:szCs w:val="19"/>
              </w:rPr>
              <w:t xml:space="preserve">Langfuse</w:t>
            </w:r>
          </w:p>
        </w:tc>
        <w:tc>
          <w:tcPr>
            <w:tcW w:type="dxa" w:w="7100"/>
            <w:shd w:fill="F2F2F2" w:val="clear"/>
            <w:tcMar>
              <w:top w:type="dxa" w:w="80"/>
              <w:left w:type="dxa" w:w="120"/>
              <w:bottom w:type="dxa" w:w="80"/>
              <w:right w:type="dxa" w:w="120"/>
            </w:tcMar>
          </w:tcPr>
          <w:p>
            <w:r>
              <w:rPr>
                <w:rFonts w:ascii="Calibri" w:cs="Calibri" w:eastAsia="Calibri" w:hAnsi="Calibri"/>
                <w:color w:val="222222"/>
                <w:sz w:val="19"/>
                <w:szCs w:val="19"/>
              </w:rPr>
              <w:t xml:space="preserve">An open-source LLM observability platform with a native watsonx Orchestrate ADK integration for tracing prompts, tool calls, and outputs.</w:t>
            </w:r>
          </w:p>
        </w:tc>
      </w:tr>
      <w:tr>
        <w:tc>
          <w:tcPr>
            <w:tcW w:type="dxa" w:w="2600"/>
            <w:shd w:fill="FFFFFF" w:val="clear"/>
            <w:tcMar>
              <w:top w:type="dxa" w:w="80"/>
              <w:left w:type="dxa" w:w="120"/>
              <w:bottom w:type="dxa" w:w="80"/>
              <w:right w:type="dxa" w:w="120"/>
            </w:tcMar>
          </w:tcPr>
          <w:p>
            <w:r>
              <w:rPr>
                <w:rFonts w:ascii="Calibri" w:cs="Calibri" w:eastAsia="Calibri" w:hAnsi="Calibri"/>
                <w:b/>
                <w:bCs/>
                <w:color w:val="0F1B33"/>
                <w:sz w:val="19"/>
                <w:szCs w:val="19"/>
              </w:rPr>
              <w:t xml:space="preserve">Environment</w:t>
            </w:r>
          </w:p>
        </w:tc>
        <w:tc>
          <w:tcPr>
            <w:tcW w:type="dxa" w:w="7100"/>
            <w:shd w:fill="FFFFFF" w:val="clear"/>
            <w:tcMar>
              <w:top w:type="dxa" w:w="80"/>
              <w:left w:type="dxa" w:w="120"/>
              <w:bottom w:type="dxa" w:w="80"/>
              <w:right w:type="dxa" w:w="120"/>
            </w:tcMar>
          </w:tcPr>
          <w:p>
            <w:r>
              <w:rPr>
                <w:rFonts w:ascii="Calibri" w:cs="Calibri" w:eastAsia="Calibri" w:hAnsi="Calibri"/>
                <w:color w:val="222222"/>
                <w:sz w:val="19"/>
                <w:szCs w:val="19"/>
              </w:rPr>
              <w:t xml:space="preserve">An isolated configuration/version context (Dev, Test, Prod) used to promote agents safely through a lifecycle.</w:t>
            </w:r>
          </w:p>
        </w:tc>
      </w:tr>
      <w:tr>
        <w:tc>
          <w:tcPr>
            <w:tcW w:type="dxa" w:w="2600"/>
            <w:shd w:fill="F2F2F2" w:val="clear"/>
            <w:tcMar>
              <w:top w:type="dxa" w:w="80"/>
              <w:left w:type="dxa" w:w="120"/>
              <w:bottom w:type="dxa" w:w="80"/>
              <w:right w:type="dxa" w:w="120"/>
            </w:tcMar>
          </w:tcPr>
          <w:p>
            <w:r>
              <w:rPr>
                <w:rFonts w:ascii="Calibri" w:cs="Calibri" w:eastAsia="Calibri" w:hAnsi="Calibri"/>
                <w:b/>
                <w:bCs/>
                <w:color w:val="0F1B33"/>
                <w:sz w:val="19"/>
                <w:szCs w:val="19"/>
              </w:rPr>
              <w:t xml:space="preserve">Connection</w:t>
            </w:r>
          </w:p>
        </w:tc>
        <w:tc>
          <w:tcPr>
            <w:tcW w:type="dxa" w:w="7100"/>
            <w:shd w:fill="F2F2F2" w:val="clear"/>
            <w:tcMar>
              <w:top w:type="dxa" w:w="80"/>
              <w:left w:type="dxa" w:w="120"/>
              <w:bottom w:type="dxa" w:w="80"/>
              <w:right w:type="dxa" w:w="120"/>
            </w:tcMar>
          </w:tcPr>
          <w:p>
            <w:r>
              <w:rPr>
                <w:rFonts w:ascii="Calibri" w:cs="Calibri" w:eastAsia="Calibri" w:hAnsi="Calibri"/>
                <w:color w:val="222222"/>
                <w:sz w:val="19"/>
                <w:szCs w:val="19"/>
              </w:rPr>
              <w:t xml:space="preserve">A secured credential/endpoint object that lets tools and agents reach external systems.</w:t>
            </w:r>
          </w:p>
        </w:tc>
      </w:tr>
      <w:tr>
        <w:tc>
          <w:tcPr>
            <w:tcW w:type="dxa" w:w="2600"/>
            <w:shd w:fill="FFFFFF" w:val="clear"/>
            <w:tcMar>
              <w:top w:type="dxa" w:w="80"/>
              <w:left w:type="dxa" w:w="120"/>
              <w:bottom w:type="dxa" w:w="80"/>
              <w:right w:type="dxa" w:w="120"/>
            </w:tcMar>
          </w:tcPr>
          <w:p>
            <w:r>
              <w:rPr>
                <w:rFonts w:ascii="Calibri" w:cs="Calibri" w:eastAsia="Calibri" w:hAnsi="Calibri"/>
                <w:b/>
                <w:bCs/>
                <w:color w:val="0F1B33"/>
                <w:sz w:val="19"/>
                <w:szCs w:val="19"/>
              </w:rPr>
              <w:t xml:space="preserve">RBAC</w:t>
            </w:r>
          </w:p>
        </w:tc>
        <w:tc>
          <w:tcPr>
            <w:tcW w:type="dxa" w:w="7100"/>
            <w:shd w:fill="FFFFFF" w:val="clear"/>
            <w:tcMar>
              <w:top w:type="dxa" w:w="80"/>
              <w:left w:type="dxa" w:w="120"/>
              <w:bottom w:type="dxa" w:w="80"/>
              <w:right w:type="dxa" w:w="120"/>
            </w:tcMar>
          </w:tcPr>
          <w:p>
            <w:r>
              <w:rPr>
                <w:rFonts w:ascii="Calibri" w:cs="Calibri" w:eastAsia="Calibri" w:hAnsi="Calibri"/>
                <w:color w:val="222222"/>
                <w:sz w:val="19"/>
                <w:szCs w:val="19"/>
              </w:rPr>
              <w:t xml:space="preserve">Role-based access control — defined roles governing what actions a user or service account may perform in watsonx Orchestrate.</w:t>
            </w:r>
          </w:p>
        </w:tc>
      </w:tr>
      <w:tr>
        <w:tc>
          <w:tcPr>
            <w:tcW w:type="dxa" w:w="2600"/>
            <w:shd w:fill="F2F2F2" w:val="clear"/>
            <w:tcMar>
              <w:top w:type="dxa" w:w="80"/>
              <w:left w:type="dxa" w:w="120"/>
              <w:bottom w:type="dxa" w:w="80"/>
              <w:right w:type="dxa" w:w="120"/>
            </w:tcMar>
          </w:tcPr>
          <w:p>
            <w:r>
              <w:rPr>
                <w:rFonts w:ascii="Calibri" w:cs="Calibri" w:eastAsia="Calibri" w:hAnsi="Calibri"/>
                <w:b/>
                <w:bCs/>
                <w:color w:val="0F1B33"/>
                <w:sz w:val="19"/>
                <w:szCs w:val="19"/>
              </w:rPr>
              <w:t xml:space="preserve">SPbD (Security and Privacy by Design)</w:t>
            </w:r>
          </w:p>
        </w:tc>
        <w:tc>
          <w:tcPr>
            <w:tcW w:type="dxa" w:w="7100"/>
            <w:shd w:fill="F2F2F2" w:val="clear"/>
            <w:tcMar>
              <w:top w:type="dxa" w:w="80"/>
              <w:left w:type="dxa" w:w="120"/>
              <w:bottom w:type="dxa" w:w="80"/>
              <w:right w:type="dxa" w:w="120"/>
            </w:tcMar>
          </w:tcPr>
          <w:p>
            <w:r>
              <w:rPr>
                <w:rFonts w:ascii="Calibri" w:cs="Calibri" w:eastAsia="Calibri" w:hAnsi="Calibri"/>
                <w:color w:val="222222"/>
                <w:sz w:val="19"/>
                <w:szCs w:val="19"/>
              </w:rPr>
              <w:t xml:space="preserve">The practice of embedding security/privacy controls into an agent's design from the outset rather than retrofitting them.</w:t>
            </w:r>
          </w:p>
        </w:tc>
      </w:tr>
      <w:tr>
        <w:tc>
          <w:tcPr>
            <w:tcW w:type="dxa" w:w="2600"/>
            <w:shd w:fill="FFFFFF" w:val="clear"/>
            <w:tcMar>
              <w:top w:type="dxa" w:w="80"/>
              <w:left w:type="dxa" w:w="120"/>
              <w:bottom w:type="dxa" w:w="80"/>
              <w:right w:type="dxa" w:w="120"/>
            </w:tcMar>
          </w:tcPr>
          <w:p>
            <w:r>
              <w:rPr>
                <w:rFonts w:ascii="Calibri" w:cs="Calibri" w:eastAsia="Calibri" w:hAnsi="Calibri"/>
                <w:b/>
                <w:bCs/>
                <w:color w:val="0F1B33"/>
                <w:sz w:val="19"/>
                <w:szCs w:val="19"/>
              </w:rPr>
              <w:t xml:space="preserve">Evaluation Framework</w:t>
            </w:r>
          </w:p>
        </w:tc>
        <w:tc>
          <w:tcPr>
            <w:tcW w:type="dxa" w:w="7100"/>
            <w:shd w:fill="FFFFFF" w:val="clear"/>
            <w:tcMar>
              <w:top w:type="dxa" w:w="80"/>
              <w:left w:type="dxa" w:w="120"/>
              <w:bottom w:type="dxa" w:w="80"/>
              <w:right w:type="dxa" w:w="120"/>
            </w:tcMar>
          </w:tcPr>
          <w:p>
            <w:r>
              <w:rPr>
                <w:rFonts w:ascii="Calibri" w:cs="Calibri" w:eastAsia="Calibri" w:hAnsi="Calibri"/>
                <w:color w:val="222222"/>
                <w:sz w:val="19"/>
                <w:szCs w:val="19"/>
              </w:rPr>
              <w:t xml:space="preserve">The ADK's built-in tooling for defining stories, generating test cases, and scoring agent outputs and tool-call trajectories.</w:t>
            </w:r>
          </w:p>
        </w:tc>
      </w:tr>
      <w:tr>
        <w:tc>
          <w:tcPr>
            <w:tcW w:type="dxa" w:w="2600"/>
            <w:shd w:fill="F2F2F2" w:val="clear"/>
            <w:tcMar>
              <w:top w:type="dxa" w:w="80"/>
              <w:left w:type="dxa" w:w="120"/>
              <w:bottom w:type="dxa" w:w="80"/>
              <w:right w:type="dxa" w:w="120"/>
            </w:tcMar>
          </w:tcPr>
          <w:p>
            <w:r>
              <w:rPr>
                <w:rFonts w:ascii="Calibri" w:cs="Calibri" w:eastAsia="Calibri" w:hAnsi="Calibri"/>
                <w:b/>
                <w:bCs/>
                <w:color w:val="0F1B33"/>
                <w:sz w:val="19"/>
                <w:szCs w:val="19"/>
              </w:rPr>
              <w:t xml:space="preserve">Input/Output plug-ins</w:t>
            </w:r>
          </w:p>
        </w:tc>
        <w:tc>
          <w:tcPr>
            <w:tcW w:type="dxa" w:w="7100"/>
            <w:shd w:fill="F2F2F2" w:val="clear"/>
            <w:tcMar>
              <w:top w:type="dxa" w:w="80"/>
              <w:left w:type="dxa" w:w="120"/>
              <w:bottom w:type="dxa" w:w="80"/>
              <w:right w:type="dxa" w:w="120"/>
            </w:tcMar>
          </w:tcPr>
          <w:p>
            <w:r>
              <w:rPr>
                <w:rFonts w:ascii="Calibri" w:cs="Calibri" w:eastAsia="Calibri" w:hAnsi="Calibri"/>
                <w:color w:val="222222"/>
                <w:sz w:val="19"/>
                <w:szCs w:val="19"/>
              </w:rPr>
              <w:t xml:space="preserve">Components that inspect and can modify or block agent input/output to enforce safety, security, and regulatory guardrails.</w:t>
            </w:r>
          </w:p>
        </w:tc>
      </w:tr>
      <w:tr>
        <w:tc>
          <w:tcPr>
            <w:tcW w:type="dxa" w:w="2600"/>
            <w:shd w:fill="FFFFFF" w:val="clear"/>
            <w:tcMar>
              <w:top w:type="dxa" w:w="80"/>
              <w:left w:type="dxa" w:w="120"/>
              <w:bottom w:type="dxa" w:w="80"/>
              <w:right w:type="dxa" w:w="120"/>
            </w:tcMar>
          </w:tcPr>
          <w:p>
            <w:r>
              <w:rPr>
                <w:rFonts w:ascii="Calibri" w:cs="Calibri" w:eastAsia="Calibri" w:hAnsi="Calibri"/>
                <w:b/>
                <w:bCs/>
                <w:color w:val="0F1B33"/>
                <w:sz w:val="19"/>
                <w:szCs w:val="19"/>
              </w:rPr>
              <w:t xml:space="preserve">Software Hub</w:t>
            </w:r>
          </w:p>
        </w:tc>
        <w:tc>
          <w:tcPr>
            <w:tcW w:type="dxa" w:w="7100"/>
            <w:shd w:fill="FFFFFF" w:val="clear"/>
            <w:tcMar>
              <w:top w:type="dxa" w:w="80"/>
              <w:left w:type="dxa" w:w="120"/>
              <w:bottom w:type="dxa" w:w="80"/>
              <w:right w:type="dxa" w:w="120"/>
            </w:tcMar>
          </w:tcPr>
          <w:p>
            <w:r>
              <w:rPr>
                <w:rFonts w:ascii="Calibri" w:cs="Calibri" w:eastAsia="Calibri" w:hAnsi="Calibri"/>
                <w:color w:val="222222"/>
                <w:sz w:val="19"/>
                <w:szCs w:val="19"/>
              </w:rPr>
              <w:t xml:space="preserve">IBM's foundational hybrid platform (Cloud Pak for Data architecture) that hosts watsonx Orchestrate on-premises, supplying identity, storage, and licensing services.</w:t>
            </w:r>
          </w:p>
        </w:tc>
      </w:tr>
    </w:tbl>
    <w:p>
      <w:r>
        <w:br w:type="page"/>
      </w:r>
    </w:p>
    <w:p>
      <w:pPr>
        <w:pStyle w:val="Heading1"/>
        <w:pBdr>
          <w:bottom w:val="single" w:color="C9A227" w:sz="12" w:space="4"/>
        </w:pBdr>
        <w:spacing w:after="200" w:before="400"/>
      </w:pPr>
      <w:r>
        <w:rPr>
          <w:rFonts w:ascii="Calibri" w:cs="Calibri" w:eastAsia="Calibri" w:hAnsi="Calibri"/>
          <w:b/>
          <w:bCs/>
          <w:color w:val="1B2A4A"/>
          <w:sz w:val="32"/>
          <w:szCs w:val="32"/>
        </w:rPr>
        <w:t xml:space="preserve">Appendix B: watsonx Orchestrate ADK CLI Quick Reference</w:t>
      </w:r>
    </w:p>
    <w:p>
      <w:pPr>
        <w:spacing w:after="120" w:line="276"/>
      </w:pPr>
      <w:r>
        <w:rPr>
          <w:rFonts w:ascii="Calibri" w:cs="Calibri" w:eastAsia="Calibri" w:hAnsi="Calibri"/>
          <w:color w:val="222222"/>
          <w:sz w:val="21"/>
          <w:szCs w:val="21"/>
        </w:rPr>
        <w:t xml:space="preserve">This is a working reference of common ADK CLI patterns referenced across the exam objectives. Always confirm exact flags against your installed ADK version with orchestrate --help, since command syntax evolves between releases.</w:t>
      </w:r>
    </w:p>
    <w:p>
      <w:pPr>
        <w:pStyle w:val="Heading3"/>
        <w:spacing w:after="100" w:before="220"/>
      </w:pPr>
      <w:r>
        <w:rPr>
          <w:rFonts w:ascii="Calibri" w:cs="Calibri" w:eastAsia="Calibri" w:hAnsi="Calibri"/>
          <w:b/>
          <w:bCs/>
          <w:color w:val="0F1B33"/>
          <w:sz w:val="23"/>
          <w:szCs w:val="23"/>
        </w:rPr>
        <w:t xml:space="preserve">Environments &amp; Connections</w:t>
      </w:r>
    </w:p>
    <w:p>
      <w:pPr>
        <w:pStyle w:val="ListParagraph"/>
        <w:numPr>
          <w:ilvl w:val="0"/>
          <w:numId w:val="3"/>
        </w:numPr>
        <w:spacing w:after="60" w:line="270"/>
      </w:pPr>
      <w:r>
        <w:rPr>
          <w:rFonts w:ascii="Calibri" w:cs="Calibri" w:eastAsia="Calibri" w:hAnsi="Calibri"/>
          <w:color w:val="222222"/>
          <w:sz w:val="21"/>
          <w:szCs w:val="21"/>
        </w:rPr>
        <w:t xml:space="preserve">orchestrate env add / orchestrate env activate — manage target environments (Dev/Test/Prod, local Developer Edition, or remote).</w:t>
      </w:r>
    </w:p>
    <w:p>
      <w:pPr>
        <w:pStyle w:val="ListParagraph"/>
        <w:numPr>
          <w:ilvl w:val="0"/>
          <w:numId w:val="3"/>
        </w:numPr>
        <w:spacing w:after="60" w:line="270"/>
      </w:pPr>
      <w:r>
        <w:rPr>
          <w:rFonts w:ascii="Calibri" w:cs="Calibri" w:eastAsia="Calibri" w:hAnsi="Calibri"/>
          <w:color w:val="222222"/>
          <w:sz w:val="21"/>
          <w:szCs w:val="21"/>
        </w:rPr>
        <w:t xml:space="preserve">orchestrate connections add -a &lt;app-id&gt; — create a connection.</w:t>
      </w:r>
    </w:p>
    <w:p>
      <w:pPr>
        <w:pStyle w:val="ListParagraph"/>
        <w:numPr>
          <w:ilvl w:val="0"/>
          <w:numId w:val="3"/>
        </w:numPr>
        <w:spacing w:after="60" w:line="270"/>
      </w:pPr>
      <w:r>
        <w:rPr>
          <w:rFonts w:ascii="Calibri" w:cs="Calibri" w:eastAsia="Calibri" w:hAnsi="Calibri"/>
          <w:color w:val="222222"/>
          <w:sz w:val="21"/>
          <w:szCs w:val="21"/>
        </w:rPr>
        <w:t xml:space="preserve">orchestrate connections configure -a &lt;app-id&gt; --env draft --kind key_value --type team — configure a connection's auth kind and scope.</w:t>
      </w:r>
    </w:p>
    <w:p>
      <w:pPr>
        <w:pStyle w:val="ListParagraph"/>
        <w:numPr>
          <w:ilvl w:val="0"/>
          <w:numId w:val="3"/>
        </w:numPr>
        <w:spacing w:after="60" w:line="270"/>
      </w:pPr>
      <w:r>
        <w:rPr>
          <w:rFonts w:ascii="Calibri" w:cs="Calibri" w:eastAsia="Calibri" w:hAnsi="Calibri"/>
          <w:color w:val="222222"/>
          <w:sz w:val="21"/>
          <w:szCs w:val="21"/>
        </w:rPr>
        <w:t xml:space="preserve">orchestrate connections set-credentials -a &lt;app-id&gt; --env draft -e "api_key=..." — set credential values.</w:t>
      </w:r>
    </w:p>
    <w:p>
      <w:pPr>
        <w:pStyle w:val="Heading3"/>
        <w:spacing w:after="100" w:before="220"/>
      </w:pPr>
      <w:r>
        <w:rPr>
          <w:rFonts w:ascii="Calibri" w:cs="Calibri" w:eastAsia="Calibri" w:hAnsi="Calibri"/>
          <w:b/>
          <w:bCs/>
          <w:color w:val="0F1B33"/>
          <w:sz w:val="23"/>
          <w:szCs w:val="23"/>
        </w:rPr>
        <w:t xml:space="preserve">Agents</w:t>
      </w:r>
    </w:p>
    <w:p>
      <w:pPr>
        <w:pStyle w:val="ListParagraph"/>
        <w:numPr>
          <w:ilvl w:val="0"/>
          <w:numId w:val="3"/>
        </w:numPr>
        <w:spacing w:after="60" w:line="270"/>
      </w:pPr>
      <w:r>
        <w:rPr>
          <w:rFonts w:ascii="Calibri" w:cs="Calibri" w:eastAsia="Calibri" w:hAnsi="Calibri"/>
          <w:color w:val="222222"/>
          <w:sz w:val="21"/>
          <w:szCs w:val="21"/>
        </w:rPr>
        <w:t xml:space="preserve">orchestrate agents create --name &lt;name&gt; --kind native --llm &lt;model&gt; --tools &lt;tool&gt; --collaborators &lt;agent&gt; --output &lt;file&gt;.yaml — scaffold an agent definition.</w:t>
      </w:r>
    </w:p>
    <w:p>
      <w:pPr>
        <w:pStyle w:val="ListParagraph"/>
        <w:numPr>
          <w:ilvl w:val="0"/>
          <w:numId w:val="3"/>
        </w:numPr>
        <w:spacing w:after="60" w:line="270"/>
      </w:pPr>
      <w:r>
        <w:rPr>
          <w:rFonts w:ascii="Calibri" w:cs="Calibri" w:eastAsia="Calibri" w:hAnsi="Calibri"/>
          <w:color w:val="222222"/>
          <w:sz w:val="21"/>
          <w:szCs w:val="21"/>
        </w:rPr>
        <w:t xml:space="preserve">orchestrate agents deploy --name &lt;name&gt; / orchestrate agents undeploy --name &lt;name&gt;</w:t>
      </w:r>
    </w:p>
    <w:p>
      <w:pPr>
        <w:pStyle w:val="ListParagraph"/>
        <w:numPr>
          <w:ilvl w:val="0"/>
          <w:numId w:val="3"/>
        </w:numPr>
        <w:spacing w:after="60" w:line="270"/>
      </w:pPr>
      <w:r>
        <w:rPr>
          <w:rFonts w:ascii="Calibri" w:cs="Calibri" w:eastAsia="Calibri" w:hAnsi="Calibri"/>
          <w:color w:val="222222"/>
          <w:sz w:val="21"/>
          <w:szCs w:val="21"/>
        </w:rPr>
        <w:t xml:space="preserve">orchestrate chat ask --agent-name &lt;name&gt; "&lt;message&gt;" --include-reasoning — test an agent conversationally, optionally showing its reasoning trace.</w:t>
      </w:r>
    </w:p>
    <w:p>
      <w:pPr>
        <w:pStyle w:val="Heading3"/>
        <w:spacing w:after="100" w:before="220"/>
      </w:pPr>
      <w:r>
        <w:rPr>
          <w:rFonts w:ascii="Calibri" w:cs="Calibri" w:eastAsia="Calibri" w:hAnsi="Calibri"/>
          <w:b/>
          <w:bCs/>
          <w:color w:val="0F1B33"/>
          <w:sz w:val="23"/>
          <w:szCs w:val="23"/>
        </w:rPr>
        <w:t xml:space="preserve">Tools</w:t>
      </w:r>
    </w:p>
    <w:p>
      <w:pPr>
        <w:pStyle w:val="ListParagraph"/>
        <w:numPr>
          <w:ilvl w:val="0"/>
          <w:numId w:val="3"/>
        </w:numPr>
        <w:spacing w:after="60" w:line="270"/>
      </w:pPr>
      <w:r>
        <w:rPr>
          <w:rFonts w:ascii="Calibri" w:cs="Calibri" w:eastAsia="Calibri" w:hAnsi="Calibri"/>
          <w:color w:val="222222"/>
          <w:sz w:val="21"/>
          <w:szCs w:val="21"/>
        </w:rPr>
        <w:t xml:space="preserve">orchestrate tools import -k python -f my_tool.py -r requirements.txt -a &lt;app-id&gt; — import a Python tool.</w:t>
      </w:r>
    </w:p>
    <w:p>
      <w:pPr>
        <w:pStyle w:val="ListParagraph"/>
        <w:numPr>
          <w:ilvl w:val="0"/>
          <w:numId w:val="3"/>
        </w:numPr>
        <w:spacing w:after="60" w:line="270"/>
      </w:pPr>
      <w:r>
        <w:rPr>
          <w:rFonts w:ascii="Calibri" w:cs="Calibri" w:eastAsia="Calibri" w:hAnsi="Calibri"/>
          <w:color w:val="222222"/>
          <w:sz w:val="21"/>
          <w:szCs w:val="21"/>
        </w:rPr>
        <w:t xml:space="preserve">orchestrate tools import -k openapi -f &lt;spec-file&gt; -a &lt;app-id&gt; — import tools from an OpenAPI spec.</w:t>
      </w:r>
    </w:p>
    <w:p>
      <w:pPr>
        <w:pStyle w:val="ListParagraph"/>
        <w:numPr>
          <w:ilvl w:val="0"/>
          <w:numId w:val="3"/>
        </w:numPr>
        <w:spacing w:after="60" w:line="270"/>
      </w:pPr>
      <w:r>
        <w:rPr>
          <w:rFonts w:ascii="Calibri" w:cs="Calibri" w:eastAsia="Calibri" w:hAnsi="Calibri"/>
          <w:color w:val="222222"/>
          <w:sz w:val="21"/>
          <w:szCs w:val="21"/>
        </w:rPr>
        <w:t xml:space="preserve">orchestrate tools import -k langflow -f &lt;json-file&gt; -a &lt;app-id&gt; -r &lt;requirements&gt; — import a Langflow flow as a tool.</w:t>
      </w:r>
    </w:p>
    <w:p>
      <w:pPr>
        <w:pStyle w:val="ListParagraph"/>
        <w:numPr>
          <w:ilvl w:val="0"/>
          <w:numId w:val="3"/>
        </w:numPr>
        <w:spacing w:after="60" w:line="270"/>
      </w:pPr>
      <w:r>
        <w:rPr>
          <w:rFonts w:ascii="Calibri" w:cs="Calibri" w:eastAsia="Calibri" w:hAnsi="Calibri"/>
          <w:color w:val="222222"/>
          <w:sz w:val="21"/>
          <w:szCs w:val="21"/>
        </w:rPr>
        <w:t xml:space="preserve">orchestrate tools auto-discover --file &lt;path&gt; --llm &lt;model&gt; --function-names &lt;names&gt; — auto-generate tool definitions from existing code.</w:t>
      </w:r>
    </w:p>
    <w:p>
      <w:pPr>
        <w:pStyle w:val="Heading3"/>
        <w:spacing w:after="100" w:before="220"/>
      </w:pPr>
      <w:r>
        <w:rPr>
          <w:rFonts w:ascii="Calibri" w:cs="Calibri" w:eastAsia="Calibri" w:hAnsi="Calibri"/>
          <w:b/>
          <w:bCs/>
          <w:color w:val="0F1B33"/>
          <w:sz w:val="23"/>
          <w:szCs w:val="23"/>
        </w:rPr>
        <w:t xml:space="preserve">MCP Toolkits</w:t>
      </w:r>
    </w:p>
    <w:p>
      <w:pPr>
        <w:pStyle w:val="ListParagraph"/>
        <w:numPr>
          <w:ilvl w:val="0"/>
          <w:numId w:val="3"/>
        </w:numPr>
        <w:spacing w:after="60" w:line="270"/>
      </w:pPr>
      <w:r>
        <w:rPr>
          <w:rFonts w:ascii="Calibri" w:cs="Calibri" w:eastAsia="Calibri" w:hAnsi="Calibri"/>
          <w:color w:val="222222"/>
          <w:sz w:val="21"/>
          <w:szCs w:val="21"/>
        </w:rPr>
        <w:t xml:space="preserve">orchestrate toolkits add --kind mcp --name &lt;name&gt; --command "npx -y &lt;package&gt;" --tools "*" --app-id &lt;connection&gt; — register a local MCP server.</w:t>
      </w:r>
    </w:p>
    <w:p>
      <w:pPr>
        <w:pStyle w:val="ListParagraph"/>
        <w:numPr>
          <w:ilvl w:val="0"/>
          <w:numId w:val="3"/>
        </w:numPr>
        <w:spacing w:after="60" w:line="270"/>
      </w:pPr>
      <w:r>
        <w:rPr>
          <w:rFonts w:ascii="Calibri" w:cs="Calibri" w:eastAsia="Calibri" w:hAnsi="Calibri"/>
          <w:color w:val="222222"/>
          <w:sz w:val="21"/>
          <w:szCs w:val="21"/>
        </w:rPr>
        <w:t xml:space="preserve">orchestrate toolkits add --kind mcp --name &lt;name&gt; --url &lt;url&gt; --transport sse|streamable_http --tools &lt;tools&gt; --app-id &lt;connection&gt; — register a remote MCP server.</w:t>
      </w:r>
    </w:p>
    <w:p>
      <w:pPr>
        <w:pStyle w:val="ListParagraph"/>
        <w:numPr>
          <w:ilvl w:val="0"/>
          <w:numId w:val="3"/>
        </w:numPr>
        <w:spacing w:after="60" w:line="270"/>
      </w:pPr>
      <w:r>
        <w:rPr>
          <w:rFonts w:ascii="Calibri" w:cs="Calibri" w:eastAsia="Calibri" w:hAnsi="Calibri"/>
          <w:color w:val="222222"/>
          <w:sz w:val="21"/>
          <w:szCs w:val="21"/>
        </w:rPr>
        <w:t xml:space="preserve">orchestrate toolkits import -f &lt;toolkit&gt;.yaml -a &lt;connection&gt; — import a toolkit from a manifest file.</w:t>
      </w:r>
    </w:p>
    <w:p>
      <w:pPr>
        <w:pStyle w:val="Heading3"/>
        <w:spacing w:after="100" w:before="220"/>
      </w:pPr>
      <w:r>
        <w:rPr>
          <w:rFonts w:ascii="Calibri" w:cs="Calibri" w:eastAsia="Calibri" w:hAnsi="Calibri"/>
          <w:b/>
          <w:bCs/>
          <w:color w:val="0F1B33"/>
          <w:sz w:val="23"/>
          <w:szCs w:val="23"/>
        </w:rPr>
        <w:t xml:space="preserve">Models</w:t>
      </w:r>
    </w:p>
    <w:p>
      <w:pPr>
        <w:pStyle w:val="ListParagraph"/>
        <w:numPr>
          <w:ilvl w:val="0"/>
          <w:numId w:val="3"/>
        </w:numPr>
        <w:spacing w:after="60" w:line="270"/>
      </w:pPr>
      <w:r>
        <w:rPr>
          <w:rFonts w:ascii="Calibri" w:cs="Calibri" w:eastAsia="Calibri" w:hAnsi="Calibri"/>
          <w:color w:val="222222"/>
          <w:sz w:val="21"/>
          <w:szCs w:val="21"/>
        </w:rPr>
        <w:t xml:space="preserve">orchestrate models add --name "watsonx/meta-llama/llama-3-2-90b-vision-instruct" --app-id &lt;connection&gt; — register a model via AI Gateway.</w:t>
      </w:r>
    </w:p>
    <w:p>
      <w:pPr>
        <w:pStyle w:val="ListParagraph"/>
        <w:numPr>
          <w:ilvl w:val="0"/>
          <w:numId w:val="3"/>
        </w:numPr>
        <w:spacing w:after="60" w:line="270"/>
      </w:pPr>
      <w:r>
        <w:rPr>
          <w:rFonts w:ascii="Calibri" w:cs="Calibri" w:eastAsia="Calibri" w:hAnsi="Calibri"/>
          <w:color w:val="222222"/>
          <w:sz w:val="21"/>
          <w:szCs w:val="21"/>
        </w:rPr>
        <w:t xml:space="preserve">orchestrate models import --file &lt;model&gt;.yaml --app-id &lt;connection&gt; — import a virtual model definition.</w:t>
      </w:r>
    </w:p>
    <w:p>
      <w:pPr>
        <w:pStyle w:val="Heading3"/>
        <w:spacing w:after="100" w:before="220"/>
      </w:pPr>
      <w:r>
        <w:rPr>
          <w:rFonts w:ascii="Calibri" w:cs="Calibri" w:eastAsia="Calibri" w:hAnsi="Calibri"/>
          <w:b/>
          <w:bCs/>
          <w:color w:val="0F1B33"/>
          <w:sz w:val="23"/>
          <w:szCs w:val="23"/>
        </w:rPr>
        <w:t xml:space="preserve">Knowledge Bases</w:t>
      </w:r>
    </w:p>
    <w:p>
      <w:pPr>
        <w:pStyle w:val="ListParagraph"/>
        <w:numPr>
          <w:ilvl w:val="0"/>
          <w:numId w:val="3"/>
        </w:numPr>
        <w:spacing w:after="60" w:line="270"/>
      </w:pPr>
      <w:r>
        <w:rPr>
          <w:rFonts w:ascii="Calibri" w:cs="Calibri" w:eastAsia="Calibri" w:hAnsi="Calibri"/>
          <w:color w:val="222222"/>
          <w:sz w:val="21"/>
          <w:szCs w:val="21"/>
        </w:rPr>
        <w:t xml:space="preserve">orchestrate knowledge-bases import -f &lt;kb-file&gt; -a &lt;connection&gt; — create/import a knowledge base.</w:t>
      </w:r>
    </w:p>
    <w:p>
      <w:r>
        <w:br w:type="page"/>
      </w:r>
    </w:p>
    <w:p>
      <w:pPr>
        <w:pStyle w:val="Heading1"/>
        <w:pBdr>
          <w:bottom w:val="single" w:color="C9A227" w:sz="12" w:space="4"/>
        </w:pBdr>
        <w:spacing w:after="200" w:before="400"/>
      </w:pPr>
      <w:r>
        <w:rPr>
          <w:rFonts w:ascii="Calibri" w:cs="Calibri" w:eastAsia="Calibri" w:hAnsi="Calibri"/>
          <w:b/>
          <w:bCs/>
          <w:color w:val="1B2A4A"/>
          <w:sz w:val="32"/>
          <w:szCs w:val="32"/>
        </w:rPr>
        <w:t xml:space="preserve">Appendix C: Next Steps to Certification</w:t>
      </w:r>
    </w:p>
    <w:p>
      <w:pPr>
        <w:pStyle w:val="ListParagraph"/>
        <w:numPr>
          <w:ilvl w:val="0"/>
          <w:numId w:val="2"/>
        </w:numPr>
        <w:spacing w:after="60" w:line="270"/>
      </w:pPr>
      <w:r>
        <w:rPr>
          <w:rFonts w:ascii="Calibri" w:cs="Calibri" w:eastAsia="Calibri" w:hAnsi="Calibri"/>
          <w:color w:val="222222"/>
          <w:sz w:val="21"/>
          <w:szCs w:val="21"/>
        </w:rPr>
        <w:t xml:space="preserve">Complete a first pass of this guide, section by section, applying IBM's three framing questions to every task.</w:t>
      </w:r>
    </w:p>
    <w:p>
      <w:pPr>
        <w:pStyle w:val="ListParagraph"/>
        <w:numPr>
          <w:ilvl w:val="0"/>
          <w:numId w:val="2"/>
        </w:numPr>
        <w:spacing w:after="60" w:line="270"/>
      </w:pPr>
      <w:r>
        <w:rPr>
          <w:rFonts w:ascii="Calibri" w:cs="Calibri" w:eastAsia="Calibri" w:hAnsi="Calibri"/>
          <w:color w:val="222222"/>
          <w:sz w:val="21"/>
          <w:szCs w:val="21"/>
        </w:rPr>
        <w:t xml:space="preserve">Where possible, replicate the ADK CLI patterns in Appendix B inside a watsonx Orchestrate Developer Edition instance.</w:t>
      </w:r>
    </w:p>
    <w:p>
      <w:pPr>
        <w:pStyle w:val="ListParagraph"/>
        <w:numPr>
          <w:ilvl w:val="0"/>
          <w:numId w:val="2"/>
        </w:numPr>
        <w:spacing w:after="60" w:line="270"/>
      </w:pPr>
      <w:r>
        <w:rPr>
          <w:rFonts w:ascii="Calibri" w:cs="Calibri" w:eastAsia="Calibri" w:hAnsi="Calibri"/>
          <w:color w:val="222222"/>
          <w:sz w:val="21"/>
          <w:szCs w:val="21"/>
        </w:rPr>
        <w:t xml:space="preserve">Take the official sample test for IBM watsonx Orchestrate AI Engineer v1 — Associate.</w:t>
      </w:r>
    </w:p>
    <w:p>
      <w:pPr>
        <w:pStyle w:val="ListParagraph"/>
        <w:numPr>
          <w:ilvl w:val="0"/>
          <w:numId w:val="2"/>
        </w:numPr>
        <w:spacing w:after="60" w:line="270"/>
      </w:pPr>
      <w:r>
        <w:rPr>
          <w:rFonts w:ascii="Calibri" w:cs="Calibri" w:eastAsia="Calibri" w:hAnsi="Calibri"/>
          <w:color w:val="222222"/>
          <w:sz w:val="21"/>
          <w:szCs w:val="21"/>
        </w:rPr>
        <w:t xml:space="preserve">Take the official assessment test for IBM watsonx Orchestrate AI Engineer v1 — Associate; review your performance by section rather than only your overall score.</w:t>
      </w:r>
    </w:p>
    <w:p>
      <w:pPr>
        <w:pStyle w:val="ListParagraph"/>
        <w:numPr>
          <w:ilvl w:val="0"/>
          <w:numId w:val="2"/>
        </w:numPr>
        <w:spacing w:after="60" w:line="270"/>
      </w:pPr>
      <w:r>
        <w:rPr>
          <w:rFonts w:ascii="Calibri" w:cs="Calibri" w:eastAsia="Calibri" w:hAnsi="Calibri"/>
          <w:color w:val="222222"/>
          <w:sz w:val="21"/>
          <w:szCs w:val="21"/>
        </w:rPr>
        <w:t xml:space="preserve">Focus remaining study time on your two weakest-performing sections, prioritising Sections 2 and 4 given their combined 38% weight.</w:t>
      </w:r>
    </w:p>
    <w:p>
      <w:pPr>
        <w:pStyle w:val="ListParagraph"/>
        <w:numPr>
          <w:ilvl w:val="0"/>
          <w:numId w:val="2"/>
        </w:numPr>
        <w:spacing w:after="60" w:line="270"/>
      </w:pPr>
      <w:r>
        <w:rPr>
          <w:rFonts w:ascii="Calibri" w:cs="Calibri" w:eastAsia="Calibri" w:hAnsi="Calibri"/>
          <w:color w:val="222222"/>
          <w:sz w:val="21"/>
          <w:szCs w:val="21"/>
        </w:rPr>
        <w:t xml:space="preserve">Once you consistently pass the assessment exam, schedule your certification testing session at https://home.pearsonvue.com/ibm.</w:t>
      </w:r>
    </w:p>
    <w:p>
      <w:pPr>
        <w:spacing w:after="150"/>
      </w:pPr>
    </w:p>
    <w:tbl>
      <w:tblPr>
        <w:tblW w:type="pct" w:w="100%"/>
        <w:tblBorders>
          <w:top w:val="single" w:color="C9A227" w:sz="4"/>
          <w:left w:val="single" w:color="C9A227" w:sz="4"/>
          <w:bottom w:val="single" w:color="C9A227" w:sz="4"/>
          <w:right w:val="single" w:color="C9A227" w:sz="4"/>
          <w:insideH w:val="none"/>
          <w:insideV w:val="none"/>
        </w:tblBorders>
      </w:tblPr>
      <w:tblGrid>
        <w:gridCol w:w="100"/>
      </w:tblGrid>
      <w:tr>
        <w:tc>
          <w:tcPr>
            <w:shd w:fill="F5E9C6" w:val="clear"/>
            <w:tcMar>
              <w:top w:type="dxa" w:w="150"/>
              <w:left w:type="dxa" w:w="200"/>
              <w:bottom w:type="dxa" w:w="150"/>
              <w:right w:type="dxa" w:w="200"/>
            </w:tcMar>
          </w:tcPr>
          <w:p>
            <w:pPr>
              <w:spacing w:after="80"/>
            </w:pPr>
            <w:r>
              <w:rPr>
                <w:rFonts w:ascii="Calibri" w:cs="Calibri" w:eastAsia="Calibri" w:hAnsi="Calibri"/>
                <w:b/>
                <w:bCs/>
                <w:color w:val="0F1B33"/>
                <w:sz w:val="21"/>
                <w:szCs w:val="21"/>
              </w:rPr>
              <w:t xml:space="preserve">💡 Reminder</w:t>
            </w:r>
          </w:p>
          <w:p>
            <w:pPr>
              <w:spacing w:after="40"/>
            </w:pPr>
            <w:r>
              <w:rPr>
                <w:rFonts w:ascii="Calibri" w:cs="Calibri" w:eastAsia="Calibri" w:hAnsi="Calibri"/>
                <w:color w:val="222222"/>
                <w:sz w:val="20"/>
                <w:szCs w:val="20"/>
              </w:rPr>
              <w:t xml:space="preserve">• The assessment exam can be retaken as many times as needed ($30 per attempt), but the same question bank is reused in a different order — treat weak sections as a signal to revisit the documentation, not just to retry the exam.</w:t>
            </w:r>
          </w:p>
          <w:p>
            <w:pPr>
              <w:spacing w:after="40"/>
            </w:pPr>
            <w:r>
              <w:rPr>
                <w:rFonts w:ascii="Calibri" w:cs="Calibri" w:eastAsia="Calibri" w:hAnsi="Calibri"/>
                <w:color w:val="222222"/>
                <w:sz w:val="20"/>
                <w:szCs w:val="20"/>
              </w:rPr>
              <w:t xml:space="preserve">• This guide is a study aid built from the official IBM C1000-207 Study Guide plus current public IBM documentation and developer resources; always cross-check against the live watsonx Orchestrate and ADK documentation before your exam date, as the platform evolves quickly.</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i3 Academy Study Guide  |  Page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of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88888"/>
        <w:sz w:val="16"/>
        <w:szCs w:val="16"/>
      </w:rPr>
      <w:t xml:space="preserve">IBM C1000-207 · watsonx Orchestrate AI Engineer v1 — Associate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2026-07-05T07:49:38.739Z</dcterms:created>
  <dcterms:modified xsi:type="dcterms:W3CDTF">2026-07-05T07:49:38.740Z</dcterms:modified>
</cp:coreProperties>
</file>

<file path=docProps/custom.xml><?xml version="1.0" encoding="utf-8"?>
<Properties xmlns="http://schemas.openxmlformats.org/officeDocument/2006/custom-properties" xmlns:vt="http://schemas.openxmlformats.org/officeDocument/2006/docPropsVTypes"/>
</file>