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2A4A"/>
          <w:sz w:val="56"/>
          <w:szCs w:val="56"/>
        </w:rPr>
        <w:t xml:space="preserve">IBM watsonx Orchestrate</w:t>
      </w:r>
    </w:p>
    <w:p>
      <w:pPr>
        <w:spacing w:after="200"/>
        <w:jc w:val="center"/>
      </w:pPr>
      <w:r>
        <w:rPr>
          <w:b/>
          <w:bCs/>
          <w:color w:val="12726B"/>
          <w:sz w:val="36"/>
          <w:szCs w:val="36"/>
        </w:rPr>
        <w:t xml:space="preserve">AI Engineer v1 — Associate (C1000-207)</w:t>
      </w:r>
    </w:p>
    <w:p>
      <w:pPr>
        <w:spacing w:after="800"/>
        <w:jc w:val="center"/>
      </w:pPr>
      <w:r>
        <w:rPr>
          <w:i/>
          <w:iCs/>
          <w:color w:val="555555"/>
          <w:sz w:val="28"/>
          <w:szCs w:val="28"/>
        </w:rPr>
        <w:t xml:space="preserve">Set 2 — Answer Key &amp; Rationale</w:t>
      </w:r>
    </w:p>
    <w:p>
      <w:pPr>
        <w:spacing w:after="100"/>
        <w:jc w:val="center"/>
      </w:pPr>
      <w:r>
        <w:rPr>
          <w:b/>
          <w:bCs/>
          <w:color w:val="1B2A4A"/>
          <w:sz w:val="24"/>
          <w:szCs w:val="24"/>
        </w:rPr>
        <w:t xml:space="preserve">60 Questions  •  Weighted to the Official Exam Blueprint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Companion to the Practice Exam question document — score yourself only after completing the full, timed set.</w:t>
      </w:r>
    </w:p>
    <w:p>
      <w:pPr>
        <w:spacing w:before="1600"/>
        <w:jc w:val="center"/>
      </w:pPr>
      <w:r>
        <w:rPr>
          <w:b/>
          <w:bCs/>
          <w:color w:val="C9A227"/>
          <w:sz w:val="20"/>
          <w:szCs w:val="20"/>
        </w:rPr>
        <w:t xml:space="preserve">Prepared for i3 Technologies</w:t>
      </w:r>
    </w:p>
    <w:p>
      <w:r>
        <w:br w:type="page"/>
      </w:r>
    </w:p>
    <w:p>
      <w:pPr>
        <w:pStyle w:val="Heading1"/>
        <w:spacing w:after="160"/>
      </w:pPr>
      <w:r>
        <w:rPr>
          <w:color w:val="1B2A4A"/>
        </w:rPr>
        <w:t xml:space="preserve">Scoring Guide</w:t>
      </w:r>
    </w:p>
    <w:p>
      <w:pPr>
        <w:spacing w:after="60"/>
      </w:pPr>
      <w:r>
        <w:rPr>
          <w:b/>
          <w:bCs/>
          <w:color w:val="1E7A34"/>
          <w:sz w:val="22"/>
          <w:szCs w:val="22"/>
        </w:rPr>
        <w:t xml:space="preserve">54–60 correct (90%+): Exam-ready</w:t>
      </w:r>
    </w:p>
    <w:p>
      <w:pPr>
        <w:spacing w:after="60"/>
      </w:pPr>
      <w:r>
        <w:rPr>
          <w:b/>
          <w:bCs/>
          <w:color w:val="C9A227"/>
          <w:sz w:val="22"/>
          <w:szCs w:val="22"/>
        </w:rPr>
        <w:t xml:space="preserve">45–53 correct (75–89%): Close — review missed domains</w:t>
      </w:r>
    </w:p>
    <w:p>
      <w:pPr>
        <w:spacing w:after="240"/>
      </w:pPr>
      <w:r>
        <w:rPr>
          <w:b/>
          <w:bCs/>
          <w:color w:val="B03A2E"/>
          <w:sz w:val="22"/>
          <w:szCs w:val="22"/>
        </w:rPr>
        <w:t xml:space="preserve">Below 45 correct (&lt;75%): Revisit the corresponding task objectives before testing again</w:t>
      </w:r>
    </w:p>
    <w:p>
      <w:pPr>
        <w:pStyle w:val="Heading1"/>
        <w:spacing w:after="160" w:before="200"/>
      </w:pPr>
      <w:r>
        <w:rPr>
          <w:color w:val="1B2A4A"/>
        </w:rPr>
        <w:t xml:space="preserve">Score Tracker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2200"/>
      </w:tblGrid>
      <w:tr>
        <w:tc>
          <w:tcPr>
            <w:tcW w:type="dxa" w:w="5400"/>
            <w:shd w:fill="1B2A4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shd w:fill="1B2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2200"/>
            <w:shd w:fill="1B2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1. Platform Architecture and Core Concepts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2. Agent and Assistant Integration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12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3. Workflow and Orchestration Design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4. Agent Development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11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5. Model Management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8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6. Security, Compliance, and Observability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7</w:t>
            </w:r>
          </w:p>
        </w:tc>
      </w:tr>
      <w:tr>
        <w:tc>
          <w:tcPr>
            <w:tcW w:type="dxa" w:w="5400"/>
          </w:tcPr>
          <w:p>
            <w:pPr>
              <w:jc w:val="left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7. Deployment, Scaling, Optimization, and Resiliency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B2A4A"/>
                <w:sz w:val="20"/>
                <w:szCs w:val="20"/>
              </w:rPr>
              <w:t xml:space="preserve">___ / 6</w:t>
            </w:r>
          </w:p>
        </w:tc>
      </w:tr>
      <w:tr>
        <w:tc>
          <w:tcPr>
            <w:tcW w:type="dxa" w:w="5400"/>
            <w:shd w:fill="E8E4D0" w:val="clear"/>
          </w:tcPr>
          <w:p>
            <w:pPr>
              <w:jc w:val="left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shd w:fill="E8E4D0" w:val="clea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shd w:fill="E8E4D0" w:val="clear"/>
          </w:tcPr>
          <w:p>
            <w:pPr>
              <w:jc w:val="center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___ / 60</w:t>
            </w:r>
          </w:p>
        </w:tc>
      </w:tr>
    </w:tbl>
    <w:p>
      <w:r>
        <w:br w:type="page"/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1: Platform Architecture and Core Concepts (13%)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Orchestration's value is coordinating specialized agents/tools across a complex, multi-step process.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Software Hub underpins licensing/deployment for Orchestrate in hybrid/on-prem setups.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Knowledge Bases store reference documents for grounded retrieval.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ADK is for custom development when catalog assets don't already cover the need.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Unstructured, non-repeatable judgment calls are explicitly NOT suitable for Orchestrate.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Human-in-the-loop task automation + cross-system orchestration is a stated value scenario.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Dependencies/handoffs reveal where the process crosses systems/owners, informing design.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Governance, scalability, and security apply across all platform capabilities, not just one environment.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2: Agent and Assistant Integration (20%)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distinctions: Assistants (conversational), Agents (autonomous), Collaborator Agents (internal, invoked), External Agents (other platforms via A2A).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Collaborator Agents enable decomposition/delegation of subtasks — modularity and reuse.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Use external A2A agent configuration via ADK to integrate an existing third-party agent.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Q12.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Multi-Agent Orchestration explicitly supports incorporating agents from watsonx.ai.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Langflow = visual/node-based; Agentic Workflows = WXO-native flow-building constructs.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Configure via ADK (Start ADK), then integrate into a WXO agent.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HR workflows and Sales prospecting are the named real-world multi-agent orchestration examples.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Identify the specific use cases/tasks the integration needs to support before implementation.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External agent = outside WXO on another system; Collaborator agent = WXO-native, internally invoked.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Agent Catalog is where you discover existing reusable agents/assets.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Q19.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Langflow's visual builder can accelerate prototyping/integration for low-code-preferring teams.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WXO documentation lists supported agent types including third-party, watsonx.ai, and external A2A.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3: Workflow and Orchestration Design (14%)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Decision points are branch points based on conditions/data/approvals.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user activity requiring approval implements a human-in-the-loop sign-off step.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MCP's value is a standardized, reusable tool/data-source interface vs. one-off custom integrations.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order: register with MCP server → validate with MCP Inspector → import via ADK → configure consuming agent.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ContextForge MCP Gateway centralizes exposure/consumption of MCP tools.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Q26.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HR and Sales prospecting are the named pre-built domain agent example categories.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Customizing a pre-built agent requires configuring secure connections to enterprise apps.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flow: Trigger → sequence of actions → decision points → outcomes.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4: Agent Development (18%)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Q29.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Static, unchanging reference content is best served by knowledge base retrieval, not raw LLM guessing.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Agent design inputs: purpose, scope, expected output, tools, knowledge bases, connections, data dependencies.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UX/conversational design principles address tone, clarity, and accessibility.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This mapping ensures the right platform construct implements each part of the process.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Q33.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Build process structural elements = tools, connections, metadata, knowledge bases.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Evaluation metrics quantify performance (accuracy, completion, relevance) against test data.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Testing and production observability both inform ongoing understanding of real-world performance.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Chain-of-thought, few-shot, and role/task framing are recognized agentic prompting techniques.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Prompt evaluation should use structured datasets/user stories against defined metrics.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Broad tool access + untrusted input is a classic prompt-injection/tool-misuse risk vector.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Q39.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Channel testing should confirm correct, secure, consistent behavior per channel's constraints.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5: Model Management (14%)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Orchestrate Copilot streamlines workspace setup/dev tasks via copilot commands.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Input modality = whether the model must support text/image/audio/etc. for the task.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Dynamic routing across providers based on cost/latency/availability is the AI Gateway's multi-provider value.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Q43. </w:t>
      </w:r>
      <w:r>
        <w:rPr>
          <w:b/>
          <w:bCs/>
          <w:color w:val="1E7A34"/>
          <w:sz w:val="22"/>
          <w:szCs w:val="22"/>
        </w:rPr>
        <w:t xml:space="preserve">Answer: A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Centralized governance/routing across models/providers is a core AI Gateway use case.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Guardrails are applied via model policy configuration to constrain content/behavior.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Policies should be updated/removed as business, cost, or governance needs evolve.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Ops/governance dashboard insights inform when/how model policies should change.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Model selection is a balance of cost, accuracy, and latency against business needs — not one factor alone.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6: Security, Compliance, and Observability (11%)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RBAC governs both permissions and task execution rights by role.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Q49.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provided security checklist is the reference for authentication/authorization/audit readiness.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External logging feeds centralized enterprise monitoring/SIEM tools.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Q51.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Built-in dashboards track conversation metrics, error rates, and performance trends.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Q52.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Governance must be continuous across the full agent/assistant/workflow lifecycle.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Q53.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SPbD means proactively building in data protection/access/privacy controls from the start.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Q54.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Controls should be applied contextually based on scenario sensitivity/channel, not uniformly.</w:t>
      </w:r>
    </w:p>
    <w:p>
      <w:pPr>
        <w:pStyle w:val="Heading2"/>
        <w:shd w:fill="EEF3F2" w:val="clear"/>
        <w:spacing w:after="120" w:before="300"/>
      </w:pPr>
      <w:r>
        <w:rPr>
          <w:b/>
          <w:bCs/>
          <w:color w:val="12726B"/>
          <w:sz w:val="24"/>
          <w:szCs w:val="24"/>
        </w:rPr>
        <w:t xml:space="preserve">Domain 7: Deployment, Scaling, Optimization, and Resiliency (10%)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Q55.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Environment setup includes naming conventions, regions, and resource tiers.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Q56.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Backup/restore/migration support recovery and configuration consistency across environments.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Q57.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Embedding model, vector DB, and indexing/retrieval parameters drive semantic search relevance.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Q58.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KB security = document-level permissions and data isolation.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Q59.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Approval gates ensure controlled promotion with rollback options, not unchecked auto-deploy.</w:t>
      </w:r>
    </w:p>
    <w:p>
      <w:pPr>
        <w:spacing w:after="40" w:before="160"/>
      </w:pPr>
      <w:r>
        <w:rPr>
          <w:b/>
          <w:bCs/>
          <w:color w:val="1B2A4A"/>
          <w:sz w:val="22"/>
          <w:szCs w:val="22"/>
        </w:rPr>
        <w:t xml:space="preserve">Q60. </w:t>
      </w:r>
      <w:r>
        <w:rPr>
          <w:b/>
          <w:bCs/>
          <w:color w:val="1E7A34"/>
          <w:sz w:val="22"/>
          <w:szCs w:val="22"/>
        </w:rPr>
        <w:t xml:space="preserve">Answer: B</w:t>
      </w:r>
    </w:p>
    <w:p>
      <w:pPr>
        <w:spacing w:after="10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Skill/tool chaining connects and sequences capabilities for complex multi-step tasks.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2026-07-05T07:39:54.811Z</dcterms:created>
  <dcterms:modified xsi:type="dcterms:W3CDTF">2026-07-05T07:39:54.811Z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