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C9A227"/>
          <w:sz w:val="96"/>
          <w:szCs w:val="96"/>
        </w:rPr>
        <w:t xml:space="preserve">i3</w:t>
      </w:r>
    </w:p>
    <w:p>
      <w:pPr>
        <w:spacing w:after="400"/>
        <w:jc w:val="center"/>
      </w:pPr>
      <w:r>
        <w:rPr>
          <w:rFonts w:ascii="Calibri" w:cs="Calibri" w:eastAsia="Calibri" w:hAnsi="Calibri"/>
          <w:b/>
          <w:bCs/>
          <w:color w:val="0B1F3A"/>
          <w:spacing w:val="40"/>
          <w:sz w:val="28"/>
          <w:szCs w:val="28"/>
        </w:rPr>
        <w:t xml:space="preserve">TECHNOLOGIES</w:t>
      </w:r>
    </w:p>
    <w:p>
      <w:pPr>
        <w:spacing w:before="600"/>
      </w:pPr>
    </w:p>
    <w:p>
      <w:pPr>
        <w:jc w:val="center"/>
      </w:pPr>
      <w:r>
        <w:rPr>
          <w:rFonts w:ascii="Calibri" w:cs="Calibri" w:eastAsia="Calibri" w:hAnsi="Calibri"/>
          <w:b/>
          <w:bCs/>
          <w:color w:val="0B1F3A"/>
          <w:sz w:val="56"/>
          <w:szCs w:val="56"/>
        </w:rPr>
        <w:t xml:space="preserve">IBM watsonx Orchestrate</w:t>
      </w:r>
    </w:p>
    <w:p>
      <w:pPr>
        <w:spacing w:after="500" w:before="100"/>
        <w:jc w:val="center"/>
      </w:pPr>
      <w:r>
        <w:rPr>
          <w:rFonts w:ascii="Calibri" w:cs="Calibri" w:eastAsia="Calibri" w:hAnsi="Calibri"/>
          <w:b/>
          <w:bCs/>
          <w:color w:val="C9A227"/>
          <w:sz w:val="40"/>
          <w:szCs w:val="40"/>
        </w:rPr>
        <w:t xml:space="preserve">Comprehensive Study Guide</w:t>
      </w:r>
    </w:p>
    <w:p>
      <w:pPr>
        <w:spacing w:after="100"/>
        <w:jc w:val="center"/>
      </w:pPr>
      <w:r>
        <w:rPr>
          <w:rFonts w:ascii="Calibri" w:cs="Calibri" w:eastAsia="Calibri" w:hAnsi="Calibri"/>
          <w:color w:val="1A1A1A"/>
          <w:sz w:val="24"/>
          <w:szCs w:val="24"/>
        </w:rPr>
        <w:t xml:space="preserve">Agentic Control Planes · Bob-Driven Development · MCP &amp; A2A Integration</w:t>
      </w:r>
    </w:p>
    <w:p>
      <w:pPr>
        <w:spacing w:after="100"/>
        <w:jc w:val="center"/>
      </w:pPr>
      <w:r>
        <w:rPr>
          <w:rFonts w:ascii="Calibri" w:cs="Calibri" w:eastAsia="Calibri" w:hAnsi="Calibri"/>
          <w:color w:val="1A1A1A"/>
          <w:sz w:val="24"/>
          <w:szCs w:val="24"/>
        </w:rPr>
        <w:t xml:space="preserve">Observability · Security · Memory · Enterprise Architecture Patterns</w:t>
      </w:r>
    </w:p>
    <w:p>
      <w:pPr>
        <w:spacing w:before="1200"/>
      </w:pPr>
    </w:p>
    <w:p>
      <w:pPr>
        <w:jc w:val="center"/>
      </w:pPr>
      <w:r>
        <w:rPr>
          <w:rFonts w:ascii="Calibri" w:cs="Calibri" w:eastAsia="Calibri" w:hAnsi="Calibri"/>
          <w:b/>
          <w:bCs/>
          <w:color w:val="0B1F3A"/>
          <w:sz w:val="22"/>
          <w:szCs w:val="22"/>
        </w:rPr>
        <w:t xml:space="preserve">Prepared for i3 Technologies Ltd</w:t>
      </w:r>
    </w:p>
    <w:p>
      <w:pPr>
        <w:spacing w:after="40"/>
        <w:jc w:val="center"/>
      </w:pPr>
      <w:r>
        <w:rPr>
          <w:rFonts w:ascii="Calibri" w:cs="Calibri" w:eastAsia="Calibri" w:hAnsi="Calibri"/>
          <w:color w:val="5A5A5A"/>
          <w:sz w:val="20"/>
          <w:szCs w:val="20"/>
        </w:rPr>
        <w:t xml:space="preserve">IBM Silver Business Partner · Anthropic Partner</w:t>
      </w:r>
    </w:p>
    <w:p>
      <w:pPr>
        <w:jc w:val="center"/>
      </w:pPr>
      <w:r>
        <w:rPr>
          <w:rFonts w:ascii="Calibri" w:cs="Calibri" w:eastAsia="Calibri" w:hAnsi="Calibri"/>
          <w:i/>
          <w:iCs/>
          <w:color w:val="5A5A5A"/>
          <w:sz w:val="18"/>
          <w:szCs w:val="18"/>
        </w:rPr>
        <w:t xml:space="preserve">Source: IBM watsonx Orchestrate developer article &amp; tutorial compilation</w:t>
      </w:r>
    </w:p>
    <w:p>
      <w:pPr>
        <w:jc w:val="center"/>
      </w:pPr>
      <w:r>
        <w:rPr>
          <w:rFonts w:ascii="Calibri" w:cs="Calibri" w:eastAsia="Calibri" w:hAnsi="Calibri"/>
          <w:color w:val="5A5A5A"/>
          <w:sz w:val="18"/>
          <w:szCs w:val="18"/>
        </w:rPr>
        <w:t xml:space="preserve">10 September 2026</w:t>
      </w:r>
    </w:p>
    <w:p>
      <w:pPr>
        <w:sectPr>
          <w:pgSz w:w="12240" w:h="15840" w:orient="portrait"/>
          <w:pgMar w:top="1000" w:right="1000" w:bottom="1000" w:left="1000" w:header="708" w:footer="708" w:gutter="0"/>
          <w:pgNumType/>
          <w:docGrid w:linePitch="360"/>
        </w:sectPr>
      </w:pPr>
    </w:p>
    <w:p>
      <w:pPr>
        <w:pStyle w:val="Heading1"/>
        <w:pBdr>
          <w:bottom w:val="single" w:color="C9A227" w:sz="12" w:space="4"/>
        </w:pBdr>
        <w:spacing w:after="200" w:before="400"/>
      </w:pPr>
      <w:r>
        <w:rPr>
          <w:rFonts w:ascii="Calibri" w:cs="Calibri" w:eastAsia="Calibri" w:hAnsi="Calibri"/>
          <w:b/>
          <w:bCs/>
          <w:color w:val="0B1F3A"/>
          <w:sz w:val="32"/>
          <w:szCs w:val="32"/>
        </w:rPr>
        <w:t xml:space="preserve">How to Use This Study Guide</w:t>
      </w:r>
    </w:p>
    <w:p>
      <w:pPr>
        <w:spacing w:after="160" w:line="276"/>
      </w:pPr>
      <w:r>
        <w:rPr>
          <w:rFonts w:ascii="Calibri" w:cs="Calibri" w:eastAsia="Calibri" w:hAnsi="Calibri"/>
          <w:color w:val="1A1A1A"/>
          <w:sz w:val="22"/>
          <w:szCs w:val="22"/>
        </w:rPr>
        <w:t xml:space="preserve">This guide consolidates 14 IBM watsonx Orchestrate developer articles and tutorials into a single structured reference. Each topic follows the same format: a plain-language overview, the architecture and key components, a condensed walkthrough of the implementation steps, and a short self-check section, so you can either read end-to-end or jump to the topic you need.</w:t>
      </w:r>
    </w:p>
    <w:tbl>
      <w:tblPr>
        <w:tblW w:type="pct" w:w="100%"/>
        <w:tblBorders>
          <w:top w:val="single" w:color="C9A227" w:sz="6"/>
          <w:left w:val="single" w:color="C9A227" w:sz="6"/>
          <w:bottom w:val="single" w:color="C9A227" w:sz="6"/>
          <w:right w:val="single" w:color="C9A227" w:sz="6"/>
          <w:insideH w:val="none" w:color="FFFFFF" w:sz="0"/>
          <w:insideV w:val="none" w:color="FFFFFF" w:sz="0"/>
        </w:tblBorders>
      </w:tblPr>
      <w:tblGrid>
        <w:gridCol w:w="100"/>
      </w:tblGrid>
      <w:tr>
        <w:tc>
          <w:tcPr>
            <w:shd w:fill="F4ECD8" w:val="clear"/>
            <w:tcMar>
              <w:top w:type="dxa" w:w="150"/>
              <w:left w:type="dxa" w:w="200"/>
              <w:bottom w:type="dxa" w:w="150"/>
              <w:right w:type="dxa" w:w="200"/>
            </w:tcMar>
          </w:tcPr>
          <w:p>
            <w:pPr>
              <w:spacing w:after="80"/>
            </w:pPr>
            <w:r>
              <w:rPr>
                <w:rFonts w:ascii="Calibri" w:cs="Calibri" w:eastAsia="Calibri" w:hAnsi="Calibri"/>
                <w:b/>
                <w:bCs/>
                <w:color w:val="0B1F3A"/>
                <w:sz w:val="22"/>
                <w:szCs w:val="22"/>
              </w:rPr>
              <w:t xml:space="preserve">What watsonx Orchestrate Is, in One Paragraph</w:t>
            </w:r>
          </w:p>
          <w:p>
            <w:pPr>
              <w:pStyle w:val="ListParagraph"/>
              <w:numPr>
                <w:ilvl w:val="0"/>
                <w:numId w:val="1"/>
              </w:numPr>
              <w:spacing w:after="60"/>
            </w:pPr>
            <w:r>
              <w:rPr>
                <w:rFonts w:ascii="Calibri" w:cs="Calibri" w:eastAsia="Calibri" w:hAnsi="Calibri"/>
                <w:color w:val="1A1A1A"/>
                <w:sz w:val="20"/>
                <w:szCs w:val="20"/>
              </w:rPr>
              <w:t xml:space="preserve">IBM watsonx Orchestrate is evolving from an agent-building platform into an enterprise agentic control plane: a single place to discover, route, monitor, and govern AI agents regardless of the framework (LangGraph, CrewAI, Google ADK, etc.), model, or cloud they run on.</w:t>
            </w:r>
          </w:p>
        </w:tc>
      </w:tr>
    </w:tbl>
    <w:p>
      <w:pPr>
        <w:pStyle w:val="Heading2"/>
        <w:spacing w:after="150" w:before="300"/>
      </w:pPr>
      <w:r>
        <w:rPr>
          <w:rFonts w:ascii="Calibri" w:cs="Calibri" w:eastAsia="Calibri" w:hAnsi="Calibri"/>
          <w:b/>
          <w:bCs/>
          <w:color w:val="0B1F3A"/>
          <w:sz w:val="26"/>
          <w:szCs w:val="26"/>
        </w:rPr>
        <w:t xml:space="preserve">Topics Covered</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 / Component</w:t>
            </w:r>
          </w:p>
        </w:tc>
        <w:tc>
          <w:tcPr>
            <w:tcW w:type="pct" w:w="7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You Need to Know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1. Agentic Control Plane</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Registering an external LangGraph agent via A2A and instrumenting it with OpenTelemetry so it appears in native watsonx Orchestrate dashboards.</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2. Bob-Built Incident Triage Solution</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Using IBM Bob to turn a Business Requirements Definition (BRD) into a 5-agent IT incident triage system.</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3. Recursive Language Model (RLM) Agents</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Scan → Delegate → Combine pattern for analyzing long documents (bank loan review use case).</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4. BPMN-to-Agent with Bob Skills</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Converting a BPMN order-processing diagram into a working watsonx Orchestrate agent and flow.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5. Bob + MCP Tools</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Building a FastMCP server with two tools and wiring it into a watsonx Orchestrate agent, end to end, using Bob.</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6. Google BigQuery MCP Integration</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OAuth 2.0 connection from watsonx Orchestrate to Google BigQuery via a remote MCP server.</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7. Securing AI Agents (Zero Trust)</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Preventing the 'confused deputy' problem with IBM Verify token exchange and HashiCorp Vault dynamic credentials.</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8. Memory-Enabled Agents</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Storing and retrieving per-user preferences across conversations (coffee-shop recommender example).</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9. Agentic ML Tasks</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Wrapping a locally trained scikit-learn model in a tool so an agent can use it without exposing training data to the LLM.</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10. ServiceNow Integration</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A Software Procurement Advisor agent that queries a ServiceNow catalog and files Non-Standard Software Requests.</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11. LangGraph in the wxO Runtime</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Running an existing LangGraph agent natively inside the watsonx Orchestrate runtime instead of hosting it separately.</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12. Enterprise Architecture Patterns</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Multi-agent orchestration, hybrid agent/workflow design, statefulness, and parallel processing.</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13. Red-Teaming Agent Security</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Using Bob and the ADK evaluation framework to generate adversarial attacks and patch vulnerabilities.</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14. Context Variables in Tools</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Passing user identity into tools via JWT claims so agents avoid re-asking for identifiers.</w:t>
            </w:r>
          </w:p>
        </w:tc>
      </w:tr>
    </w:tbl>
    <w:p>
      <w:pPr>
        <w:spacing w:after="120"/>
      </w:pPr>
    </w:p>
    <w:p>
      <w:pPr>
        <w:pStyle w:val="Heading2"/>
        <w:spacing w:after="150" w:before="300"/>
      </w:pPr>
      <w:r>
        <w:rPr>
          <w:rFonts w:ascii="Calibri" w:cs="Calibri" w:eastAsia="Calibri" w:hAnsi="Calibri"/>
          <w:b/>
          <w:bCs/>
          <w:color w:val="0B1F3A"/>
          <w:sz w:val="26"/>
          <w:szCs w:val="26"/>
        </w:rPr>
        <w:t xml:space="preserve">Core Vocabulary Used Throughout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 / Component</w:t>
            </w:r>
          </w:p>
        </w:tc>
        <w:tc>
          <w:tcPr>
            <w:tcW w:type="pct" w:w="7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You Need to Know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A2A (Agent2Agent protocol)</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Open protocol that exposes any agent as discoverable and callable over JSON-RPC; watsonx Orchestrate supports A2A v0.3.0.</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MCP (Model Context Protocol)</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Open standard for exposing tools to AI agents/LLMs in a consistent way, regardless of hosting platform.</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ADK</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watsonx Orchestrate Agent Development Kit — CLI and SDK used to author, import, and manage agents, tools, workflows, and connections.</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ADLC</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Agent Development Lifecycle: a build-time phase (design, build, test, evaluate, certify) and a runtime phase (deploy, operate, monitor, optimize).</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AgentCard</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A JSON document describing an agent's identity, capabilities, and security scheme for A2A discovery.</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IBM Bob</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An AI development partner/IDE that uses 'skills' and MCP servers to automate building, testing, and deploying watsonx Orchestrate solutions.</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Agentic workflow</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A deterministic, structured sequence of steps (in contrast to a free-reasoning agent) used for compliance-critical or highly repeatable processes.</w:t>
            </w:r>
          </w:p>
        </w:tc>
      </w:tr>
    </w:tbl>
    <w:p>
      <w:pPr>
        <w:sectPr>
          <w:headerReference w:type="default" r:id="rId7"/>
          <w:footerReference w:type="default" r:id="rId8"/>
          <w:pgSz w:w="12240" w:h="15840" w:orient="portrait"/>
          <w:pgMar w:top="1300" w:right="1100" w:bottom="1200" w:left="1100" w:header="708" w:footer="708" w:gutter="0"/>
          <w:pgNumType/>
          <w:docGrid w:linePitch="360"/>
        </w:sectPr>
      </w:pPr>
    </w:p>
    <w:p>
      <w:pPr>
        <w:pStyle w:val="Heading1"/>
        <w:pBdr>
          <w:bottom w:val="single" w:color="C9A227" w:sz="12" w:space="4"/>
        </w:pBdr>
        <w:spacing w:after="200" w:before="400"/>
      </w:pPr>
      <w:r>
        <w:rPr>
          <w:rFonts w:ascii="Calibri" w:cs="Calibri" w:eastAsia="Calibri" w:hAnsi="Calibri"/>
          <w:b/>
          <w:bCs/>
          <w:color w:val="0B1F3A"/>
          <w:sz w:val="32"/>
          <w:szCs w:val="32"/>
        </w:rPr>
        <w:t xml:space="preserve">Topic 1: watsonx Orchestrate as an Agentic Control Plane</w:t>
      </w:r>
    </w:p>
    <w:p>
      <w:pPr>
        <w:spacing w:after="160" w:line="276"/>
      </w:pPr>
      <w:r>
        <w:rPr>
          <w:rFonts w:ascii="Calibri" w:cs="Calibri" w:eastAsia="Calibri" w:hAnsi="Calibri"/>
          <w:i/>
          <w:iCs/>
          <w:color w:val="5A5A5A"/>
          <w:sz w:val="20"/>
          <w:szCs w:val="20"/>
        </w:rPr>
        <w:t xml:space="preserve">Registering an external LangGraph agent via A2A and adding OpenTelemetry observability</w:t>
      </w:r>
    </w:p>
    <w:p>
      <w:pPr>
        <w:pStyle w:val="Heading2"/>
        <w:spacing w:after="150" w:before="300"/>
      </w:pPr>
      <w:r>
        <w:rPr>
          <w:rFonts w:ascii="Calibri" w:cs="Calibri" w:eastAsia="Calibri" w:hAnsi="Calibri"/>
          <w:b/>
          <w:bCs/>
          <w:color w:val="0B1F3A"/>
          <w:sz w:val="26"/>
          <w:szCs w:val="26"/>
        </w:rPr>
        <w:t xml:space="preserve">Overview</w:t>
      </w:r>
    </w:p>
    <w:p>
      <w:pPr>
        <w:spacing w:after="160" w:line="276"/>
      </w:pPr>
      <w:r>
        <w:rPr>
          <w:rFonts w:ascii="Calibri" w:cs="Calibri" w:eastAsia="Calibri" w:hAnsi="Calibri"/>
          <w:color w:val="1A1A1A"/>
          <w:sz w:val="22"/>
          <w:szCs w:val="22"/>
        </w:rPr>
        <w:t xml:space="preserve">Many organizations already run AI agents built with frameworks such as LangGraph, CrewAI, or Google ADK outside of watsonx Orchestrate. These agents work fine on their own, but they lack centralized visibility, governance, and observability.</w:t>
      </w:r>
    </w:p>
    <w:p>
      <w:pPr>
        <w:spacing w:after="160" w:line="276"/>
      </w:pPr>
      <w:r>
        <w:rPr>
          <w:rFonts w:ascii="Calibri" w:cs="Calibri" w:eastAsia="Calibri" w:hAnsi="Calibri"/>
          <w:color w:val="1A1A1A"/>
          <w:sz w:val="22"/>
          <w:szCs w:val="22"/>
        </w:rPr>
        <w:t xml:space="preserve">This use case shows how to deploy a simple LangGraph agent (it calculates an investment's annualized return) on IBM Cloud Code Engine, expose it through the A2A protocol, register it in watsonx Orchestrate, and instrument it with OpenTelemetry — all without touching the agent's source code.</w:t>
      </w:r>
    </w:p>
    <w:p>
      <w:pPr>
        <w:spacing w:after="160" w:line="276"/>
      </w:pPr>
      <w:r>
        <w:rPr>
          <w:rFonts w:ascii="Calibri" w:cs="Calibri" w:eastAsia="Calibri" w:hAnsi="Calibri"/>
          <w:color w:val="1A1A1A"/>
          <w:sz w:val="22"/>
          <w:szCs w:val="22"/>
        </w:rPr>
        <w:t xml:space="preserve">Once registered and instrumented, the external agent shows up in the same analytics dashboards, conversation histories, and trace views as agents built natively in watsonx Orchestrate.</w:t>
      </w:r>
    </w:p>
    <w:p>
      <w:pPr>
        <w:pStyle w:val="Heading2"/>
        <w:spacing w:after="150" w:before="300"/>
      </w:pPr>
      <w:r>
        <w:rPr>
          <w:rFonts w:ascii="Calibri" w:cs="Calibri" w:eastAsia="Calibri" w:hAnsi="Calibri"/>
          <w:b/>
          <w:bCs/>
          <w:color w:val="0B1F3A"/>
          <w:sz w:val="26"/>
          <w:szCs w:val="26"/>
        </w:rPr>
        <w:t xml:space="preserve">Architecture &amp; Key Components</w:t>
      </w:r>
    </w:p>
    <w:p>
      <w:pPr>
        <w:pStyle w:val="ListParagraph"/>
        <w:numPr>
          <w:ilvl w:val="0"/>
          <w:numId w:val="1"/>
        </w:numPr>
        <w:spacing w:after="80"/>
      </w:pPr>
      <w:r>
        <w:rPr>
          <w:rFonts w:ascii="Calibri" w:cs="Calibri" w:eastAsia="Calibri" w:hAnsi="Calibri"/>
          <w:color w:val="1A1A1A"/>
          <w:sz w:val="22"/>
          <w:szCs w:val="22"/>
        </w:rPr>
        <w:t xml:space="preserve">LangGraph ReAct agent using a Gemini model and a single calculation tool — deliberately simple, because the point is the platform integration, not the agent logic.</w:t>
      </w:r>
    </w:p>
    <w:p>
      <w:pPr>
        <w:pStyle w:val="ListParagraph"/>
        <w:numPr>
          <w:ilvl w:val="0"/>
          <w:numId w:val="1"/>
        </w:numPr>
        <w:spacing w:after="80"/>
      </w:pPr>
      <w:r>
        <w:rPr>
          <w:rFonts w:ascii="Calibri" w:cs="Calibri" w:eastAsia="Calibri" w:hAnsi="Calibri"/>
          <w:color w:val="1A1A1A"/>
          <w:sz w:val="22"/>
          <w:szCs w:val="22"/>
        </w:rPr>
        <w:t xml:space="preserve">FastAPI A2A server exposing an AgentCard (at both /.well-known/agent.json and /.well-known/agent-card.json) and a JSON-RPC 2.0 endpoint supporting message/send, message/stream, tasks/get, tasks/cancel.</w:t>
      </w:r>
    </w:p>
    <w:p>
      <w:pPr>
        <w:pStyle w:val="ListParagraph"/>
        <w:numPr>
          <w:ilvl w:val="0"/>
          <w:numId w:val="1"/>
        </w:numPr>
        <w:spacing w:after="80"/>
      </w:pPr>
      <w:r>
        <w:rPr>
          <w:rFonts w:ascii="Calibri" w:cs="Calibri" w:eastAsia="Calibri" w:hAnsi="Calibri"/>
          <w:color w:val="1A1A1A"/>
          <w:sz w:val="22"/>
          <w:szCs w:val="22"/>
        </w:rPr>
        <w:t xml:space="preserve">IBM Cloud Code Engine hosting (1 vCPU / 4 GB, auto-scales 1–5 replicas), with the A2A endpoint protected by a bearer token.</w:t>
      </w:r>
    </w:p>
    <w:p>
      <w:pPr>
        <w:pStyle w:val="ListParagraph"/>
        <w:numPr>
          <w:ilvl w:val="0"/>
          <w:numId w:val="1"/>
        </w:numPr>
        <w:spacing w:after="80"/>
      </w:pPr>
      <w:r>
        <w:rPr>
          <w:rFonts w:ascii="Calibri" w:cs="Calibri" w:eastAsia="Calibri" w:hAnsi="Calibri"/>
          <w:color w:val="1A1A1A"/>
          <w:sz w:val="22"/>
          <w:szCs w:val="22"/>
        </w:rPr>
        <w:t xml:space="preserve">OpenTelemetry middleware creating a root SERVER span per HTTP request, plus child spans for the LangGraph execution, each LLM call (gen_ai.chat), and each tool call (tool_call &lt;name&gt;).</w:t>
      </w:r>
    </w:p>
    <w:p>
      <w:pPr>
        <w:pStyle w:val="ListParagraph"/>
        <w:numPr>
          <w:ilvl w:val="0"/>
          <w:numId w:val="1"/>
        </w:numPr>
        <w:spacing w:after="80"/>
      </w:pPr>
      <w:r>
        <w:rPr>
          <w:rFonts w:ascii="Calibri" w:cs="Calibri" w:eastAsia="Calibri" w:hAnsi="Calibri"/>
          <w:color w:val="1A1A1A"/>
          <w:sz w:val="22"/>
          <w:szCs w:val="22"/>
        </w:rPr>
        <w:t xml:space="preserve">The only IBM-specific piece is the watsonx Orchestrate control plane itself — the model, container platform, and telemetry approach are all swappable.</w:t>
      </w:r>
    </w:p>
    <w:p>
      <w:pPr>
        <w:pStyle w:val="Heading2"/>
        <w:spacing w:after="150" w:before="300"/>
      </w:pPr>
      <w:r>
        <w:rPr>
          <w:rFonts w:ascii="Calibri" w:cs="Calibri" w:eastAsia="Calibri" w:hAnsi="Calibri"/>
          <w:b/>
          <w:bCs/>
          <w:color w:val="0B1F3A"/>
          <w:sz w:val="26"/>
          <w:szCs w:val="26"/>
        </w:rPr>
        <w:t xml:space="preserve">Implementation Walkthrough</w:t>
      </w:r>
    </w:p>
    <w:p>
      <w:pPr>
        <w:pStyle w:val="ListParagraph"/>
        <w:numPr>
          <w:ilvl w:val="0"/>
          <w:numId w:val="2"/>
        </w:numPr>
        <w:spacing w:after="80"/>
      </w:pPr>
      <w:r>
        <w:rPr>
          <w:rFonts w:ascii="Calibri" w:cs="Calibri" w:eastAsia="Calibri" w:hAnsi="Calibri"/>
          <w:color w:val="1A1A1A"/>
          <w:sz w:val="22"/>
          <w:szCs w:val="22"/>
        </w:rPr>
        <w:t xml:space="preserve">Build the LangGraph agent and keep agent.py / tools.py completely unaware of OpenTelemetry or watsonx Orchestrate — integration lives entirely in the FastAPI wrapper.</w:t>
      </w:r>
    </w:p>
    <w:p>
      <w:pPr>
        <w:pStyle w:val="ListParagraph"/>
        <w:numPr>
          <w:ilvl w:val="0"/>
          <w:numId w:val="2"/>
        </w:numPr>
        <w:spacing w:after="80"/>
      </w:pPr>
      <w:r>
        <w:rPr>
          <w:rFonts w:ascii="Calibri" w:cs="Calibri" w:eastAsia="Calibri" w:hAnsi="Calibri"/>
          <w:color w:val="1A1A1A"/>
          <w:sz w:val="22"/>
          <w:szCs w:val="22"/>
        </w:rPr>
        <w:t xml:space="preserve">Deploy the container to IBM Cloud Code Engine (or any container platform).</w:t>
      </w:r>
    </w:p>
    <w:p>
      <w:pPr>
        <w:pStyle w:val="ListParagraph"/>
        <w:numPr>
          <w:ilvl w:val="0"/>
          <w:numId w:val="2"/>
        </w:numPr>
        <w:spacing w:after="80"/>
      </w:pPr>
      <w:r>
        <w:rPr>
          <w:rFonts w:ascii="Calibri" w:cs="Calibri" w:eastAsia="Calibri" w:hAnsi="Calibri"/>
          <w:color w:val="1A1A1A"/>
          <w:sz w:val="22"/>
          <w:szCs w:val="22"/>
        </w:rPr>
        <w:t xml:space="preserve">Add the A2A interface: AgentCard for discovery plus the JSON-RPC message/send handler, which moves the task through submitted → working → completed/failed.</w:t>
      </w:r>
    </w:p>
    <w:p>
      <w:pPr>
        <w:pStyle w:val="ListParagraph"/>
        <w:numPr>
          <w:ilvl w:val="0"/>
          <w:numId w:val="2"/>
        </w:numPr>
        <w:spacing w:after="80"/>
      </w:pPr>
      <w:r>
        <w:rPr>
          <w:rFonts w:ascii="Calibri" w:cs="Calibri" w:eastAsia="Calibri" w:hAnsi="Calibri"/>
          <w:color w:val="1A1A1A"/>
          <w:sz w:val="22"/>
          <w:szCs w:val="22"/>
        </w:rPr>
        <w:t xml:space="preserve">Register the agent in watsonx Orchestrate — either automatically (orchestrate agents discover -u &lt;url&gt;) or via a YAML definition (orchestrate agents import -f agent.yaml). Registration issues a unique Agent ID.</w:t>
      </w:r>
    </w:p>
    <w:p>
      <w:pPr>
        <w:pStyle w:val="ListParagraph"/>
        <w:numPr>
          <w:ilvl w:val="0"/>
          <w:numId w:val="2"/>
        </w:numPr>
        <w:spacing w:after="80"/>
      </w:pPr>
      <w:r>
        <w:rPr>
          <w:rFonts w:ascii="Calibri" w:cs="Calibri" w:eastAsia="Calibri" w:hAnsi="Calibri"/>
          <w:color w:val="1A1A1A"/>
          <w:sz w:val="22"/>
          <w:szCs w:val="22"/>
        </w:rPr>
        <w:t xml:space="preserve">Add OpenTelemetry: configure WXO_AGENT_ID, WXO_TENANT_ID, WXO_API_KEY, TOKEN_URL, OTEL_EXPORT_URL as environment variables; exchange the API key for a bearer token (refreshed automatically for long-running services); create one root span per A2A request and attach agent.id, thread.id/conversation.id, input/output.</w:t>
      </w:r>
    </w:p>
    <w:p>
      <w:pPr>
        <w:pStyle w:val="ListParagraph"/>
        <w:numPr>
          <w:ilvl w:val="0"/>
          <w:numId w:val="2"/>
        </w:numPr>
        <w:spacing w:after="80"/>
      </w:pPr>
      <w:r>
        <w:rPr>
          <w:rFonts w:ascii="Calibri" w:cs="Calibri" w:eastAsia="Calibri" w:hAnsi="Calibri"/>
          <w:color w:val="1A1A1A"/>
          <w:sz w:val="22"/>
          <w:szCs w:val="22"/>
        </w:rPr>
        <w:t xml:space="preserve">Verify: send a direct A2A request with curl, confirm the Code Engine logs show 'wxO trace queued … status=success', then check Analyze → &lt;Agent&gt; → Conversations in watsonx Orchestrate for the full trace tree (invoke_agent → agent.graph → gen_ai.chat → tool_call → gen_ai.chat).</w:t>
      </w:r>
    </w:p>
    <w:p>
      <w:pPr>
        <w:pStyle w:val="Heading2"/>
        <w:spacing w:after="150" w:before="300"/>
      </w:pPr>
      <w:r>
        <w:rPr>
          <w:rFonts w:ascii="Calibri" w:cs="Calibri" w:eastAsia="Calibri" w:hAnsi="Calibri"/>
          <w:b/>
          <w:bCs/>
          <w:color w:val="0B1F3A"/>
          <w:sz w:val="26"/>
          <w:szCs w:val="26"/>
        </w:rPr>
        <w:t xml:space="preserve">Key Concepts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 / Component</w:t>
            </w:r>
          </w:p>
        </w:tc>
        <w:tc>
          <w:tcPr>
            <w:tcW w:type="pct" w:w="7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You Need to Know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OpenTelemetry Export</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Standard opentelemetry-* packages; stable/GA; you build tracers/exporters/spans yourself; works with any framework and lets the same TracerProvider feed multiple observability tools (Instana, Datadog, Langfuse, etc.) at once.</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watsonx Orchestrate Observability SDK</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ibm-watsonx-orchestrate-sdk; pre-release at time of writing; simpler decorator-based tracing (trace_call, trace_tool_call, trace_llm_call, trace_agent_call), but adds a wxO-specific dependency.</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Technical failure vs. business failure</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A technical failure is an infrastructure problem (HTTP 500, JSON-RPC error, unhandled exception). A business failure is a successful request whose business logic did not succeed (e.g. {"success": false}). Both are recorded separately via agent.execution.status and agent.business_outcome so ops teams can tell which team should investigate.</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WXO_CAPTURE_CONTENT</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Environment flag to disable storing prompt/response text in spans — latency, status, and usage metrics still flow, useful for sensitive workloads.</w:t>
            </w:r>
          </w:p>
        </w:tc>
      </w:tr>
    </w:tbl>
    <w:p>
      <w:pPr>
        <w:spacing w:after="120"/>
      </w:pPr>
    </w:p>
    <w:p>
      <w:pPr>
        <w:pStyle w:val="Heading2"/>
        <w:spacing w:after="150" w:before="300"/>
      </w:pPr>
      <w:r>
        <w:rPr>
          <w:rFonts w:ascii="Calibri" w:cs="Calibri" w:eastAsia="Calibri" w:hAnsi="Calibri"/>
          <w:b/>
          <w:bCs/>
          <w:color w:val="0B1F3A"/>
          <w:sz w:val="26"/>
          <w:szCs w:val="26"/>
        </w:rPr>
        <w:t xml:space="preserve">Common Pitfalls / Best Practices</w:t>
      </w:r>
    </w:p>
    <w:p>
      <w:pPr>
        <w:pStyle w:val="ListParagraph"/>
        <w:numPr>
          <w:ilvl w:val="0"/>
          <w:numId w:val="1"/>
        </w:numPr>
        <w:spacing w:after="80"/>
      </w:pPr>
      <w:r>
        <w:rPr>
          <w:rFonts w:ascii="Calibri" w:cs="Calibri" w:eastAsia="Calibri" w:hAnsi="Calibri"/>
          <w:color w:val="1A1A1A"/>
          <w:sz w:val="22"/>
          <w:szCs w:val="22"/>
        </w:rPr>
        <w:t xml:space="preserve">Use only agent.id for agent attribution — never send both agent.name and agent.id, or the Trace View can render output as [object Object].</w:t>
      </w:r>
    </w:p>
    <w:p>
      <w:pPr>
        <w:pStyle w:val="ListParagraph"/>
        <w:numPr>
          <w:ilvl w:val="0"/>
          <w:numId w:val="1"/>
        </w:numPr>
        <w:spacing w:after="80"/>
      </w:pPr>
      <w:r>
        <w:rPr>
          <w:rFonts w:ascii="Calibri" w:cs="Calibri" w:eastAsia="Calibri" w:hAnsi="Calibri"/>
          <w:color w:val="1A1A1A"/>
          <w:sz w:val="22"/>
          <w:szCs w:val="22"/>
        </w:rPr>
        <w:t xml:space="preserve">Never set gen_ai.input.messages / gen_ai.output.messages — these conflict with watsonx Orchestrate's own conversation-building attributes; use plain input/output instead.</w:t>
      </w:r>
    </w:p>
    <w:p>
      <w:pPr>
        <w:pStyle w:val="ListParagraph"/>
        <w:numPr>
          <w:ilvl w:val="0"/>
          <w:numId w:val="1"/>
        </w:numPr>
        <w:spacing w:after="80"/>
      </w:pPr>
      <w:r>
        <w:rPr>
          <w:rFonts w:ascii="Calibri" w:cs="Calibri" w:eastAsia="Calibri" w:hAnsi="Calibri"/>
          <w:color w:val="1A1A1A"/>
          <w:sz w:val="22"/>
          <w:szCs w:val="22"/>
        </w:rPr>
        <w:t xml:space="preserve">Register the agent (to obtain an Agent ID) before configuring telemetry — the pipeline needs that ID.</w:t>
      </w:r>
    </w:p>
    <w:p>
      <w:pPr>
        <w:pStyle w:val="ListParagraph"/>
        <w:numPr>
          <w:ilvl w:val="0"/>
          <w:numId w:val="1"/>
        </w:numPr>
        <w:spacing w:after="80"/>
      </w:pPr>
      <w:r>
        <w:rPr>
          <w:rFonts w:ascii="Calibri" w:cs="Calibri" w:eastAsia="Calibri" w:hAnsi="Calibri"/>
          <w:color w:val="1A1A1A"/>
          <w:sz w:val="22"/>
          <w:szCs w:val="22"/>
        </w:rPr>
        <w:t xml:space="preserve">Register atexit.register(provider.shutdown) for long-running services, or call provider.force_flush() before a short-lived script exits, or the final batch of spans may be lost.</w:t>
      </w:r>
    </w:p>
    <w:p>
      <w:pPr>
        <w:pStyle w:val="ListParagraph"/>
        <w:numPr>
          <w:ilvl w:val="0"/>
          <w:numId w:val="1"/>
        </w:numPr>
        <w:spacing w:after="80"/>
      </w:pPr>
      <w:r>
        <w:rPr>
          <w:rFonts w:ascii="Calibri" w:cs="Calibri" w:eastAsia="Calibri" w:hAnsi="Calibri"/>
          <w:color w:val="1A1A1A"/>
          <w:sz w:val="22"/>
          <w:szCs w:val="22"/>
        </w:rPr>
        <w:t xml:space="preserve">IBM Cloud Code Engine does not expand ${VAR} inside environment-variable values — build resource attributes in application code from resolved env vars at runtime instead of via OTEL_RESOURCE_ATTRIBUTES.</w:t>
      </w:r>
    </w:p>
    <w:p>
      <w:pPr>
        <w:pStyle w:val="Heading2"/>
        <w:spacing w:after="150" w:before="300"/>
      </w:pPr>
      <w:r>
        <w:rPr>
          <w:rFonts w:ascii="Calibri" w:cs="Calibri" w:eastAsia="Calibri" w:hAnsi="Calibri"/>
          <w:b/>
          <w:bCs/>
          <w:color w:val="0B1F3A"/>
          <w:sz w:val="26"/>
          <w:szCs w:val="26"/>
        </w:rPr>
        <w:t xml:space="preserve">Self-Check</w:t>
      </w:r>
    </w:p>
    <w:p>
      <w:pPr>
        <w:spacing w:after="40" w:before="160"/>
      </w:pPr>
      <w:r>
        <w:rPr>
          <w:rFonts w:ascii="Calibri" w:cs="Calibri" w:eastAsia="Calibri" w:hAnsi="Calibri"/>
          <w:b/>
          <w:bCs/>
          <w:color w:val="0B1F3A"/>
          <w:sz w:val="21"/>
          <w:szCs w:val="21"/>
        </w:rPr>
        <w:t xml:space="preserve">Q1. </w:t>
      </w:r>
      <w:r>
        <w:rPr>
          <w:rFonts w:ascii="Calibri" w:cs="Calibri" w:eastAsia="Calibri" w:hAnsi="Calibri"/>
          <w:b/>
          <w:bCs/>
          <w:color w:val="1A1A1A"/>
          <w:sz w:val="21"/>
          <w:szCs w:val="21"/>
        </w:rPr>
        <w:t xml:space="preserve">What is the only IBM-specific component in the external-agent architecture described here?</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The watsonx Orchestrate control plane itself — the agent framework (LangGraph), model (Gemini), and hosting platform (Code Engine) are all interchangeable.</w:t>
      </w:r>
    </w:p>
    <w:p>
      <w:pPr>
        <w:spacing w:after="40" w:before="160"/>
      </w:pPr>
      <w:r>
        <w:rPr>
          <w:rFonts w:ascii="Calibri" w:cs="Calibri" w:eastAsia="Calibri" w:hAnsi="Calibri"/>
          <w:b/>
          <w:bCs/>
          <w:color w:val="0B1F3A"/>
          <w:sz w:val="21"/>
          <w:szCs w:val="21"/>
        </w:rPr>
        <w:t xml:space="preserve">Q2. </w:t>
      </w:r>
      <w:r>
        <w:rPr>
          <w:rFonts w:ascii="Calibri" w:cs="Calibri" w:eastAsia="Calibri" w:hAnsi="Calibri"/>
          <w:b/>
          <w:bCs/>
          <w:color w:val="1A1A1A"/>
          <w:sz w:val="21"/>
          <w:szCs w:val="21"/>
        </w:rPr>
        <w:t xml:space="preserve">Why must the OpenTelemetry context be captured before invoking a synchronous LangGraph workflow in a thread pool?</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OpenTelemetry context is thread-local; without explicitly attaching the captured context in the new thread, spans created there would start new traces instead of becoming children of the HTTP request span.</w:t>
      </w:r>
    </w:p>
    <w:p>
      <w:pPr>
        <w:spacing w:after="40" w:before="160"/>
      </w:pPr>
      <w:r>
        <w:rPr>
          <w:rFonts w:ascii="Calibri" w:cs="Calibri" w:eastAsia="Calibri" w:hAnsi="Calibri"/>
          <w:b/>
          <w:bCs/>
          <w:color w:val="0B1F3A"/>
          <w:sz w:val="21"/>
          <w:szCs w:val="21"/>
        </w:rPr>
        <w:t xml:space="preserve">Q3. </w:t>
      </w:r>
      <w:r>
        <w:rPr>
          <w:rFonts w:ascii="Calibri" w:cs="Calibri" w:eastAsia="Calibri" w:hAnsi="Calibri"/>
          <w:b/>
          <w:bCs/>
          <w:color w:val="1A1A1A"/>
          <w:sz w:val="21"/>
          <w:szCs w:val="21"/>
        </w:rPr>
        <w:t xml:space="preserve">What single header/attribute mistake most commonly breaks the Trace View?</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Sending both agent.name and agent.id (only agent.id should be used), or including gen_ai.input.messages / gen_ai.output.messages attributes.</w:t>
      </w:r>
    </w:p>
    <w:p>
      <w:r>
        <w:br w:type="page"/>
      </w:r>
    </w:p>
    <w:p>
      <w:pPr>
        <w:sectPr>
          <w:headerReference w:type="default" r:id="rId9"/>
          <w:footerReference w:type="default" r:id="rId10"/>
          <w:pgSz w:w="12240" w:h="15840" w:orient="portrait"/>
          <w:pgMar w:top="1300" w:right="1100" w:bottom="1200" w:left="1100" w:header="708" w:footer="708" w:gutter="0"/>
          <w:pgNumType/>
          <w:docGrid w:linePitch="360"/>
        </w:sectPr>
      </w:pPr>
    </w:p>
    <w:p>
      <w:pPr>
        <w:pStyle w:val="Heading1"/>
        <w:pBdr>
          <w:bottom w:val="single" w:color="C9A227" w:sz="12" w:space="4"/>
        </w:pBdr>
        <w:spacing w:after="200" w:before="400"/>
      </w:pPr>
      <w:r>
        <w:rPr>
          <w:rFonts w:ascii="Calibri" w:cs="Calibri" w:eastAsia="Calibri" w:hAnsi="Calibri"/>
          <w:b/>
          <w:bCs/>
          <w:color w:val="0B1F3A"/>
          <w:sz w:val="32"/>
          <w:szCs w:val="32"/>
        </w:rPr>
        <w:t xml:space="preserve">Topic 2: Building an IT Incident Triage Solution with IBM Bob</w:t>
      </w:r>
    </w:p>
    <w:p>
      <w:pPr>
        <w:spacing w:after="160" w:line="276"/>
      </w:pPr>
      <w:r>
        <w:rPr>
          <w:rFonts w:ascii="Calibri" w:cs="Calibri" w:eastAsia="Calibri" w:hAnsi="Calibri"/>
          <w:i/>
          <w:iCs/>
          <w:color w:val="5A5A5A"/>
          <w:sz w:val="20"/>
          <w:szCs w:val="20"/>
        </w:rPr>
        <w:t xml:space="preserve">From a Business Requirements Definition (BRD) to five deployed agents, a workflow, tools, and a knowledge base</w:t>
      </w:r>
    </w:p>
    <w:p>
      <w:pPr>
        <w:pStyle w:val="Heading2"/>
        <w:spacing w:after="150" w:before="300"/>
      </w:pPr>
      <w:r>
        <w:rPr>
          <w:rFonts w:ascii="Calibri" w:cs="Calibri" w:eastAsia="Calibri" w:hAnsi="Calibri"/>
          <w:b/>
          <w:bCs/>
          <w:color w:val="0B1F3A"/>
          <w:sz w:val="26"/>
          <w:szCs w:val="26"/>
        </w:rPr>
        <w:t xml:space="preserve">Overview</w:t>
      </w:r>
    </w:p>
    <w:p>
      <w:pPr>
        <w:spacing w:after="160" w:line="276"/>
      </w:pPr>
      <w:r>
        <w:rPr>
          <w:rFonts w:ascii="Calibri" w:cs="Calibri" w:eastAsia="Calibri" w:hAnsi="Calibri"/>
          <w:color w:val="1A1A1A"/>
          <w:sz w:val="22"/>
          <w:szCs w:val="22"/>
        </w:rPr>
        <w:t xml:space="preserve">IT Operations teams handle large volumes of repetitive, low-complexity incidents (VPN issues, access problems, password resets). This tutorial uses IBM Bob — launched directly from watsonx Orchestrate — to turn a BRD into a Standard Operating Procedure (SOP), then build a complete incident-triage solution from that SOP using spec-driven development.</w:t>
      </w:r>
    </w:p>
    <w:p>
      <w:pPr>
        <w:spacing w:after="160" w:line="276"/>
      </w:pPr>
      <w:r>
        <w:rPr>
          <w:rFonts w:ascii="Calibri" w:cs="Calibri" w:eastAsia="Calibri" w:hAnsi="Calibri"/>
          <w:color w:val="1A1A1A"/>
          <w:sz w:val="22"/>
          <w:szCs w:val="22"/>
        </w:rPr>
        <w:t xml:space="preserve">Bob prepares the whole environment automatically: installs Python/uv if needed, installs/updates the watsonx Orchestrate ADK, configures two MCP servers (one for the wxO environment, one for ADK documentation search), and loads four specialized Bob skills used across the tutorial.</w:t>
      </w:r>
    </w:p>
    <w:p>
      <w:pPr>
        <w:pStyle w:val="Heading2"/>
        <w:spacing w:after="150" w:before="300"/>
      </w:pPr>
      <w:r>
        <w:rPr>
          <w:rFonts w:ascii="Calibri" w:cs="Calibri" w:eastAsia="Calibri" w:hAnsi="Calibri"/>
          <w:b/>
          <w:bCs/>
          <w:color w:val="0B1F3A"/>
          <w:sz w:val="26"/>
          <w:szCs w:val="26"/>
        </w:rPr>
        <w:t xml:space="preserve">Architecture &amp; Key Components</w:t>
      </w:r>
    </w:p>
    <w:p>
      <w:pPr>
        <w:pStyle w:val="ListParagraph"/>
        <w:numPr>
          <w:ilvl w:val="0"/>
          <w:numId w:val="1"/>
        </w:numPr>
        <w:spacing w:after="80"/>
      </w:pPr>
      <w:r>
        <w:rPr>
          <w:rFonts w:ascii="Calibri" w:cs="Calibri" w:eastAsia="Calibri" w:hAnsi="Calibri"/>
          <w:color w:val="1A1A1A"/>
          <w:sz w:val="22"/>
          <w:szCs w:val="22"/>
        </w:rPr>
        <w:t xml:space="preserve">incident_triage_orchestration workflow — manages the incident lifecycle end to end.</w:t>
      </w:r>
    </w:p>
    <w:p>
      <w:pPr>
        <w:pStyle w:val="ListParagraph"/>
        <w:numPr>
          <w:ilvl w:val="0"/>
          <w:numId w:val="1"/>
        </w:numPr>
        <w:spacing w:after="80"/>
      </w:pPr>
      <w:r>
        <w:rPr>
          <w:rFonts w:ascii="Calibri" w:cs="Calibri" w:eastAsia="Calibri" w:hAnsi="Calibri"/>
          <w:color w:val="1A1A1A"/>
          <w:sz w:val="22"/>
          <w:szCs w:val="22"/>
        </w:rPr>
        <w:t xml:space="preserve">Five specialist agents: incident_triage_coordinator (entry point), first_responder (classification + ticket creation), runbook_specialist (retrieves guidance from the knowledge base), remediation_engineer (executes the fix), summary_specialist (writes the plain-language resolution summary).</w:t>
      </w:r>
    </w:p>
    <w:p>
      <w:pPr>
        <w:pStyle w:val="ListParagraph"/>
        <w:numPr>
          <w:ilvl w:val="0"/>
          <w:numId w:val="1"/>
        </w:numPr>
        <w:spacing w:after="80"/>
      </w:pPr>
      <w:r>
        <w:rPr>
          <w:rFonts w:ascii="Calibri" w:cs="Calibri" w:eastAsia="Calibri" w:hAnsi="Calibri"/>
          <w:color w:val="1A1A1A"/>
          <w:sz w:val="22"/>
          <w:szCs w:val="22"/>
        </w:rPr>
        <w:t xml:space="preserve">incident_runbooks knowledge base with sample runbooks for VPN, SCADA, and billing-access incidents (replace with real runbooks before production).</w:t>
      </w:r>
    </w:p>
    <w:p>
      <w:pPr>
        <w:pStyle w:val="ListParagraph"/>
        <w:numPr>
          <w:ilvl w:val="0"/>
          <w:numId w:val="1"/>
        </w:numPr>
        <w:spacing w:after="80"/>
      </w:pPr>
      <w:r>
        <w:rPr>
          <w:rFonts w:ascii="Calibri" w:cs="Calibri" w:eastAsia="Calibri" w:hAnsi="Calibri"/>
          <w:color w:val="1A1A1A"/>
          <w:sz w:val="22"/>
          <w:szCs w:val="22"/>
        </w:rPr>
        <w:t xml:space="preserve">Two Python tools: create_support_ticket and execute_remediation_action (simulated).</w:t>
      </w:r>
    </w:p>
    <w:p>
      <w:pPr>
        <w:pStyle w:val="ListParagraph"/>
        <w:numPr>
          <w:ilvl w:val="0"/>
          <w:numId w:val="1"/>
        </w:numPr>
        <w:spacing w:after="80"/>
      </w:pPr>
      <w:r>
        <w:rPr>
          <w:rFonts w:ascii="Calibri" w:cs="Calibri" w:eastAsia="Calibri" w:hAnsi="Calibri"/>
          <w:color w:val="1A1A1A"/>
          <w:sz w:val="22"/>
          <w:szCs w:val="22"/>
        </w:rPr>
        <w:t xml:space="preserve">Four Bob skills used in sequence: sop-builder → wxo-builder → agent-instructions-evaluator → wxo-analyzer.</w:t>
      </w:r>
    </w:p>
    <w:p>
      <w:pPr>
        <w:pStyle w:val="Heading2"/>
        <w:spacing w:after="150" w:before="300"/>
      </w:pPr>
      <w:r>
        <w:rPr>
          <w:rFonts w:ascii="Calibri" w:cs="Calibri" w:eastAsia="Calibri" w:hAnsi="Calibri"/>
          <w:b/>
          <w:bCs/>
          <w:color w:val="0B1F3A"/>
          <w:sz w:val="26"/>
          <w:szCs w:val="26"/>
        </w:rPr>
        <w:t xml:space="preserve">Implementation Walkthrough</w:t>
      </w:r>
    </w:p>
    <w:p>
      <w:pPr>
        <w:pStyle w:val="ListParagraph"/>
        <w:numPr>
          <w:ilvl w:val="0"/>
          <w:numId w:val="2"/>
        </w:numPr>
        <w:spacing w:after="80"/>
      </w:pPr>
      <w:r>
        <w:rPr>
          <w:rFonts w:ascii="Calibri" w:cs="Calibri" w:eastAsia="Calibri" w:hAnsi="Calibri"/>
          <w:color w:val="1A1A1A"/>
          <w:sz w:val="22"/>
          <w:szCs w:val="22"/>
        </w:rPr>
        <w:t xml:space="preserve">Launch Bob from watsonx Orchestrate (Create agent → Launch Bob), install the ADK extension when prompted, and open/create a workspace folder.</w:t>
      </w:r>
    </w:p>
    <w:p>
      <w:pPr>
        <w:pStyle w:val="ListParagraph"/>
        <w:numPr>
          <w:ilvl w:val="0"/>
          <w:numId w:val="2"/>
        </w:numPr>
        <w:spacing w:after="80"/>
      </w:pPr>
      <w:r>
        <w:rPr>
          <w:rFonts w:ascii="Calibri" w:cs="Calibri" w:eastAsia="Calibri" w:hAnsi="Calibri"/>
          <w:color w:val="1A1A1A"/>
          <w:sz w:val="22"/>
          <w:szCs w:val="22"/>
        </w:rPr>
        <w:t xml:space="preserve">Prompt: 'Create SOP for this BRD @docs/incident-triage-brd.md' — Bob auto-activates sop-builder and produces a reviewable SOP (executive summary, process flow, data requirements, agent instructions, decision logic, exception handling, test scenarios, acceptance criteria).</w:t>
      </w:r>
    </w:p>
    <w:p>
      <w:pPr>
        <w:pStyle w:val="ListParagraph"/>
        <w:numPr>
          <w:ilvl w:val="0"/>
          <w:numId w:val="2"/>
        </w:numPr>
        <w:spacing w:after="80"/>
      </w:pPr>
      <w:r>
        <w:rPr>
          <w:rFonts w:ascii="Calibri" w:cs="Calibri" w:eastAsia="Calibri" w:hAnsi="Calibri"/>
          <w:color w:val="1A1A1A"/>
          <w:sz w:val="22"/>
          <w:szCs w:val="22"/>
        </w:rPr>
        <w:t xml:space="preserve">Prompt: 'Build the agents and agentic workflow on watsonx Orchestrate based on this SOP … and BRD …' — Bob auto-activates wxo-builder, creates a task list, builds all agents/tools/workflow/knowledge base/unit tests, imports the solution, then runs and auto-fixes unit tests and smoke tests (via the 'Chat with Agent' MCP tool) until everything passes.</w:t>
      </w:r>
    </w:p>
    <w:p>
      <w:pPr>
        <w:pStyle w:val="ListParagraph"/>
        <w:numPr>
          <w:ilvl w:val="0"/>
          <w:numId w:val="2"/>
        </w:numPr>
        <w:spacing w:after="80"/>
      </w:pPr>
      <w:r>
        <w:rPr>
          <w:rFonts w:ascii="Calibri" w:cs="Calibri" w:eastAsia="Calibri" w:hAnsi="Calibri"/>
          <w:color w:val="1A1A1A"/>
          <w:sz w:val="22"/>
          <w:szCs w:val="22"/>
        </w:rPr>
        <w:t xml:space="preserve">Evaluate: 'Evaluate all agents in @agents/' — the agent-instructions-evaluator skill scores each agent and flags instruction gaps, cross-agent issues, and runtime risks.</w:t>
      </w:r>
    </w:p>
    <w:p>
      <w:pPr>
        <w:pStyle w:val="ListParagraph"/>
        <w:numPr>
          <w:ilvl w:val="0"/>
          <w:numId w:val="2"/>
        </w:numPr>
        <w:spacing w:after="80"/>
      </w:pPr>
      <w:r>
        <w:rPr>
          <w:rFonts w:ascii="Calibri" w:cs="Calibri" w:eastAsia="Calibri" w:hAnsi="Calibri"/>
          <w:color w:val="1A1A1A"/>
          <w:sz w:val="22"/>
          <w:szCs w:val="22"/>
        </w:rPr>
        <w:t xml:space="preserve">Document: 'Analyze this watsonx Orchestrate project and create a report' — the wxo-analyzer skill produces architecture, agent-implementation, and supporting-component reports with Mermaid diagrams.</w:t>
      </w:r>
    </w:p>
    <w:p>
      <w:pPr>
        <w:pStyle w:val="ListParagraph"/>
        <w:numPr>
          <w:ilvl w:val="0"/>
          <w:numId w:val="2"/>
        </w:numPr>
        <w:spacing w:after="80"/>
      </w:pPr>
      <w:r>
        <w:rPr>
          <w:rFonts w:ascii="Calibri" w:cs="Calibri" w:eastAsia="Calibri" w:hAnsi="Calibri"/>
          <w:color w:val="1A1A1A"/>
          <w:sz w:val="22"/>
          <w:szCs w:val="22"/>
        </w:rPr>
        <w:t xml:space="preserve">Verify manually in watsonx Orchestrate: test with the sample 'Network Outage' request, review the five agents and tools under Manage Agents, and inspect the workflow in Flow Builder.</w:t>
      </w:r>
    </w:p>
    <w:p>
      <w:pPr>
        <w:pStyle w:val="ListParagraph"/>
        <w:numPr>
          <w:ilvl w:val="0"/>
          <w:numId w:val="2"/>
        </w:numPr>
        <w:spacing w:after="80"/>
      </w:pPr>
      <w:r>
        <w:rPr>
          <w:rFonts w:ascii="Calibri" w:cs="Calibri" w:eastAsia="Calibri" w:hAnsi="Calibri"/>
          <w:color w:val="1A1A1A"/>
          <w:sz w:val="22"/>
          <w:szCs w:val="22"/>
        </w:rPr>
        <w:t xml:space="preserve">Extend: ask Bob to add two standalone tools (query_support_ticket, update_support_ticket) so the coordinator agent can handle existing-ticket questions via reasoning instead of always starting the full workflow — demonstrating structured workflow + agent reasoning working together.</w:t>
      </w:r>
    </w:p>
    <w:p>
      <w:pPr>
        <w:pStyle w:val="Heading2"/>
        <w:spacing w:after="150" w:before="300"/>
      </w:pPr>
      <w:r>
        <w:rPr>
          <w:rFonts w:ascii="Calibri" w:cs="Calibri" w:eastAsia="Calibri" w:hAnsi="Calibri"/>
          <w:b/>
          <w:bCs/>
          <w:color w:val="0B1F3A"/>
          <w:sz w:val="26"/>
          <w:szCs w:val="26"/>
        </w:rPr>
        <w:t xml:space="preserve">Key Concepts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 / Component</w:t>
            </w:r>
          </w:p>
        </w:tc>
        <w:tc>
          <w:tcPr>
            <w:tcW w:type="pct" w:w="7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You Need to Know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Spec-driven development</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Business requirements (BRD) → reviewable specification (SOP) → generated implementation, with traceability at every step, instead of jumping straight from prose requirements to code.</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sop-builder skill</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Converts a BRD (or BPMN/Langflow/n8n JSON/plain description) into a structured SOP document.</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wxo-builder skill</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Generates watsonx Orchestrate native agents, flows, tools, and knowledge bases from a business-requirements or SOP document.</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agent-instructions-evaluator skill</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Scores agent instructions/interactions for production readiness and recommends fixes.</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wxo-analyzer skill</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Documents the finished solution's architecture, agents, tools, workflows, dependencies, and findings.</w:t>
            </w:r>
          </w:p>
        </w:tc>
      </w:tr>
    </w:tbl>
    <w:p>
      <w:pPr>
        <w:spacing w:after="120"/>
      </w:pPr>
    </w:p>
    <w:p>
      <w:pPr>
        <w:pStyle w:val="Heading2"/>
        <w:spacing w:after="150" w:before="300"/>
      </w:pPr>
      <w:r>
        <w:rPr>
          <w:rFonts w:ascii="Calibri" w:cs="Calibri" w:eastAsia="Calibri" w:hAnsi="Calibri"/>
          <w:b/>
          <w:bCs/>
          <w:color w:val="0B1F3A"/>
          <w:sz w:val="26"/>
          <w:szCs w:val="26"/>
        </w:rPr>
        <w:t xml:space="preserve">Common Pitfalls / Best Practices</w:t>
      </w:r>
    </w:p>
    <w:p>
      <w:pPr>
        <w:pStyle w:val="ListParagraph"/>
        <w:numPr>
          <w:ilvl w:val="0"/>
          <w:numId w:val="1"/>
        </w:numPr>
        <w:spacing w:after="80"/>
      </w:pPr>
      <w:r>
        <w:rPr>
          <w:rFonts w:ascii="Calibri" w:cs="Calibri" w:eastAsia="Calibri" w:hAnsi="Calibri"/>
          <w:color w:val="1A1A1A"/>
          <w:sz w:val="22"/>
          <w:szCs w:val="22"/>
        </w:rPr>
        <w:t xml:space="preserve">Start a new task for each major step ('Start New Task') to keep Bob's context small and reduce resource usage.</w:t>
      </w:r>
    </w:p>
    <w:p>
      <w:pPr>
        <w:pStyle w:val="ListParagraph"/>
        <w:numPr>
          <w:ilvl w:val="0"/>
          <w:numId w:val="1"/>
        </w:numPr>
        <w:spacing w:after="80"/>
      </w:pPr>
      <w:r>
        <w:rPr>
          <w:rFonts w:ascii="Calibri" w:cs="Calibri" w:eastAsia="Calibri" w:hAnsi="Calibri"/>
          <w:color w:val="1A1A1A"/>
          <w:sz w:val="22"/>
          <w:szCs w:val="22"/>
        </w:rPr>
        <w:t xml:space="preserve">Review and approve each Bob-proposed plan/task list before it executes changes — Bob asks for explicit approval at each meaningful step unless auto-approval is enabled.</w:t>
      </w:r>
    </w:p>
    <w:p>
      <w:pPr>
        <w:pStyle w:val="ListParagraph"/>
        <w:numPr>
          <w:ilvl w:val="0"/>
          <w:numId w:val="1"/>
        </w:numPr>
        <w:spacing w:after="80"/>
      </w:pPr>
      <w:r>
        <w:rPr>
          <w:rFonts w:ascii="Calibri" w:cs="Calibri" w:eastAsia="Calibri" w:hAnsi="Calibri"/>
          <w:color w:val="1A1A1A"/>
          <w:sz w:val="22"/>
          <w:szCs w:val="22"/>
        </w:rPr>
        <w:t xml:space="preserve">Replace the sample runbooks in the knowledge base with your organization's actual runbooks before production use.</w:t>
      </w:r>
    </w:p>
    <w:p>
      <w:pPr>
        <w:pStyle w:val="Heading2"/>
        <w:spacing w:after="150" w:before="300"/>
      </w:pPr>
      <w:r>
        <w:rPr>
          <w:rFonts w:ascii="Calibri" w:cs="Calibri" w:eastAsia="Calibri" w:hAnsi="Calibri"/>
          <w:b/>
          <w:bCs/>
          <w:color w:val="0B1F3A"/>
          <w:sz w:val="26"/>
          <w:szCs w:val="26"/>
        </w:rPr>
        <w:t xml:space="preserve">Self-Check</w:t>
      </w:r>
    </w:p>
    <w:p>
      <w:pPr>
        <w:spacing w:after="40" w:before="160"/>
      </w:pPr>
      <w:r>
        <w:rPr>
          <w:rFonts w:ascii="Calibri" w:cs="Calibri" w:eastAsia="Calibri" w:hAnsi="Calibri"/>
          <w:b/>
          <w:bCs/>
          <w:color w:val="0B1F3A"/>
          <w:sz w:val="21"/>
          <w:szCs w:val="21"/>
        </w:rPr>
        <w:t xml:space="preserve">Q1. </w:t>
      </w:r>
      <w:r>
        <w:rPr>
          <w:rFonts w:ascii="Calibri" w:cs="Calibri" w:eastAsia="Calibri" w:hAnsi="Calibri"/>
          <w:b/>
          <w:bCs/>
          <w:color w:val="1A1A1A"/>
          <w:sz w:val="21"/>
          <w:szCs w:val="21"/>
        </w:rPr>
        <w:t xml:space="preserve">What are the four Bob skills used in this tutorial, in the order they're applied?</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sop-builder, wxo-builder, agent-instructions-evaluator, wxo-analyzer.</w:t>
      </w:r>
    </w:p>
    <w:p>
      <w:pPr>
        <w:spacing w:after="40" w:before="160"/>
      </w:pPr>
      <w:r>
        <w:rPr>
          <w:rFonts w:ascii="Calibri" w:cs="Calibri" w:eastAsia="Calibri" w:hAnsi="Calibri"/>
          <w:b/>
          <w:bCs/>
          <w:color w:val="0B1F3A"/>
          <w:sz w:val="21"/>
          <w:szCs w:val="21"/>
        </w:rPr>
        <w:t xml:space="preserve">Q2. </w:t>
      </w:r>
      <w:r>
        <w:rPr>
          <w:rFonts w:ascii="Calibri" w:cs="Calibri" w:eastAsia="Calibri" w:hAnsi="Calibri"/>
          <w:b/>
          <w:bCs/>
          <w:color w:val="1A1A1A"/>
          <w:sz w:val="21"/>
          <w:szCs w:val="21"/>
        </w:rPr>
        <w:t xml:space="preserve">Which agent decides whether to run the full incident workflow versus a standalone tool?</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The incident_triage_coordinator, using natural-language reasoning over the user's request.</w:t>
      </w:r>
    </w:p>
    <w:p>
      <w:pPr>
        <w:spacing w:after="40" w:before="160"/>
      </w:pPr>
      <w:r>
        <w:rPr>
          <w:rFonts w:ascii="Calibri" w:cs="Calibri" w:eastAsia="Calibri" w:hAnsi="Calibri"/>
          <w:b/>
          <w:bCs/>
          <w:color w:val="0B1F3A"/>
          <w:sz w:val="21"/>
          <w:szCs w:val="21"/>
        </w:rPr>
        <w:t xml:space="preserve">Q3. </w:t>
      </w:r>
      <w:r>
        <w:rPr>
          <w:rFonts w:ascii="Calibri" w:cs="Calibri" w:eastAsia="Calibri" w:hAnsi="Calibri"/>
          <w:b/>
          <w:bCs/>
          <w:color w:val="1A1A1A"/>
          <w:sz w:val="21"/>
          <w:szCs w:val="21"/>
        </w:rPr>
        <w:t xml:space="preserve">What does the wxo-analyzer skill produce that agent-instructions-evaluator does not?</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Architecture, agent-implementation, and supporting-component documentation (with Mermaid diagrams) — evaluator instead scores instructions and flags production-readiness issues.</w:t>
      </w:r>
    </w:p>
    <w:p>
      <w:r>
        <w:br w:type="page"/>
      </w:r>
    </w:p>
    <w:p>
      <w:pPr>
        <w:sectPr>
          <w:headerReference w:type="default" r:id="rId11"/>
          <w:footerReference w:type="default" r:id="rId12"/>
          <w:pgSz w:w="12240" w:h="15840" w:orient="portrait"/>
          <w:pgMar w:top="1300" w:right="1100" w:bottom="1200" w:left="1100" w:header="708" w:footer="708" w:gutter="0"/>
          <w:pgNumType/>
          <w:docGrid w:linePitch="360"/>
        </w:sectPr>
      </w:pPr>
    </w:p>
    <w:p>
      <w:pPr>
        <w:pStyle w:val="Heading1"/>
        <w:pBdr>
          <w:bottom w:val="single" w:color="C9A227" w:sz="12" w:space="4"/>
        </w:pBdr>
        <w:spacing w:after="200" w:before="400"/>
      </w:pPr>
      <w:r>
        <w:rPr>
          <w:rFonts w:ascii="Calibri" w:cs="Calibri" w:eastAsia="Calibri" w:hAnsi="Calibri"/>
          <w:b/>
          <w:bCs/>
          <w:color w:val="0B1F3A"/>
          <w:sz w:val="32"/>
          <w:szCs w:val="32"/>
        </w:rPr>
        <w:t xml:space="preserve">Topic 3: Recursive Language Model (RLM) Agents for Long-Document Analysis</w:t>
      </w:r>
    </w:p>
    <w:p>
      <w:pPr>
        <w:spacing w:after="160" w:line="276"/>
      </w:pPr>
      <w:r>
        <w:rPr>
          <w:rFonts w:ascii="Calibri" w:cs="Calibri" w:eastAsia="Calibri" w:hAnsi="Calibri"/>
          <w:i/>
          <w:iCs/>
          <w:color w:val="5A5A5A"/>
          <w:sz w:val="20"/>
          <w:szCs w:val="20"/>
        </w:rPr>
        <w:t xml:space="preserve">Scan → Delegate → Combine, applied to a bank loan document</w:t>
      </w:r>
    </w:p>
    <w:p>
      <w:pPr>
        <w:pStyle w:val="Heading2"/>
        <w:spacing w:after="150" w:before="300"/>
      </w:pPr>
      <w:r>
        <w:rPr>
          <w:rFonts w:ascii="Calibri" w:cs="Calibri" w:eastAsia="Calibri" w:hAnsi="Calibri"/>
          <w:b/>
          <w:bCs/>
          <w:color w:val="0B1F3A"/>
          <w:sz w:val="26"/>
          <w:szCs w:val="26"/>
        </w:rPr>
        <w:t xml:space="preserve">Overview</w:t>
      </w:r>
    </w:p>
    <w:p>
      <w:pPr>
        <w:spacing w:after="160" w:line="276"/>
      </w:pPr>
      <w:r>
        <w:rPr>
          <w:rFonts w:ascii="Calibri" w:cs="Calibri" w:eastAsia="Calibri" w:hAnsi="Calibri"/>
          <w:color w:val="1A1A1A"/>
          <w:sz w:val="22"/>
          <w:szCs w:val="22"/>
        </w:rPr>
        <w:t xml:space="preserve">LLMs often miss details buried in the middle of long documents ('lost in the middle'). A Recursive Language Model (RLM) agent addresses this by scanning a document for relevant sections, delegating each to a parallel subagent, and combining the findings into one coherent, deduplicated answer.</w:t>
      </w:r>
    </w:p>
    <w:p>
      <w:pPr>
        <w:spacing w:after="160" w:line="276"/>
      </w:pPr>
      <w:r>
        <w:rPr>
          <w:rFonts w:ascii="Calibri" w:cs="Calibri" w:eastAsia="Calibri" w:hAnsi="Calibri"/>
          <w:color w:val="1A1A1A"/>
          <w:sz w:val="22"/>
          <w:szCs w:val="22"/>
        </w:rPr>
        <w:t xml:space="preserve">This tutorial builds rlm_data_processor, a custom LangGraph agent implementing the RLM pattern, and deploys it into watsonx Orchestrate behind a Main Agent (banking_query_handler) that routes loan/banking document queries to it.</w:t>
      </w:r>
    </w:p>
    <w:p>
      <w:pPr>
        <w:pStyle w:val="Heading2"/>
        <w:spacing w:after="150" w:before="300"/>
      </w:pPr>
      <w:r>
        <w:rPr>
          <w:rFonts w:ascii="Calibri" w:cs="Calibri" w:eastAsia="Calibri" w:hAnsi="Calibri"/>
          <w:b/>
          <w:bCs/>
          <w:color w:val="0B1F3A"/>
          <w:sz w:val="26"/>
          <w:szCs w:val="26"/>
        </w:rPr>
        <w:t xml:space="preserve">Architecture &amp; Key Components</w:t>
      </w:r>
    </w:p>
    <w:p>
      <w:pPr>
        <w:pStyle w:val="ListParagraph"/>
        <w:numPr>
          <w:ilvl w:val="0"/>
          <w:numId w:val="1"/>
        </w:numPr>
        <w:spacing w:after="80"/>
      </w:pPr>
      <w:r>
        <w:rPr>
          <w:rFonts w:ascii="Calibri" w:cs="Calibri" w:eastAsia="Calibri" w:hAnsi="Calibri"/>
          <w:color w:val="1A1A1A"/>
          <w:sz w:val="22"/>
          <w:szCs w:val="22"/>
        </w:rPr>
        <w:t xml:space="preserve">Scan phase: identifies which sections of the document are relevant to the query — for large enterprise documents this typically removes 85–95% of content from further analysis, cutting token use and latency.</w:t>
      </w:r>
    </w:p>
    <w:p>
      <w:pPr>
        <w:pStyle w:val="ListParagraph"/>
        <w:numPr>
          <w:ilvl w:val="0"/>
          <w:numId w:val="1"/>
        </w:numPr>
        <w:spacing w:after="80"/>
      </w:pPr>
      <w:r>
        <w:rPr>
          <w:rFonts w:ascii="Calibri" w:cs="Calibri" w:eastAsia="Calibri" w:hAnsi="Calibri"/>
          <w:color w:val="1A1A1A"/>
          <w:sz w:val="22"/>
          <w:szCs w:val="22"/>
        </w:rPr>
        <w:t xml:space="preserve">Delegate phase: assigns each relevant section to its own subagent for isolated analysis (no unrelated content in context).</w:t>
      </w:r>
    </w:p>
    <w:p>
      <w:pPr>
        <w:pStyle w:val="ListParagraph"/>
        <w:numPr>
          <w:ilvl w:val="0"/>
          <w:numId w:val="1"/>
        </w:numPr>
        <w:spacing w:after="80"/>
      </w:pPr>
      <w:r>
        <w:rPr>
          <w:rFonts w:ascii="Calibri" w:cs="Calibri" w:eastAsia="Calibri" w:hAnsi="Calibri"/>
          <w:color w:val="1A1A1A"/>
          <w:sz w:val="22"/>
          <w:szCs w:val="22"/>
        </w:rPr>
        <w:t xml:space="preserve">Combine phase: merges subagent findings into a single response, removing duplicates.</w:t>
      </w:r>
    </w:p>
    <w:p>
      <w:pPr>
        <w:pStyle w:val="ListParagraph"/>
        <w:numPr>
          <w:ilvl w:val="0"/>
          <w:numId w:val="1"/>
        </w:numPr>
        <w:spacing w:after="80"/>
      </w:pPr>
      <w:r>
        <w:rPr>
          <w:rFonts w:ascii="Calibri" w:cs="Calibri" w:eastAsia="Calibri" w:hAnsi="Calibri"/>
          <w:color w:val="1A1A1A"/>
          <w:sz w:val="22"/>
          <w:szCs w:val="22"/>
        </w:rPr>
        <w:t xml:space="preserve">Two-agent watsonx Orchestrate design: Main Agent (banking_query_handler) receives the query and hands document-analysis requests to the custom LangGraph collaborator agent rlm_data_processor; the Main Agent also handles conversation history and general questions directly.</w:t>
      </w:r>
    </w:p>
    <w:p>
      <w:pPr>
        <w:pStyle w:val="ListParagraph"/>
        <w:numPr>
          <w:ilvl w:val="0"/>
          <w:numId w:val="1"/>
        </w:numPr>
        <w:spacing w:after="80"/>
      </w:pPr>
      <w:r>
        <w:rPr>
          <w:rFonts w:ascii="Calibri" w:cs="Calibri" w:eastAsia="Calibri" w:hAnsi="Calibri"/>
          <w:color w:val="1A1A1A"/>
          <w:sz w:val="22"/>
          <w:szCs w:val="22"/>
        </w:rPr>
        <w:t xml:space="preserve">Model: IBM watsonx.ai GPT-OSS 120B, used for the RLM's internal reasoning.</w:t>
      </w:r>
    </w:p>
    <w:p>
      <w:pPr>
        <w:pStyle w:val="Heading2"/>
        <w:spacing w:after="150" w:before="300"/>
      </w:pPr>
      <w:r>
        <w:rPr>
          <w:rFonts w:ascii="Calibri" w:cs="Calibri" w:eastAsia="Calibri" w:hAnsi="Calibri"/>
          <w:b/>
          <w:bCs/>
          <w:color w:val="0B1F3A"/>
          <w:sz w:val="26"/>
          <w:szCs w:val="26"/>
        </w:rPr>
        <w:t xml:space="preserve">Implementation Walkthrough</w:t>
      </w:r>
    </w:p>
    <w:p>
      <w:pPr>
        <w:pStyle w:val="ListParagraph"/>
        <w:numPr>
          <w:ilvl w:val="0"/>
          <w:numId w:val="2"/>
        </w:numPr>
        <w:spacing w:after="80"/>
      </w:pPr>
      <w:r>
        <w:rPr>
          <w:rFonts w:ascii="Calibri" w:cs="Calibri" w:eastAsia="Calibri" w:hAnsi="Calibri"/>
          <w:color w:val="1A1A1A"/>
          <w:sz w:val="22"/>
          <w:szCs w:val="22"/>
        </w:rPr>
        <w:t xml:space="preserve">Clone the repository, create/activate a Python 3.11 virtual environment, install ibm-watsonx-orchestrate.</w:t>
      </w:r>
    </w:p>
    <w:p>
      <w:pPr>
        <w:pStyle w:val="ListParagraph"/>
        <w:numPr>
          <w:ilvl w:val="0"/>
          <w:numId w:val="2"/>
        </w:numPr>
        <w:spacing w:after="80"/>
      </w:pPr>
      <w:r>
        <w:rPr>
          <w:rFonts w:ascii="Calibri" w:cs="Calibri" w:eastAsia="Calibri" w:hAnsi="Calibri"/>
          <w:color w:val="1A1A1A"/>
          <w:sz w:val="22"/>
          <w:szCs w:val="22"/>
        </w:rPr>
        <w:t xml:space="preserve">Create and activate a watsonx Orchestrate ADK environment (orchestrate env add / activate) using your instance URL and API key.</w:t>
      </w:r>
    </w:p>
    <w:p>
      <w:pPr>
        <w:pStyle w:val="ListParagraph"/>
        <w:numPr>
          <w:ilvl w:val="0"/>
          <w:numId w:val="2"/>
        </w:numPr>
        <w:spacing w:after="80"/>
      </w:pPr>
      <w:r>
        <w:rPr>
          <w:rFonts w:ascii="Calibri" w:cs="Calibri" w:eastAsia="Calibri" w:hAnsi="Calibri"/>
          <w:color w:val="1A1A1A"/>
          <w:sz w:val="22"/>
          <w:szCs w:val="22"/>
        </w:rPr>
        <w:t xml:space="preserve">Configure watsonx.ai credentials (WATSONX_PROJECT_ID, WATSONX_URL, WATSONX_APIKEY) both as environment variables and directly in rlm_data_processor.py.</w:t>
      </w:r>
    </w:p>
    <w:p>
      <w:pPr>
        <w:pStyle w:val="ListParagraph"/>
        <w:numPr>
          <w:ilvl w:val="0"/>
          <w:numId w:val="2"/>
        </w:numPr>
        <w:spacing w:after="80"/>
      </w:pPr>
      <w:r>
        <w:rPr>
          <w:rFonts w:ascii="Calibri" w:cs="Calibri" w:eastAsia="Calibri" w:hAnsi="Calibri"/>
          <w:color w:val="1A1A1A"/>
          <w:sz w:val="22"/>
          <w:szCs w:val="22"/>
        </w:rPr>
        <w:t xml:space="preserve">Test locally first: run rlm_data_processor.py and ask 'Who is the Relationship Manager assigned to the borrower?' — the correct behavior returns the name (Emma Wilson) exactly once even though it appears in three different sections, confirming Scan/Delegate/Combine all work.</w:t>
      </w:r>
    </w:p>
    <w:p>
      <w:pPr>
        <w:pStyle w:val="ListParagraph"/>
        <w:numPr>
          <w:ilvl w:val="0"/>
          <w:numId w:val="2"/>
        </w:numPr>
        <w:spacing w:after="80"/>
      </w:pPr>
      <w:r>
        <w:rPr>
          <w:rFonts w:ascii="Calibri" w:cs="Calibri" w:eastAsia="Calibri" w:hAnsi="Calibri"/>
          <w:color w:val="1A1A1A"/>
          <w:sz w:val="22"/>
          <w:szCs w:val="22"/>
        </w:rPr>
        <w:t xml:space="preserve">Import the custom LangGraph agent: orchestrate agents import --experimental-package-root rlm_data_processor.</w:t>
      </w:r>
    </w:p>
    <w:p>
      <w:pPr>
        <w:pStyle w:val="ListParagraph"/>
        <w:numPr>
          <w:ilvl w:val="0"/>
          <w:numId w:val="2"/>
        </w:numPr>
        <w:spacing w:after="80"/>
      </w:pPr>
      <w:r>
        <w:rPr>
          <w:rFonts w:ascii="Calibri" w:cs="Calibri" w:eastAsia="Calibri" w:hAnsi="Calibri"/>
          <w:color w:val="1A1A1A"/>
          <w:sz w:val="22"/>
          <w:szCs w:val="22"/>
        </w:rPr>
        <w:t xml:space="preserve">Import the Main Agent that references it as a collaborator: orchestrate agents import -f banking_query_handler/agent.yaml.</w:t>
      </w:r>
    </w:p>
    <w:p>
      <w:pPr>
        <w:pStyle w:val="Heading2"/>
        <w:spacing w:after="150" w:before="300"/>
      </w:pPr>
      <w:r>
        <w:rPr>
          <w:rFonts w:ascii="Calibri" w:cs="Calibri" w:eastAsia="Calibri" w:hAnsi="Calibri"/>
          <w:b/>
          <w:bCs/>
          <w:color w:val="0B1F3A"/>
          <w:sz w:val="26"/>
          <w:szCs w:val="26"/>
        </w:rPr>
        <w:t xml:space="preserve">Key Concepts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 / Component</w:t>
            </w:r>
          </w:p>
        </w:tc>
        <w:tc>
          <w:tcPr>
            <w:tcW w:type="pct" w:w="7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You Need to Know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When to use RAG</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When a search query can reliably retrieve the specific passage needed — good for knowledge bases, policy docs, product documentation.</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When to use RLM</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When the answer depends on information spread across multiple sections/documents and analyzing only the top retrieved passages risks missing something important.</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RAG + RLM together</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A common enterprise pattern: RAG narrows a large collection down to the most relevant documents; RLM then analyzes those documents at the section level for coverage and accuracy.</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Reusable use cases</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Contract audits, RFP/proposal responses, financial statement analysis, and incident/log investigations all follow the same Scan/Delegate/Combine shape — only the document type changes.</w:t>
            </w:r>
          </w:p>
        </w:tc>
      </w:tr>
    </w:tbl>
    <w:p>
      <w:pPr>
        <w:spacing w:after="120"/>
      </w:pPr>
    </w:p>
    <w:p>
      <w:pPr>
        <w:pStyle w:val="Heading2"/>
        <w:spacing w:after="150" w:before="300"/>
      </w:pPr>
      <w:r>
        <w:rPr>
          <w:rFonts w:ascii="Calibri" w:cs="Calibri" w:eastAsia="Calibri" w:hAnsi="Calibri"/>
          <w:b/>
          <w:bCs/>
          <w:color w:val="0B1F3A"/>
          <w:sz w:val="26"/>
          <w:szCs w:val="26"/>
        </w:rPr>
        <w:t xml:space="preserve">Self-Check</w:t>
      </w:r>
    </w:p>
    <w:p>
      <w:pPr>
        <w:spacing w:after="40" w:before="160"/>
      </w:pPr>
      <w:r>
        <w:rPr>
          <w:rFonts w:ascii="Calibri" w:cs="Calibri" w:eastAsia="Calibri" w:hAnsi="Calibri"/>
          <w:b/>
          <w:bCs/>
          <w:color w:val="0B1F3A"/>
          <w:sz w:val="21"/>
          <w:szCs w:val="21"/>
        </w:rPr>
        <w:t xml:space="preserve">Q1. </w:t>
      </w:r>
      <w:r>
        <w:rPr>
          <w:rFonts w:ascii="Calibri" w:cs="Calibri" w:eastAsia="Calibri" w:hAnsi="Calibri"/>
          <w:b/>
          <w:bCs/>
          <w:color w:val="1A1A1A"/>
          <w:sz w:val="21"/>
          <w:szCs w:val="21"/>
        </w:rPr>
        <w:t xml:space="preserve">Why did the test query in this tutorial specifically ask about the Relationship Manager?</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Because that name (Emma Wilson) appears in three separate sections of the loan document, so a correct single, non-duplicated answer proves Scan, Delegate, and Combine are all functioning correctly.</w:t>
      </w:r>
    </w:p>
    <w:p>
      <w:pPr>
        <w:spacing w:after="40" w:before="160"/>
      </w:pPr>
      <w:r>
        <w:rPr>
          <w:rFonts w:ascii="Calibri" w:cs="Calibri" w:eastAsia="Calibri" w:hAnsi="Calibri"/>
          <w:b/>
          <w:bCs/>
          <w:color w:val="0B1F3A"/>
          <w:sz w:val="21"/>
          <w:szCs w:val="21"/>
        </w:rPr>
        <w:t xml:space="preserve">Q2. </w:t>
      </w:r>
      <w:r>
        <w:rPr>
          <w:rFonts w:ascii="Calibri" w:cs="Calibri" w:eastAsia="Calibri" w:hAnsi="Calibri"/>
          <w:b/>
          <w:bCs/>
          <w:color w:val="1A1A1A"/>
          <w:sz w:val="21"/>
          <w:szCs w:val="21"/>
        </w:rPr>
        <w:t xml:space="preserve">What performance benefit does the Scan phase typically provide?</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It removes roughly 85–95% of a large document from further processing, reducing both token consumption and processing time.</w:t>
      </w:r>
    </w:p>
    <w:p>
      <w:pPr>
        <w:spacing w:after="40" w:before="160"/>
      </w:pPr>
      <w:r>
        <w:rPr>
          <w:rFonts w:ascii="Calibri" w:cs="Calibri" w:eastAsia="Calibri" w:hAnsi="Calibri"/>
          <w:b/>
          <w:bCs/>
          <w:color w:val="0B1F3A"/>
          <w:sz w:val="21"/>
          <w:szCs w:val="21"/>
        </w:rPr>
        <w:t xml:space="preserve">Q3. </w:t>
      </w:r>
      <w:r>
        <w:rPr>
          <w:rFonts w:ascii="Calibri" w:cs="Calibri" w:eastAsia="Calibri" w:hAnsi="Calibri"/>
          <w:b/>
          <w:bCs/>
          <w:color w:val="1A1A1A"/>
          <w:sz w:val="21"/>
          <w:szCs w:val="21"/>
        </w:rPr>
        <w:t xml:space="preserve">In the two-agent design, which agent is the LangGraph/RLM implementation and which is the entry point?</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banking_query_handler is the Main Agent / entry point; rlm_data_processor is the custom LangGraph collaborator that performs the RLM analysis.</w:t>
      </w:r>
    </w:p>
    <w:p>
      <w:r>
        <w:br w:type="page"/>
      </w:r>
    </w:p>
    <w:p>
      <w:pPr>
        <w:sectPr>
          <w:headerReference w:type="default" r:id="rId13"/>
          <w:footerReference w:type="default" r:id="rId14"/>
          <w:pgSz w:w="12240" w:h="15840" w:orient="portrait"/>
          <w:pgMar w:top="1300" w:right="1100" w:bottom="1200" w:left="1100" w:header="708" w:footer="708" w:gutter="0"/>
          <w:pgNumType/>
          <w:docGrid w:linePitch="360"/>
        </w:sectPr>
      </w:pPr>
    </w:p>
    <w:p>
      <w:pPr>
        <w:pStyle w:val="Heading1"/>
        <w:pBdr>
          <w:bottom w:val="single" w:color="C9A227" w:sz="12" w:space="4"/>
        </w:pBdr>
        <w:spacing w:after="200" w:before="400"/>
      </w:pPr>
      <w:r>
        <w:rPr>
          <w:rFonts w:ascii="Calibri" w:cs="Calibri" w:eastAsia="Calibri" w:hAnsi="Calibri"/>
          <w:b/>
          <w:bCs/>
          <w:color w:val="0B1F3A"/>
          <w:sz w:val="32"/>
          <w:szCs w:val="32"/>
        </w:rPr>
        <w:t xml:space="preserve">Topic 4: From BPMN Diagrams to Working Agents with Bob Skills</w:t>
      </w:r>
    </w:p>
    <w:p>
      <w:pPr>
        <w:spacing w:after="160" w:line="276"/>
      </w:pPr>
      <w:r>
        <w:rPr>
          <w:rFonts w:ascii="Calibri" w:cs="Calibri" w:eastAsia="Calibri" w:hAnsi="Calibri"/>
          <w:i/>
          <w:iCs/>
          <w:color w:val="5A5A5A"/>
          <w:sz w:val="20"/>
          <w:szCs w:val="20"/>
        </w:rPr>
        <w:t xml:space="preserve">Automated order-processing solution built from a BPMN model</w:t>
      </w:r>
    </w:p>
    <w:p>
      <w:pPr>
        <w:pStyle w:val="Heading2"/>
        <w:spacing w:after="150" w:before="300"/>
      </w:pPr>
      <w:r>
        <w:rPr>
          <w:rFonts w:ascii="Calibri" w:cs="Calibri" w:eastAsia="Calibri" w:hAnsi="Calibri"/>
          <w:b/>
          <w:bCs/>
          <w:color w:val="0B1F3A"/>
          <w:sz w:val="26"/>
          <w:szCs w:val="26"/>
        </w:rPr>
        <w:t xml:space="preserve">Overview</w:t>
      </w:r>
    </w:p>
    <w:p>
      <w:pPr>
        <w:spacing w:after="160" w:line="276"/>
      </w:pPr>
      <w:r>
        <w:rPr>
          <w:rFonts w:ascii="Calibri" w:cs="Calibri" w:eastAsia="Calibri" w:hAnsi="Calibri"/>
          <w:color w:val="1A1A1A"/>
          <w:sz w:val="22"/>
          <w:szCs w:val="22"/>
        </w:rPr>
        <w:t xml:space="preserve">Business analysts typically model processes in BPMN, then developers spend weeks translating that model into working code. This tutorial shows Bob skills converting a BPMN order-processing diagram directly into a working watsonx Orchestrate agent, workflow, and tools — with an SOP document as the reviewable intermediate specification.</w:t>
      </w:r>
    </w:p>
    <w:p>
      <w:pPr>
        <w:pStyle w:val="Heading2"/>
        <w:spacing w:after="150" w:before="300"/>
      </w:pPr>
      <w:r>
        <w:rPr>
          <w:rFonts w:ascii="Calibri" w:cs="Calibri" w:eastAsia="Calibri" w:hAnsi="Calibri"/>
          <w:b/>
          <w:bCs/>
          <w:color w:val="0B1F3A"/>
          <w:sz w:val="26"/>
          <w:szCs w:val="26"/>
        </w:rPr>
        <w:t xml:space="preserve">Architecture &amp; Key Components</w:t>
      </w:r>
    </w:p>
    <w:p>
      <w:pPr>
        <w:pStyle w:val="ListParagraph"/>
        <w:numPr>
          <w:ilvl w:val="0"/>
          <w:numId w:val="1"/>
        </w:numPr>
        <w:spacing w:after="80"/>
      </w:pPr>
      <w:r>
        <w:rPr>
          <w:rFonts w:ascii="Calibri" w:cs="Calibri" w:eastAsia="Calibri" w:hAnsi="Calibri"/>
          <w:color w:val="1A1A1A"/>
          <w:sz w:val="22"/>
          <w:szCs w:val="22"/>
        </w:rPr>
        <w:t xml:space="preserve">Order Processing Agent: manages the full order lifecycle end to end.</w:t>
      </w:r>
    </w:p>
    <w:p>
      <w:pPr>
        <w:pStyle w:val="ListParagraph"/>
        <w:numPr>
          <w:ilvl w:val="0"/>
          <w:numId w:val="1"/>
        </w:numPr>
        <w:spacing w:after="80"/>
      </w:pPr>
      <w:r>
        <w:rPr>
          <w:rFonts w:ascii="Calibri" w:cs="Calibri" w:eastAsia="Calibri" w:hAnsi="Calibri"/>
          <w:color w:val="1A1A1A"/>
          <w:sz w:val="22"/>
          <w:szCs w:val="22"/>
        </w:rPr>
        <w:t xml:space="preserve">Order Processing Flow: implements the BPMN logic, including conditional branching on inventory availability.</w:t>
      </w:r>
    </w:p>
    <w:p>
      <w:pPr>
        <w:pStyle w:val="ListParagraph"/>
        <w:numPr>
          <w:ilvl w:val="0"/>
          <w:numId w:val="1"/>
        </w:numPr>
        <w:spacing w:after="80"/>
      </w:pPr>
      <w:r>
        <w:rPr>
          <w:rFonts w:ascii="Calibri" w:cs="Calibri" w:eastAsia="Calibri" w:hAnsi="Calibri"/>
          <w:color w:val="1A1A1A"/>
          <w:sz w:val="22"/>
          <w:szCs w:val="22"/>
        </w:rPr>
        <w:t xml:space="preserve">Five Python tools with mock integrations: validate_order, check_inventory, process_payment, ship_order, send_notification.</w:t>
      </w:r>
    </w:p>
    <w:p>
      <w:pPr>
        <w:pStyle w:val="ListParagraph"/>
        <w:numPr>
          <w:ilvl w:val="0"/>
          <w:numId w:val="1"/>
        </w:numPr>
        <w:spacing w:after="80"/>
      </w:pPr>
      <w:r>
        <w:rPr>
          <w:rFonts w:ascii="Calibri" w:cs="Calibri" w:eastAsia="Calibri" w:hAnsi="Calibri"/>
          <w:color w:val="1A1A1A"/>
          <w:sz w:val="22"/>
          <w:szCs w:val="22"/>
        </w:rPr>
        <w:t xml:space="preserve">Two Bob skills: sop-builder (BPMN/Langflow/n8n/etc. → SOP) and wxo-builder (SOP/README → agents, flows, tools, knowledge bases).</w:t>
      </w:r>
    </w:p>
    <w:p>
      <w:pPr>
        <w:pStyle w:val="ListParagraph"/>
        <w:numPr>
          <w:ilvl w:val="0"/>
          <w:numId w:val="1"/>
        </w:numPr>
        <w:spacing w:after="80"/>
      </w:pPr>
      <w:r>
        <w:rPr>
          <w:rFonts w:ascii="Calibri" w:cs="Calibri" w:eastAsia="Calibri" w:hAnsi="Calibri"/>
          <w:color w:val="1A1A1A"/>
          <w:sz w:val="22"/>
          <w:szCs w:val="22"/>
        </w:rPr>
        <w:t xml:space="preserve">Two MCP servers configured in .bob/mcp.json: watsonx-orchestrate-adk-docs (documentation search) and watsonx-orchestrate-adk (direct ADK command access).</w:t>
      </w:r>
    </w:p>
    <w:p>
      <w:pPr>
        <w:pStyle w:val="Heading2"/>
        <w:spacing w:after="150" w:before="300"/>
      </w:pPr>
      <w:r>
        <w:rPr>
          <w:rFonts w:ascii="Calibri" w:cs="Calibri" w:eastAsia="Calibri" w:hAnsi="Calibri"/>
          <w:b/>
          <w:bCs/>
          <w:color w:val="0B1F3A"/>
          <w:sz w:val="26"/>
          <w:szCs w:val="26"/>
        </w:rPr>
        <w:t xml:space="preserve">Implementation Walkthrough</w:t>
      </w:r>
    </w:p>
    <w:p>
      <w:pPr>
        <w:pStyle w:val="ListParagraph"/>
        <w:numPr>
          <w:ilvl w:val="0"/>
          <w:numId w:val="2"/>
        </w:numPr>
        <w:spacing w:after="80"/>
      </w:pPr>
      <w:r>
        <w:rPr>
          <w:rFonts w:ascii="Calibri" w:cs="Calibri" w:eastAsia="Calibri" w:hAnsi="Calibri"/>
          <w:color w:val="1A1A1A"/>
          <w:sz w:val="22"/>
          <w:szCs w:val="22"/>
        </w:rPr>
        <w:t xml:space="preserve">Create a Bob workspace, clone the watsonx Orchestrate ADK GitHub repository for reference example projects, and configure .bob/mcp.json with both MCP servers.</w:t>
      </w:r>
    </w:p>
    <w:p>
      <w:pPr>
        <w:pStyle w:val="ListParagraph"/>
        <w:numPr>
          <w:ilvl w:val="0"/>
          <w:numId w:val="2"/>
        </w:numPr>
        <w:spacing w:after="80"/>
      </w:pPr>
      <w:r>
        <w:rPr>
          <w:rFonts w:ascii="Calibri" w:cs="Calibri" w:eastAsia="Calibri" w:hAnsi="Calibri"/>
          <w:color w:val="1A1A1A"/>
          <w:sz w:val="22"/>
          <w:szCs w:val="22"/>
        </w:rPr>
        <w:t xml:space="preserve">Configure the watsonx Orchestrate ADK extension (Python venv named exactly venv, then Initialize Workspace and Activate against your environment).</w:t>
      </w:r>
    </w:p>
    <w:p>
      <w:pPr>
        <w:pStyle w:val="ListParagraph"/>
        <w:numPr>
          <w:ilvl w:val="0"/>
          <w:numId w:val="2"/>
        </w:numPr>
        <w:spacing w:after="80"/>
      </w:pPr>
      <w:r>
        <w:rPr>
          <w:rFonts w:ascii="Calibri" w:cs="Calibri" w:eastAsia="Calibri" w:hAnsi="Calibri"/>
          <w:color w:val="1A1A1A"/>
          <w:sz w:val="22"/>
          <w:szCs w:val="22"/>
        </w:rPr>
        <w:t xml:space="preserve">Ask Bob (in Advanced mode, auto-approval off) to fetch the sop-builder and wxo-builder skills via the MCP server; they're stored in .bob/skills.</w:t>
      </w:r>
    </w:p>
    <w:p>
      <w:pPr>
        <w:pStyle w:val="ListParagraph"/>
        <w:numPr>
          <w:ilvl w:val="0"/>
          <w:numId w:val="2"/>
        </w:numPr>
        <w:spacing w:after="80"/>
      </w:pPr>
      <w:r>
        <w:rPr>
          <w:rFonts w:ascii="Calibri" w:cs="Calibri" w:eastAsia="Calibri" w:hAnsi="Calibri"/>
          <w:color w:val="1A1A1A"/>
          <w:sz w:val="22"/>
          <w:szCs w:val="22"/>
        </w:rPr>
        <w:t xml:space="preserve">Generate the SOP: 'Hi Bob, Build a SOP document based on @/bpmn/BPMN-order-process.bpmn' — produces executive summary, business process flow diagram, business context, procedure overview, data requirements, and procedure steps.</w:t>
      </w:r>
    </w:p>
    <w:p>
      <w:pPr>
        <w:pStyle w:val="ListParagraph"/>
        <w:numPr>
          <w:ilvl w:val="0"/>
          <w:numId w:val="2"/>
        </w:numPr>
        <w:spacing w:after="80"/>
      </w:pPr>
      <w:r>
        <w:rPr>
          <w:rFonts w:ascii="Calibri" w:cs="Calibri" w:eastAsia="Calibri" w:hAnsi="Calibri"/>
          <w:color w:val="1A1A1A"/>
          <w:sz w:val="22"/>
          <w:szCs w:val="22"/>
        </w:rPr>
        <w:t xml:space="preserve">Generate the implementation from the SOP, explicitly instructing Bob to consult the wxo-builder skill before writing any flow/agent code, reference the ADK examples repo for proven patterns, keep business logic in Python tools (not complex flow expressions), and use flat field schemas for automatic mapping.</w:t>
      </w:r>
    </w:p>
    <w:p>
      <w:pPr>
        <w:pStyle w:val="ListParagraph"/>
        <w:numPr>
          <w:ilvl w:val="0"/>
          <w:numId w:val="2"/>
        </w:numPr>
        <w:spacing w:after="80"/>
      </w:pPr>
      <w:r>
        <w:rPr>
          <w:rFonts w:ascii="Calibri" w:cs="Calibri" w:eastAsia="Calibri" w:hAnsi="Calibri"/>
          <w:color w:val="1A1A1A"/>
          <w:sz w:val="22"/>
          <w:szCs w:val="22"/>
        </w:rPr>
        <w:t xml:space="preserve">Deploy via the import script Bob created, then run programmatic unit tests and agent chat tests, having Bob iterate on fixes until everything passes and a test report is produced.</w:t>
      </w:r>
    </w:p>
    <w:p>
      <w:pPr>
        <w:pStyle w:val="ListParagraph"/>
        <w:numPr>
          <w:ilvl w:val="0"/>
          <w:numId w:val="2"/>
        </w:numPr>
        <w:spacing w:after="80"/>
      </w:pPr>
      <w:r>
        <w:rPr>
          <w:rFonts w:ascii="Calibri" w:cs="Calibri" w:eastAsia="Calibri" w:hAnsi="Calibri"/>
          <w:color w:val="1A1A1A"/>
          <w:sz w:val="22"/>
          <w:szCs w:val="22"/>
        </w:rPr>
        <w:t xml:space="preserve">Verify in the watsonx Orchestrate UI: submit a full sample order, then use Open Flow Inspector → View AI Summary to confirm the execution path (validate → inventory check → payment → shipment → notification).</w:t>
      </w:r>
    </w:p>
    <w:p>
      <w:pPr>
        <w:pStyle w:val="Heading2"/>
        <w:spacing w:after="150" w:before="300"/>
      </w:pPr>
      <w:r>
        <w:rPr>
          <w:rFonts w:ascii="Calibri" w:cs="Calibri" w:eastAsia="Calibri" w:hAnsi="Calibri"/>
          <w:b/>
          <w:bCs/>
          <w:color w:val="0B1F3A"/>
          <w:sz w:val="26"/>
          <w:szCs w:val="26"/>
        </w:rPr>
        <w:t xml:space="preserve">Key Concepts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 / Component</w:t>
            </w:r>
          </w:p>
        </w:tc>
        <w:tc>
          <w:tcPr>
            <w:tcW w:type="pct" w:w="7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You Need to Know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Spec-driven workflow for this tutorial</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1) sop-builder generates the SOP → 2) a subject-matter expert reviews/approves it → 3) wxo-builder generates the project from the README/SOP → 4) if the business spec was wrong, update the SOP and re-run sop-builder; if the technical implementation was wrong, update the README and re-run wxo-builder.</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Flat field schemas</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Using flat fields like customer_email instead of nested objects like customer.email enables watsonx Orchestrate's automatic mapping between tools/flows, reducing the need for complex manual mapping.</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'Start New Task' discipline</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Explicitly recommended before each major step to keep context size down and reduce resource usage — the same guidance appears across multiple Bob tutorials.</w:t>
            </w:r>
          </w:p>
        </w:tc>
      </w:tr>
    </w:tbl>
    <w:p>
      <w:pPr>
        <w:spacing w:after="120"/>
      </w:pPr>
    </w:p>
    <w:p>
      <w:pPr>
        <w:pStyle w:val="Heading2"/>
        <w:spacing w:after="150" w:before="300"/>
      </w:pPr>
      <w:r>
        <w:rPr>
          <w:rFonts w:ascii="Calibri" w:cs="Calibri" w:eastAsia="Calibri" w:hAnsi="Calibri"/>
          <w:b/>
          <w:bCs/>
          <w:color w:val="0B1F3A"/>
          <w:sz w:val="26"/>
          <w:szCs w:val="26"/>
        </w:rPr>
        <w:t xml:space="preserve">Common Pitfalls / Best Practices</w:t>
      </w:r>
    </w:p>
    <w:p>
      <w:pPr>
        <w:pStyle w:val="ListParagraph"/>
        <w:numPr>
          <w:ilvl w:val="0"/>
          <w:numId w:val="1"/>
        </w:numPr>
        <w:spacing w:after="80"/>
      </w:pPr>
      <w:r>
        <w:rPr>
          <w:rFonts w:ascii="Calibri" w:cs="Calibri" w:eastAsia="Calibri" w:hAnsi="Calibri"/>
          <w:color w:val="1A1A1A"/>
          <w:sz w:val="22"/>
          <w:szCs w:val="22"/>
        </w:rPr>
        <w:t xml:space="preserve">Always consult the relevant Bob skill before writing any watsonx Orchestrate flow or agent code — don't let Bob freelance the implementation pattern.</w:t>
      </w:r>
    </w:p>
    <w:p>
      <w:pPr>
        <w:pStyle w:val="ListParagraph"/>
        <w:numPr>
          <w:ilvl w:val="0"/>
          <w:numId w:val="1"/>
        </w:numPr>
        <w:spacing w:after="80"/>
      </w:pPr>
      <w:r>
        <w:rPr>
          <w:rFonts w:ascii="Calibri" w:cs="Calibri" w:eastAsia="Calibri" w:hAnsi="Calibri"/>
          <w:color w:val="1A1A1A"/>
          <w:sz w:val="22"/>
          <w:szCs w:val="22"/>
        </w:rPr>
        <w:t xml:space="preserve">Keep business logic inside Python tools rather than complex flow-expression logic, for maintainability and testability.</w:t>
      </w:r>
    </w:p>
    <w:p>
      <w:pPr>
        <w:pStyle w:val="ListParagraph"/>
        <w:numPr>
          <w:ilvl w:val="0"/>
          <w:numId w:val="1"/>
        </w:numPr>
        <w:spacing w:after="80"/>
      </w:pPr>
      <w:r>
        <w:rPr>
          <w:rFonts w:ascii="Calibri" w:cs="Calibri" w:eastAsia="Calibri" w:hAnsi="Calibri"/>
          <w:color w:val="1A1A1A"/>
          <w:sz w:val="22"/>
          <w:szCs w:val="22"/>
        </w:rPr>
        <w:t xml:space="preserve">Use flat, non-nested field schemas to enable automatic mapping instead of hand-built complex mappings.</w:t>
      </w:r>
    </w:p>
    <w:p>
      <w:pPr>
        <w:pStyle w:val="Heading2"/>
        <w:spacing w:after="150" w:before="300"/>
      </w:pPr>
      <w:r>
        <w:rPr>
          <w:rFonts w:ascii="Calibri" w:cs="Calibri" w:eastAsia="Calibri" w:hAnsi="Calibri"/>
          <w:b/>
          <w:bCs/>
          <w:color w:val="0B1F3A"/>
          <w:sz w:val="26"/>
          <w:szCs w:val="26"/>
        </w:rPr>
        <w:t xml:space="preserve">Self-Check</w:t>
      </w:r>
    </w:p>
    <w:p>
      <w:pPr>
        <w:spacing w:after="40" w:before="160"/>
      </w:pPr>
      <w:r>
        <w:rPr>
          <w:rFonts w:ascii="Calibri" w:cs="Calibri" w:eastAsia="Calibri" w:hAnsi="Calibri"/>
          <w:b/>
          <w:bCs/>
          <w:color w:val="0B1F3A"/>
          <w:sz w:val="21"/>
          <w:szCs w:val="21"/>
        </w:rPr>
        <w:t xml:space="preserve">Q1. </w:t>
      </w:r>
      <w:r>
        <w:rPr>
          <w:rFonts w:ascii="Calibri" w:cs="Calibri" w:eastAsia="Calibri" w:hAnsi="Calibri"/>
          <w:b/>
          <w:bCs/>
          <w:color w:val="1A1A1A"/>
          <w:sz w:val="21"/>
          <w:szCs w:val="21"/>
        </w:rPr>
        <w:t xml:space="preserve">What two Bob skills are used in this tutorial, and in what order?</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sop-builder first (BPMN → SOP), then wxo-builder (SOP/README → agents, flows, tools).</w:t>
      </w:r>
    </w:p>
    <w:p>
      <w:pPr>
        <w:spacing w:after="40" w:before="160"/>
      </w:pPr>
      <w:r>
        <w:rPr>
          <w:rFonts w:ascii="Calibri" w:cs="Calibri" w:eastAsia="Calibri" w:hAnsi="Calibri"/>
          <w:b/>
          <w:bCs/>
          <w:color w:val="0B1F3A"/>
          <w:sz w:val="21"/>
          <w:szCs w:val="21"/>
        </w:rPr>
        <w:t xml:space="preserve">Q2. </w:t>
      </w:r>
      <w:r>
        <w:rPr>
          <w:rFonts w:ascii="Calibri" w:cs="Calibri" w:eastAsia="Calibri" w:hAnsi="Calibri"/>
          <w:b/>
          <w:bCs/>
          <w:color w:val="1A1A1A"/>
          <w:sz w:val="21"/>
          <w:szCs w:val="21"/>
        </w:rPr>
        <w:t xml:space="preserve">What must the Python virtual environment folder be renamed to for the watsonx Orchestrate ADK extension to work correctly?</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venv (renamed from the default .venv).</w:t>
      </w:r>
    </w:p>
    <w:p>
      <w:pPr>
        <w:spacing w:after="40" w:before="160"/>
      </w:pPr>
      <w:r>
        <w:rPr>
          <w:rFonts w:ascii="Calibri" w:cs="Calibri" w:eastAsia="Calibri" w:hAnsi="Calibri"/>
          <w:b/>
          <w:bCs/>
          <w:color w:val="0B1F3A"/>
          <w:sz w:val="21"/>
          <w:szCs w:val="21"/>
        </w:rPr>
        <w:t xml:space="preserve">Q3. </w:t>
      </w:r>
      <w:r>
        <w:rPr>
          <w:rFonts w:ascii="Calibri" w:cs="Calibri" w:eastAsia="Calibri" w:hAnsi="Calibri"/>
          <w:b/>
          <w:bCs/>
          <w:color w:val="1A1A1A"/>
          <w:sz w:val="21"/>
          <w:szCs w:val="21"/>
        </w:rPr>
        <w:t xml:space="preserve">Why use flat fields like customer_email instead of nested objects like customer.email?</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Flat schemas enable watsonx Orchestrate's automatic field mapping between tools and flows, avoiding complex manual mapping configuration.</w:t>
      </w:r>
    </w:p>
    <w:p>
      <w:r>
        <w:br w:type="page"/>
      </w:r>
    </w:p>
    <w:p>
      <w:pPr>
        <w:sectPr>
          <w:headerReference w:type="default" r:id="rId15"/>
          <w:footerReference w:type="default" r:id="rId16"/>
          <w:pgSz w:w="12240" w:h="15840" w:orient="portrait"/>
          <w:pgMar w:top="1300" w:right="1100" w:bottom="1200" w:left="1100" w:header="708" w:footer="708" w:gutter="0"/>
          <w:pgNumType/>
          <w:docGrid w:linePitch="360"/>
        </w:sectPr>
      </w:pPr>
    </w:p>
    <w:p>
      <w:pPr>
        <w:pStyle w:val="Heading1"/>
        <w:pBdr>
          <w:bottom w:val="single" w:color="C9A227" w:sz="12" w:space="4"/>
        </w:pBdr>
        <w:spacing w:after="200" w:before="400"/>
      </w:pPr>
      <w:r>
        <w:rPr>
          <w:rFonts w:ascii="Calibri" w:cs="Calibri" w:eastAsia="Calibri" w:hAnsi="Calibri"/>
          <w:b/>
          <w:bCs/>
          <w:color w:val="0B1F3A"/>
          <w:sz w:val="32"/>
          <w:szCs w:val="32"/>
        </w:rPr>
        <w:t xml:space="preserve">Topic 5: Building MCP Tools and a watsonx Orchestrate Agent with IBM Bob</w:t>
      </w:r>
    </w:p>
    <w:p>
      <w:pPr>
        <w:spacing w:after="160" w:line="276"/>
      </w:pPr>
      <w:r>
        <w:rPr>
          <w:rFonts w:ascii="Calibri" w:cs="Calibri" w:eastAsia="Calibri" w:hAnsi="Calibri"/>
          <w:i/>
          <w:iCs/>
          <w:color w:val="5A5A5A"/>
          <w:sz w:val="20"/>
          <w:szCs w:val="20"/>
        </w:rPr>
        <w:t xml:space="preserve">A FastMCP server with two factorial tools, deployed end to end with minimal manual work</w:t>
      </w:r>
    </w:p>
    <w:p>
      <w:pPr>
        <w:pStyle w:val="Heading2"/>
        <w:spacing w:after="150" w:before="300"/>
      </w:pPr>
      <w:r>
        <w:rPr>
          <w:rFonts w:ascii="Calibri" w:cs="Calibri" w:eastAsia="Calibri" w:hAnsi="Calibri"/>
          <w:b/>
          <w:bCs/>
          <w:color w:val="0B1F3A"/>
          <w:sz w:val="26"/>
          <w:szCs w:val="26"/>
        </w:rPr>
        <w:t xml:space="preserve">Overview</w:t>
      </w:r>
    </w:p>
    <w:p>
      <w:pPr>
        <w:spacing w:after="160" w:line="276"/>
      </w:pPr>
      <w:r>
        <w:rPr>
          <w:rFonts w:ascii="Calibri" w:cs="Calibri" w:eastAsia="Calibri" w:hAnsi="Calibri"/>
          <w:color w:val="1A1A1A"/>
          <w:sz w:val="22"/>
          <w:szCs w:val="22"/>
        </w:rPr>
        <w:t xml:space="preserve">This hands-on tutorial has Bob do essentially all the work — project setup, MCP server build, unit tests, documentation, deployment, tool import, agent creation, and verification — with the developer only giving approvals at key checkpoints.</w:t>
      </w:r>
    </w:p>
    <w:p>
      <w:pPr>
        <w:pStyle w:val="Heading2"/>
        <w:spacing w:after="150" w:before="300"/>
      </w:pPr>
      <w:r>
        <w:rPr>
          <w:rFonts w:ascii="Calibri" w:cs="Calibri" w:eastAsia="Calibri" w:hAnsi="Calibri"/>
          <w:b/>
          <w:bCs/>
          <w:color w:val="0B1F3A"/>
          <w:sz w:val="26"/>
          <w:szCs w:val="26"/>
        </w:rPr>
        <w:t xml:space="preserve">Architecture &amp; Key Components</w:t>
      </w:r>
    </w:p>
    <w:p>
      <w:pPr>
        <w:pStyle w:val="ListParagraph"/>
        <w:numPr>
          <w:ilvl w:val="0"/>
          <w:numId w:val="1"/>
        </w:numPr>
        <w:spacing w:after="80"/>
      </w:pPr>
      <w:r>
        <w:rPr>
          <w:rFonts w:ascii="Calibri" w:cs="Calibri" w:eastAsia="Calibri" w:hAnsi="Calibri"/>
          <w:color w:val="1A1A1A"/>
          <w:sz w:val="22"/>
          <w:szCs w:val="22"/>
        </w:rPr>
        <w:t xml:space="preserve">FastMCP server with two mathematical tools sharing a common helper: factorial_value (exact n!) and factorial_digits (digit count of n!, useful when n! is too large to display).</w:t>
      </w:r>
    </w:p>
    <w:p>
      <w:pPr>
        <w:pStyle w:val="ListParagraph"/>
        <w:numPr>
          <w:ilvl w:val="0"/>
          <w:numId w:val="1"/>
        </w:numPr>
        <w:spacing w:after="80"/>
      </w:pPr>
      <w:r>
        <w:rPr>
          <w:rFonts w:ascii="Calibri" w:cs="Calibri" w:eastAsia="Calibri" w:hAnsi="Calibri"/>
          <w:color w:val="1A1A1A"/>
          <w:sz w:val="22"/>
          <w:szCs w:val="22"/>
        </w:rPr>
        <w:t xml:space="preserve">An MCP client built by Bob to validate both tools end to end with proper error handling.</w:t>
      </w:r>
    </w:p>
    <w:p>
      <w:pPr>
        <w:pStyle w:val="ListParagraph"/>
        <w:numPr>
          <w:ilvl w:val="0"/>
          <w:numId w:val="1"/>
        </w:numPr>
        <w:spacing w:after="80"/>
      </w:pPr>
      <w:r>
        <w:rPr>
          <w:rFonts w:ascii="Calibri" w:cs="Calibri" w:eastAsia="Calibri" w:hAnsi="Calibri"/>
          <w:color w:val="1A1A1A"/>
          <w:sz w:val="22"/>
          <w:szCs w:val="22"/>
        </w:rPr>
        <w:t xml:space="preserve">watsonx Orchestrate CLI (orchestrate toolkits) used to import the MCP tools.</w:t>
      </w:r>
    </w:p>
    <w:p>
      <w:pPr>
        <w:pStyle w:val="ListParagraph"/>
        <w:numPr>
          <w:ilvl w:val="0"/>
          <w:numId w:val="1"/>
        </w:numPr>
        <w:spacing w:after="80"/>
      </w:pPr>
      <w:r>
        <w:rPr>
          <w:rFonts w:ascii="Calibri" w:cs="Calibri" w:eastAsia="Calibri" w:hAnsi="Calibri"/>
          <w:color w:val="1A1A1A"/>
          <w:sz w:val="22"/>
          <w:szCs w:val="22"/>
        </w:rPr>
        <w:t xml:space="preserve">A Factorial Agent configured to use the groq/openai/gpt-oss-120b model.</w:t>
      </w:r>
    </w:p>
    <w:p>
      <w:pPr>
        <w:pStyle w:val="Heading2"/>
        <w:spacing w:after="150" w:before="300"/>
      </w:pPr>
      <w:r>
        <w:rPr>
          <w:rFonts w:ascii="Calibri" w:cs="Calibri" w:eastAsia="Calibri" w:hAnsi="Calibri"/>
          <w:b/>
          <w:bCs/>
          <w:color w:val="0B1F3A"/>
          <w:sz w:val="26"/>
          <w:szCs w:val="26"/>
        </w:rPr>
        <w:t xml:space="preserve">Implementation Walkthrough</w:t>
      </w:r>
    </w:p>
    <w:p>
      <w:pPr>
        <w:pStyle w:val="ListParagraph"/>
        <w:numPr>
          <w:ilvl w:val="0"/>
          <w:numId w:val="2"/>
        </w:numPr>
        <w:spacing w:after="80"/>
      </w:pPr>
      <w:r>
        <w:rPr>
          <w:rFonts w:ascii="Calibri" w:cs="Calibri" w:eastAsia="Calibri" w:hAnsi="Calibri"/>
          <w:color w:val="1A1A1A"/>
          <w:sz w:val="22"/>
          <w:szCs w:val="22"/>
        </w:rPr>
        <w:t xml:space="preserve">Ask Bob (in natural language) to create a project directory and Python virtual environment.</w:t>
      </w:r>
    </w:p>
    <w:p>
      <w:pPr>
        <w:pStyle w:val="ListParagraph"/>
        <w:numPr>
          <w:ilvl w:val="0"/>
          <w:numId w:val="2"/>
        </w:numPr>
        <w:spacing w:after="80"/>
      </w:pPr>
      <w:r>
        <w:rPr>
          <w:rFonts w:ascii="Calibri" w:cs="Calibri" w:eastAsia="Calibri" w:hAnsi="Calibri"/>
          <w:color w:val="1A1A1A"/>
          <w:sz w:val="22"/>
          <w:szCs w:val="22"/>
        </w:rPr>
        <w:t xml:space="preserve">Ask Bob to build the FastMCP server with the two tools, clearly describing each tool's purpose; Bob installs FastMCP, writes the code, creates a test script, debugs failures automatically, and generates documentation.</w:t>
      </w:r>
    </w:p>
    <w:p>
      <w:pPr>
        <w:pStyle w:val="ListParagraph"/>
        <w:numPr>
          <w:ilvl w:val="0"/>
          <w:numId w:val="2"/>
        </w:numPr>
        <w:spacing w:after="80"/>
      </w:pPr>
      <w:r>
        <w:rPr>
          <w:rFonts w:ascii="Calibri" w:cs="Calibri" w:eastAsia="Calibri" w:hAnsi="Calibri"/>
          <w:color w:val="1A1A1A"/>
          <w:sz w:val="22"/>
          <w:szCs w:val="22"/>
        </w:rPr>
        <w:t xml:space="preserve">Ask Bob to start the MCP server locally and build/run an MCP client with test cases to validate both tools through the MCP protocol.</w:t>
      </w:r>
    </w:p>
    <w:p>
      <w:pPr>
        <w:pStyle w:val="ListParagraph"/>
        <w:numPr>
          <w:ilvl w:val="0"/>
          <w:numId w:val="2"/>
        </w:numPr>
        <w:spacing w:after="80"/>
      </w:pPr>
      <w:r>
        <w:rPr>
          <w:rFonts w:ascii="Calibri" w:cs="Calibri" w:eastAsia="Calibri" w:hAnsi="Calibri"/>
          <w:color w:val="1A1A1A"/>
          <w:sz w:val="22"/>
          <w:szCs w:val="22"/>
        </w:rPr>
        <w:t xml:space="preserve">Ask Bob to import the MCP tools into watsonx Orchestrate using the orchestrate toolkits CLI; Bob explores CLI help to find the right flags, fixes a 'name cannot contain spaces' error, and adds a missing dependency automatically.</w:t>
      </w:r>
    </w:p>
    <w:p>
      <w:pPr>
        <w:pStyle w:val="ListParagraph"/>
        <w:numPr>
          <w:ilvl w:val="0"/>
          <w:numId w:val="2"/>
        </w:numPr>
        <w:spacing w:after="80"/>
      </w:pPr>
      <w:r>
        <w:rPr>
          <w:rFonts w:ascii="Calibri" w:cs="Calibri" w:eastAsia="Calibri" w:hAnsi="Calibri"/>
          <w:color w:val="1A1A1A"/>
          <w:sz w:val="22"/>
          <w:szCs w:val="22"/>
        </w:rPr>
        <w:t xml:space="preserve">Ask Bob to create the agent YAML (referencing the official agent-build documentation for the spec) using groq/openai/gpt-oss-120b as the LLM, then import the agent via the CLI, fixing any import errors Bob encounters.</w:t>
      </w:r>
    </w:p>
    <w:p>
      <w:pPr>
        <w:pStyle w:val="ListParagraph"/>
        <w:numPr>
          <w:ilvl w:val="0"/>
          <w:numId w:val="2"/>
        </w:numPr>
        <w:spacing w:after="80"/>
      </w:pPr>
      <w:r>
        <w:rPr>
          <w:rFonts w:ascii="Calibri" w:cs="Calibri" w:eastAsia="Calibri" w:hAnsi="Calibri"/>
          <w:color w:val="1A1A1A"/>
          <w:sz w:val="22"/>
          <w:szCs w:val="22"/>
        </w:rPr>
        <w:t xml:space="preserve">Verify in watsonx Orchestrate: open Manage Agents → factorial_agent, confirm the MCP tools and Groq model are attached, then test with 'What is the factorial value of 5?' and 'How many factorial digits are there on factorial 120?'.</w:t>
      </w:r>
    </w:p>
    <w:p>
      <w:pPr>
        <w:pStyle w:val="ListParagraph"/>
        <w:numPr>
          <w:ilvl w:val="0"/>
          <w:numId w:val="2"/>
        </w:numPr>
        <w:spacing w:after="80"/>
      </w:pPr>
      <w:r>
        <w:rPr>
          <w:rFonts w:ascii="Calibri" w:cs="Calibri" w:eastAsia="Calibri" w:hAnsi="Calibri"/>
          <w:color w:val="1A1A1A"/>
          <w:sz w:val="22"/>
          <w:szCs w:val="22"/>
        </w:rPr>
        <w:t xml:space="preserve">(Optional) Connect Bob directly to the watsonx Orchestrate MCP servers (wxo-docs and orchestrate-adk) and create a custom 'Agent Architect' Bob mode pre-loaded with instructions to consult those servers before authoring agents/tools.</w:t>
      </w:r>
    </w:p>
    <w:p>
      <w:pPr>
        <w:pStyle w:val="Heading2"/>
        <w:spacing w:after="150" w:before="300"/>
      </w:pPr>
      <w:r>
        <w:rPr>
          <w:rFonts w:ascii="Calibri" w:cs="Calibri" w:eastAsia="Calibri" w:hAnsi="Calibri"/>
          <w:b/>
          <w:bCs/>
          <w:color w:val="0B1F3A"/>
          <w:sz w:val="26"/>
          <w:szCs w:val="26"/>
        </w:rPr>
        <w:t xml:space="preserve">Key Concepts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 / Component</w:t>
            </w:r>
          </w:p>
        </w:tc>
        <w:tc>
          <w:tcPr>
            <w:tcW w:type="pct" w:w="7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You Need to Know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wxo-docs MCP server</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Gives Bob access to public watsonx Orchestrate ADK documentation for answering how-to questions.</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orchestrate-adk MCP server</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Gives Bob direct access to ADK commands (list_agents, list_tools, list_toolkits, list_knowledge_bases, list_models, etc.) for inspecting and managing the live environment.</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Custom Bob modes</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Bob supports defining reusable 'modes' (e.g. an 'Agent Architect' mode) with a fixed role definition and custom instructions — useful for standardizing how Bob approaches a recurring class of task.</w:t>
            </w:r>
          </w:p>
        </w:tc>
      </w:tr>
    </w:tbl>
    <w:p>
      <w:pPr>
        <w:spacing w:after="120"/>
      </w:pPr>
    </w:p>
    <w:p>
      <w:pPr>
        <w:pStyle w:val="Heading2"/>
        <w:spacing w:after="150" w:before="300"/>
      </w:pPr>
      <w:r>
        <w:rPr>
          <w:rFonts w:ascii="Calibri" w:cs="Calibri" w:eastAsia="Calibri" w:hAnsi="Calibri"/>
          <w:b/>
          <w:bCs/>
          <w:color w:val="0B1F3A"/>
          <w:sz w:val="26"/>
          <w:szCs w:val="26"/>
        </w:rPr>
        <w:t xml:space="preserve">Common Pitfalls / Best Practices</w:t>
      </w:r>
    </w:p>
    <w:p>
      <w:pPr>
        <w:pStyle w:val="ListParagraph"/>
        <w:numPr>
          <w:ilvl w:val="0"/>
          <w:numId w:val="1"/>
        </w:numPr>
        <w:spacing w:after="80"/>
      </w:pPr>
      <w:r>
        <w:rPr>
          <w:rFonts w:ascii="Calibri" w:cs="Calibri" w:eastAsia="Calibri" w:hAnsi="Calibri"/>
          <w:color w:val="1A1A1A"/>
          <w:sz w:val="22"/>
          <w:szCs w:val="22"/>
        </w:rPr>
        <w:t xml:space="preserve">MCP tool names cannot contain spaces — a common first-import error that Bob (or you) must fix before the import succeeds.</w:t>
      </w:r>
    </w:p>
    <w:p>
      <w:pPr>
        <w:pStyle w:val="ListParagraph"/>
        <w:numPr>
          <w:ilvl w:val="0"/>
          <w:numId w:val="1"/>
        </w:numPr>
        <w:spacing w:after="80"/>
      </w:pPr>
      <w:r>
        <w:rPr>
          <w:rFonts w:ascii="Calibri" w:cs="Calibri" w:eastAsia="Calibri" w:hAnsi="Calibri"/>
          <w:color w:val="1A1A1A"/>
          <w:sz w:val="22"/>
          <w:szCs w:val="22"/>
        </w:rPr>
        <w:t xml:space="preserve">When required Python packages are missing during import, add them to the project's requirements/dependencies rather than reinstalling ad hoc.</w:t>
      </w:r>
    </w:p>
    <w:p>
      <w:pPr>
        <w:pStyle w:val="Heading2"/>
        <w:spacing w:after="150" w:before="300"/>
      </w:pPr>
      <w:r>
        <w:rPr>
          <w:rFonts w:ascii="Calibri" w:cs="Calibri" w:eastAsia="Calibri" w:hAnsi="Calibri"/>
          <w:b/>
          <w:bCs/>
          <w:color w:val="0B1F3A"/>
          <w:sz w:val="26"/>
          <w:szCs w:val="26"/>
        </w:rPr>
        <w:t xml:space="preserve">Self-Check</w:t>
      </w:r>
    </w:p>
    <w:p>
      <w:pPr>
        <w:spacing w:after="40" w:before="160"/>
      </w:pPr>
      <w:r>
        <w:rPr>
          <w:rFonts w:ascii="Calibri" w:cs="Calibri" w:eastAsia="Calibri" w:hAnsi="Calibri"/>
          <w:b/>
          <w:bCs/>
          <w:color w:val="0B1F3A"/>
          <w:sz w:val="21"/>
          <w:szCs w:val="21"/>
        </w:rPr>
        <w:t xml:space="preserve">Q1. </w:t>
      </w:r>
      <w:r>
        <w:rPr>
          <w:rFonts w:ascii="Calibri" w:cs="Calibri" w:eastAsia="Calibri" w:hAnsi="Calibri"/>
          <w:b/>
          <w:bCs/>
          <w:color w:val="1A1A1A"/>
          <w:sz w:val="21"/>
          <w:szCs w:val="21"/>
        </w:rPr>
        <w:t xml:space="preserve">What are the two tools built in this tutorial, and what does each return?</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factorial_value returns the exact value of n!; factorial_digits returns only the number of decimal digits in n! (useful when the factorial itself is too large to display).</w:t>
      </w:r>
    </w:p>
    <w:p>
      <w:pPr>
        <w:spacing w:after="40" w:before="160"/>
      </w:pPr>
      <w:r>
        <w:rPr>
          <w:rFonts w:ascii="Calibri" w:cs="Calibri" w:eastAsia="Calibri" w:hAnsi="Calibri"/>
          <w:b/>
          <w:bCs/>
          <w:color w:val="0B1F3A"/>
          <w:sz w:val="21"/>
          <w:szCs w:val="21"/>
        </w:rPr>
        <w:t xml:space="preserve">Q2. </w:t>
      </w:r>
      <w:r>
        <w:rPr>
          <w:rFonts w:ascii="Calibri" w:cs="Calibri" w:eastAsia="Calibri" w:hAnsi="Calibri"/>
          <w:b/>
          <w:bCs/>
          <w:color w:val="1A1A1A"/>
          <w:sz w:val="21"/>
          <w:szCs w:val="21"/>
        </w:rPr>
        <w:t xml:space="preserve">Which CLI command family is used to import MCP tools into watsonx Orchestrate?</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orchestrate toolkits.</w:t>
      </w:r>
    </w:p>
    <w:p>
      <w:pPr>
        <w:spacing w:after="40" w:before="160"/>
      </w:pPr>
      <w:r>
        <w:rPr>
          <w:rFonts w:ascii="Calibri" w:cs="Calibri" w:eastAsia="Calibri" w:hAnsi="Calibri"/>
          <w:b/>
          <w:bCs/>
          <w:color w:val="0B1F3A"/>
          <w:sz w:val="21"/>
          <w:szCs w:val="21"/>
        </w:rPr>
        <w:t xml:space="preserve">Q3. </w:t>
      </w:r>
      <w:r>
        <w:rPr>
          <w:rFonts w:ascii="Calibri" w:cs="Calibri" w:eastAsia="Calibri" w:hAnsi="Calibri"/>
          <w:b/>
          <w:bCs/>
          <w:color w:val="1A1A1A"/>
          <w:sz w:val="21"/>
          <w:szCs w:val="21"/>
        </w:rPr>
        <w:t xml:space="preserve">What model is the Factorial Agent configured to use?</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groq/openai/gpt-oss-120b, served through Groq infrastructure.</w:t>
      </w:r>
    </w:p>
    <w:p>
      <w:r>
        <w:br w:type="page"/>
      </w:r>
    </w:p>
    <w:p>
      <w:pPr>
        <w:sectPr>
          <w:headerReference w:type="default" r:id="rId17"/>
          <w:footerReference w:type="default" r:id="rId18"/>
          <w:pgSz w:w="12240" w:h="15840" w:orient="portrait"/>
          <w:pgMar w:top="1300" w:right="1100" w:bottom="1200" w:left="1100" w:header="708" w:footer="708" w:gutter="0"/>
          <w:pgNumType/>
          <w:docGrid w:linePitch="360"/>
        </w:sectPr>
      </w:pPr>
    </w:p>
    <w:p>
      <w:pPr>
        <w:pStyle w:val="Heading1"/>
        <w:pBdr>
          <w:bottom w:val="single" w:color="C9A227" w:sz="12" w:space="4"/>
        </w:pBdr>
        <w:spacing w:after="200" w:before="400"/>
      </w:pPr>
      <w:r>
        <w:rPr>
          <w:rFonts w:ascii="Calibri" w:cs="Calibri" w:eastAsia="Calibri" w:hAnsi="Calibri"/>
          <w:b/>
          <w:bCs/>
          <w:color w:val="0B1F3A"/>
          <w:sz w:val="32"/>
          <w:szCs w:val="32"/>
        </w:rPr>
        <w:t xml:space="preserve">Topic 6: Integrating the Google BigQuery MCP Server</w:t>
      </w:r>
    </w:p>
    <w:p>
      <w:pPr>
        <w:spacing w:after="160" w:line="276"/>
      </w:pPr>
      <w:r>
        <w:rPr>
          <w:rFonts w:ascii="Calibri" w:cs="Calibri" w:eastAsia="Calibri" w:hAnsi="Calibri"/>
          <w:i/>
          <w:iCs/>
          <w:color w:val="5A5A5A"/>
          <w:sz w:val="20"/>
          <w:szCs w:val="20"/>
        </w:rPr>
        <w:t xml:space="preserve">Secure, standardized enterprise-data access for AI agents via OAuth 2.0 and MCP</w:t>
      </w:r>
    </w:p>
    <w:p>
      <w:pPr>
        <w:pStyle w:val="Heading2"/>
        <w:spacing w:after="150" w:before="300"/>
      </w:pPr>
      <w:r>
        <w:rPr>
          <w:rFonts w:ascii="Calibri" w:cs="Calibri" w:eastAsia="Calibri" w:hAnsi="Calibri"/>
          <w:b/>
          <w:bCs/>
          <w:color w:val="0B1F3A"/>
          <w:sz w:val="26"/>
          <w:szCs w:val="26"/>
        </w:rPr>
        <w:t xml:space="preserve">Overview</w:t>
      </w:r>
    </w:p>
    <w:p>
      <w:pPr>
        <w:spacing w:after="160" w:line="276"/>
      </w:pPr>
      <w:r>
        <w:rPr>
          <w:rFonts w:ascii="Calibri" w:cs="Calibri" w:eastAsia="Calibri" w:hAnsi="Calibri"/>
          <w:color w:val="1A1A1A"/>
          <w:sz w:val="22"/>
          <w:szCs w:val="22"/>
        </w:rPr>
        <w:t xml:space="preserve">Accessing enterprise data from AI agents usually means bespoke integrations, APIs, and security work. The Google BigQuery MCP Server standardizes this: it exposes BigQuery projects, datasets, tables, and SQL query results to agents through the Model Context Protocol, governed by Google Cloud IAM.</w:t>
      </w:r>
    </w:p>
    <w:p>
      <w:pPr>
        <w:pStyle w:val="Heading2"/>
        <w:spacing w:after="150" w:before="300"/>
      </w:pPr>
      <w:r>
        <w:rPr>
          <w:rFonts w:ascii="Calibri" w:cs="Calibri" w:eastAsia="Calibri" w:hAnsi="Calibri"/>
          <w:b/>
          <w:bCs/>
          <w:color w:val="0B1F3A"/>
          <w:sz w:val="26"/>
          <w:szCs w:val="26"/>
        </w:rPr>
        <w:t xml:space="preserve">Architecture &amp; Key Components</w:t>
      </w:r>
    </w:p>
    <w:p>
      <w:pPr>
        <w:pStyle w:val="ListParagraph"/>
        <w:numPr>
          <w:ilvl w:val="0"/>
          <w:numId w:val="1"/>
        </w:numPr>
        <w:spacing w:after="80"/>
      </w:pPr>
      <w:r>
        <w:rPr>
          <w:rFonts w:ascii="Calibri" w:cs="Calibri" w:eastAsia="Calibri" w:hAnsi="Calibri"/>
          <w:color w:val="1A1A1A"/>
          <w:sz w:val="22"/>
          <w:szCs w:val="22"/>
        </w:rPr>
        <w:t xml:space="preserve">Google Cloud project with BigQuery + MCP APIs enabled via the gcloud CLI (gcloud beta services mcp enable bigquery.googleapis.com).</w:t>
      </w:r>
    </w:p>
    <w:p>
      <w:pPr>
        <w:pStyle w:val="ListParagraph"/>
        <w:numPr>
          <w:ilvl w:val="0"/>
          <w:numId w:val="1"/>
        </w:numPr>
        <w:spacing w:after="80"/>
      </w:pPr>
      <w:r>
        <w:rPr>
          <w:rFonts w:ascii="Calibri" w:cs="Calibri" w:eastAsia="Calibri" w:hAnsi="Calibri"/>
          <w:color w:val="1A1A1A"/>
          <w:sz w:val="22"/>
          <w:szCs w:val="22"/>
        </w:rPr>
        <w:t xml:space="preserve">Required IAM roles: bigquery.user, bigquery.dataViewer, mcp.toolUser, serviceusage.serviceUsageAdmin, iam.oauthClientViewer, iam.serviceAccountViewer, oauthconfig.editor.</w:t>
      </w:r>
    </w:p>
    <w:p>
      <w:pPr>
        <w:pStyle w:val="ListParagraph"/>
        <w:numPr>
          <w:ilvl w:val="0"/>
          <w:numId w:val="1"/>
        </w:numPr>
        <w:spacing w:after="80"/>
      </w:pPr>
      <w:r>
        <w:rPr>
          <w:rFonts w:ascii="Calibri" w:cs="Calibri" w:eastAsia="Calibri" w:hAnsi="Calibri"/>
          <w:color w:val="1A1A1A"/>
          <w:sz w:val="22"/>
          <w:szCs w:val="22"/>
        </w:rPr>
        <w:t xml:space="preserve">OAuth 2.0 Authorization Code connection in watsonx Orchestrate pointing at Google's token/authorization endpoints and the bigquery scope.</w:t>
      </w:r>
    </w:p>
    <w:p>
      <w:pPr>
        <w:pStyle w:val="ListParagraph"/>
        <w:numPr>
          <w:ilvl w:val="0"/>
          <w:numId w:val="1"/>
        </w:numPr>
        <w:spacing w:after="80"/>
      </w:pPr>
      <w:r>
        <w:rPr>
          <w:rFonts w:ascii="Calibri" w:cs="Calibri" w:eastAsia="Calibri" w:hAnsi="Calibri"/>
          <w:color w:val="1A1A1A"/>
          <w:sz w:val="22"/>
          <w:szCs w:val="22"/>
        </w:rPr>
        <w:t xml:space="preserve">A watsonx Orchestrate agent with a Remote MCP Server tool pointed at https://bigquery.googleapis.com/mcp (Streamable HTTP transport), using the OAuth connection.</w:t>
      </w:r>
    </w:p>
    <w:p>
      <w:pPr>
        <w:pStyle w:val="Heading2"/>
        <w:spacing w:after="150" w:before="300"/>
      </w:pPr>
      <w:r>
        <w:rPr>
          <w:rFonts w:ascii="Calibri" w:cs="Calibri" w:eastAsia="Calibri" w:hAnsi="Calibri"/>
          <w:b/>
          <w:bCs/>
          <w:color w:val="0B1F3A"/>
          <w:sz w:val="26"/>
          <w:szCs w:val="26"/>
        </w:rPr>
        <w:t xml:space="preserve">Implementation Walkthrough</w:t>
      </w:r>
    </w:p>
    <w:p>
      <w:pPr>
        <w:pStyle w:val="ListParagraph"/>
        <w:numPr>
          <w:ilvl w:val="0"/>
          <w:numId w:val="2"/>
        </w:numPr>
        <w:spacing w:after="80"/>
      </w:pPr>
      <w:r>
        <w:rPr>
          <w:rFonts w:ascii="Calibri" w:cs="Calibri" w:eastAsia="Calibri" w:hAnsi="Calibri"/>
          <w:color w:val="1A1A1A"/>
          <w:sz w:val="22"/>
          <w:szCs w:val="22"/>
        </w:rPr>
        <w:t xml:space="preserve">Create/select a Google Cloud project, note the Project ID, and assign the required IAM roles.</w:t>
      </w:r>
    </w:p>
    <w:p>
      <w:pPr>
        <w:pStyle w:val="ListParagraph"/>
        <w:numPr>
          <w:ilvl w:val="0"/>
          <w:numId w:val="2"/>
        </w:numPr>
        <w:spacing w:after="80"/>
      </w:pPr>
      <w:r>
        <w:rPr>
          <w:rFonts w:ascii="Calibri" w:cs="Calibri" w:eastAsia="Calibri" w:hAnsi="Calibri"/>
          <w:color w:val="1A1A1A"/>
          <w:sz w:val="22"/>
          <w:szCs w:val="22"/>
        </w:rPr>
        <w:t xml:space="preserve">Install the gcloud CLI, run gcloud init, install beta components, set the active project, and enable the BigQuery MCP service for that project.</w:t>
      </w:r>
    </w:p>
    <w:p>
      <w:pPr>
        <w:pStyle w:val="ListParagraph"/>
        <w:numPr>
          <w:ilvl w:val="0"/>
          <w:numId w:val="2"/>
        </w:numPr>
        <w:spacing w:after="80"/>
      </w:pPr>
      <w:r>
        <w:rPr>
          <w:rFonts w:ascii="Calibri" w:cs="Calibri" w:eastAsia="Calibri" w:hAnsi="Calibri"/>
          <w:color w:val="1A1A1A"/>
          <w:sz w:val="22"/>
          <w:szCs w:val="22"/>
        </w:rPr>
        <w:t xml:space="preserve">(Optional) Create a sample dataset/table via the Cloud Console or the bq CLI (bq mk --dataset, bq mk --table) for testing.</w:t>
      </w:r>
    </w:p>
    <w:p>
      <w:pPr>
        <w:pStyle w:val="ListParagraph"/>
        <w:numPr>
          <w:ilvl w:val="0"/>
          <w:numId w:val="2"/>
        </w:numPr>
        <w:spacing w:after="80"/>
      </w:pPr>
      <w:r>
        <w:rPr>
          <w:rFonts w:ascii="Calibri" w:cs="Calibri" w:eastAsia="Calibri" w:hAnsi="Calibri"/>
          <w:color w:val="1A1A1A"/>
          <w:sz w:val="22"/>
          <w:szCs w:val="22"/>
        </w:rPr>
        <w:t xml:space="preserve">Configure the OAuth consent screen (External audience), create a Web Application OAuth client, note the Client ID/Secret, and add your account as a test user.</w:t>
      </w:r>
    </w:p>
    <w:p>
      <w:pPr>
        <w:pStyle w:val="ListParagraph"/>
        <w:numPr>
          <w:ilvl w:val="0"/>
          <w:numId w:val="2"/>
        </w:numPr>
        <w:spacing w:after="80"/>
      </w:pPr>
      <w:r>
        <w:rPr>
          <w:rFonts w:ascii="Calibri" w:cs="Calibri" w:eastAsia="Calibri" w:hAnsi="Calibri"/>
          <w:color w:val="1A1A1A"/>
          <w:sz w:val="22"/>
          <w:szCs w:val="22"/>
        </w:rPr>
        <w:t xml:space="preserve">In watsonx Orchestrate, create an OAuth 2.0 Authorization Code connection with the Google token/authorization URLs, the bigquery scope, and the Client ID/Secret; fix any 'Invalid Redirect URI' error by copying the shown redirect URI into the Google OAuth client's Authorized Redirect URIs.</w:t>
      </w:r>
    </w:p>
    <w:p>
      <w:pPr>
        <w:pStyle w:val="ListParagraph"/>
        <w:numPr>
          <w:ilvl w:val="0"/>
          <w:numId w:val="2"/>
        </w:numPr>
        <w:spacing w:after="80"/>
      </w:pPr>
      <w:r>
        <w:rPr>
          <w:rFonts w:ascii="Calibri" w:cs="Calibri" w:eastAsia="Calibri" w:hAnsi="Calibri"/>
          <w:color w:val="1A1A1A"/>
          <w:sz w:val="22"/>
          <w:szCs w:val="22"/>
        </w:rPr>
        <w:t xml:space="preserve">Create an AI agent, add a new MCP server (URL https://bigquery.googleapis.com/mcp, Streamable HTTP), select the OAuth connection, confirm the tool list populates, select the needed BigQuery tools, then save and deploy.</w:t>
      </w:r>
    </w:p>
    <w:p>
      <w:pPr>
        <w:pStyle w:val="ListParagraph"/>
        <w:numPr>
          <w:ilvl w:val="0"/>
          <w:numId w:val="2"/>
        </w:numPr>
        <w:spacing w:after="80"/>
      </w:pPr>
      <w:r>
        <w:rPr>
          <w:rFonts w:ascii="Calibri" w:cs="Calibri" w:eastAsia="Calibri" w:hAnsi="Calibri"/>
          <w:color w:val="1A1A1A"/>
          <w:sz w:val="22"/>
          <w:szCs w:val="22"/>
        </w:rPr>
        <w:t xml:space="preserve">Validate with sample prompts: 'Get all datasets', 'Get tables in dataset &lt;name&gt;', 'Get schema for table &lt;name&gt;'.</w:t>
      </w:r>
    </w:p>
    <w:p>
      <w:pPr>
        <w:pStyle w:val="Heading2"/>
        <w:spacing w:after="150" w:before="300"/>
      </w:pPr>
      <w:r>
        <w:rPr>
          <w:rFonts w:ascii="Calibri" w:cs="Calibri" w:eastAsia="Calibri" w:hAnsi="Calibri"/>
          <w:b/>
          <w:bCs/>
          <w:color w:val="0B1F3A"/>
          <w:sz w:val="26"/>
          <w:szCs w:val="26"/>
        </w:rPr>
        <w:t xml:space="preserve">Key Concepts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 / Component</w:t>
            </w:r>
          </w:p>
        </w:tc>
        <w:tc>
          <w:tcPr>
            <w:tcW w:type="pct" w:w="7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You Need to Know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What the agent can access via this MCP server</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Accessible project IDs/metadata, dataset IDs/locations/metadata, table metadata (name, type — TABLE or VIEW), and SQL query results including filtered/joined data.</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When to use the Cloud Console vs. the BigQuery CLI (for setup)</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Console: quick, visual, good for learning/testing/demos/small datasets. CLI: automation, CI/CD pipelines, and repeatable provisioning across environments.</w:t>
            </w:r>
          </w:p>
        </w:tc>
      </w:tr>
    </w:tbl>
    <w:p>
      <w:pPr>
        <w:spacing w:after="120"/>
      </w:pPr>
    </w:p>
    <w:p>
      <w:pPr>
        <w:pStyle w:val="Heading2"/>
        <w:spacing w:after="150" w:before="300"/>
      </w:pPr>
      <w:r>
        <w:rPr>
          <w:rFonts w:ascii="Calibri" w:cs="Calibri" w:eastAsia="Calibri" w:hAnsi="Calibri"/>
          <w:b/>
          <w:bCs/>
          <w:color w:val="0B1F3A"/>
          <w:sz w:val="26"/>
          <w:szCs w:val="26"/>
        </w:rPr>
        <w:t xml:space="preserve">Common Pitfalls / Best Practices</w:t>
      </w:r>
    </w:p>
    <w:p>
      <w:pPr>
        <w:pStyle w:val="ListParagraph"/>
        <w:numPr>
          <w:ilvl w:val="0"/>
          <w:numId w:val="1"/>
        </w:numPr>
        <w:spacing w:after="80"/>
      </w:pPr>
      <w:r>
        <w:rPr>
          <w:rFonts w:ascii="Calibri" w:cs="Calibri" w:eastAsia="Calibri" w:hAnsi="Calibri"/>
          <w:color w:val="1A1A1A"/>
          <w:sz w:val="22"/>
          <w:szCs w:val="22"/>
        </w:rPr>
        <w:t xml:space="preserve">Verify your watsonx Orchestrate role (Builder or Admin) actually supports Remote MCP Server integrations and OAuth 2.0 Authorization Code connections before starting.</w:t>
      </w:r>
    </w:p>
    <w:p>
      <w:pPr>
        <w:pStyle w:val="ListParagraph"/>
        <w:numPr>
          <w:ilvl w:val="0"/>
          <w:numId w:val="1"/>
        </w:numPr>
        <w:spacing w:after="80"/>
      </w:pPr>
      <w:r>
        <w:rPr>
          <w:rFonts w:ascii="Calibri" w:cs="Calibri" w:eastAsia="Calibri" w:hAnsi="Calibri"/>
          <w:color w:val="1A1A1A"/>
          <w:sz w:val="22"/>
          <w:szCs w:val="22"/>
        </w:rPr>
        <w:t xml:space="preserve">The Invalid Redirect URI error on first connection attempt is expected — the fix is copying the URI watsonx Orchestrate displays into the Google Cloud OAuth client's authorized redirect URIs, then reconnecting.</w:t>
      </w:r>
    </w:p>
    <w:p>
      <w:pPr>
        <w:pStyle w:val="Heading2"/>
        <w:spacing w:after="150" w:before="300"/>
      </w:pPr>
      <w:r>
        <w:rPr>
          <w:rFonts w:ascii="Calibri" w:cs="Calibri" w:eastAsia="Calibri" w:hAnsi="Calibri"/>
          <w:b/>
          <w:bCs/>
          <w:color w:val="0B1F3A"/>
          <w:sz w:val="26"/>
          <w:szCs w:val="26"/>
        </w:rPr>
        <w:t xml:space="preserve">Self-Check</w:t>
      </w:r>
    </w:p>
    <w:p>
      <w:pPr>
        <w:spacing w:after="40" w:before="160"/>
      </w:pPr>
      <w:r>
        <w:rPr>
          <w:rFonts w:ascii="Calibri" w:cs="Calibri" w:eastAsia="Calibri" w:hAnsi="Calibri"/>
          <w:b/>
          <w:bCs/>
          <w:color w:val="0B1F3A"/>
          <w:sz w:val="21"/>
          <w:szCs w:val="21"/>
        </w:rPr>
        <w:t xml:space="preserve">Q1. </w:t>
      </w:r>
      <w:r>
        <w:rPr>
          <w:rFonts w:ascii="Calibri" w:cs="Calibri" w:eastAsia="Calibri" w:hAnsi="Calibri"/>
          <w:b/>
          <w:bCs/>
          <w:color w:val="1A1A1A"/>
          <w:sz w:val="21"/>
          <w:szCs w:val="21"/>
        </w:rPr>
        <w:t xml:space="preserve">Which IAM role specifically governs access to MCP tools in this integration?</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roles/mcp.toolUser.</w:t>
      </w:r>
    </w:p>
    <w:p>
      <w:pPr>
        <w:spacing w:after="40" w:before="160"/>
      </w:pPr>
      <w:r>
        <w:rPr>
          <w:rFonts w:ascii="Calibri" w:cs="Calibri" w:eastAsia="Calibri" w:hAnsi="Calibri"/>
          <w:b/>
          <w:bCs/>
          <w:color w:val="0B1F3A"/>
          <w:sz w:val="21"/>
          <w:szCs w:val="21"/>
        </w:rPr>
        <w:t xml:space="preserve">Q2. </w:t>
      </w:r>
      <w:r>
        <w:rPr>
          <w:rFonts w:ascii="Calibri" w:cs="Calibri" w:eastAsia="Calibri" w:hAnsi="Calibri"/>
          <w:b/>
          <w:bCs/>
          <w:color w:val="1A1A1A"/>
          <w:sz w:val="21"/>
          <w:szCs w:val="21"/>
        </w:rPr>
        <w:t xml:space="preserve">What transport type is used for the BigQuery Remote MCP Server in watsonx Orchestrate?</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Streamable HTTP.</w:t>
      </w:r>
    </w:p>
    <w:p>
      <w:pPr>
        <w:spacing w:after="40" w:before="160"/>
      </w:pPr>
      <w:r>
        <w:rPr>
          <w:rFonts w:ascii="Calibri" w:cs="Calibri" w:eastAsia="Calibri" w:hAnsi="Calibri"/>
          <w:b/>
          <w:bCs/>
          <w:color w:val="0B1F3A"/>
          <w:sz w:val="21"/>
          <w:szCs w:val="21"/>
        </w:rPr>
        <w:t xml:space="preserve">Q3. </w:t>
      </w:r>
      <w:r>
        <w:rPr>
          <w:rFonts w:ascii="Calibri" w:cs="Calibri" w:eastAsia="Calibri" w:hAnsi="Calibri"/>
          <w:b/>
          <w:bCs/>
          <w:color w:val="1A1A1A"/>
          <w:sz w:val="21"/>
          <w:szCs w:val="21"/>
        </w:rPr>
        <w:t xml:space="preserve">What is the typical fix for an 'Invalid Redirect URI' error during OAuth connection setup?</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Copy the redirect URI shown in the watsonx Orchestrate error details and add it to the Authorized Redirect URIs list on the Google Cloud OAuth client, then retry the connection.</w:t>
      </w:r>
    </w:p>
    <w:p>
      <w:r>
        <w:br w:type="page"/>
      </w:r>
    </w:p>
    <w:p>
      <w:pPr>
        <w:sectPr>
          <w:headerReference w:type="default" r:id="rId19"/>
          <w:footerReference w:type="default" r:id="rId20"/>
          <w:pgSz w:w="12240" w:h="15840" w:orient="portrait"/>
          <w:pgMar w:top="1300" w:right="1100" w:bottom="1200" w:left="1100" w:header="708" w:footer="708" w:gutter="0"/>
          <w:pgNumType/>
          <w:docGrid w:linePitch="360"/>
        </w:sectPr>
      </w:pPr>
    </w:p>
    <w:p>
      <w:pPr>
        <w:pStyle w:val="Heading1"/>
        <w:pBdr>
          <w:bottom w:val="single" w:color="C9A227" w:sz="12" w:space="4"/>
        </w:pBdr>
        <w:spacing w:after="200" w:before="400"/>
      </w:pPr>
      <w:r>
        <w:rPr>
          <w:rFonts w:ascii="Calibri" w:cs="Calibri" w:eastAsia="Calibri" w:hAnsi="Calibri"/>
          <w:b/>
          <w:bCs/>
          <w:color w:val="0B1F3A"/>
          <w:sz w:val="32"/>
          <w:szCs w:val="32"/>
        </w:rPr>
        <w:t xml:space="preserve">Topic 7: Securing AI Agents: Zero Trust, Token Exchange, and Dynamic Credentials</w:t>
      </w:r>
    </w:p>
    <w:p>
      <w:pPr>
        <w:spacing w:after="160" w:line="276"/>
      </w:pPr>
      <w:r>
        <w:rPr>
          <w:rFonts w:ascii="Calibri" w:cs="Calibri" w:eastAsia="Calibri" w:hAnsi="Calibri"/>
          <w:i/>
          <w:iCs/>
          <w:color w:val="5A5A5A"/>
          <w:sz w:val="20"/>
          <w:szCs w:val="20"/>
        </w:rPr>
        <w:t xml:space="preserve">Turning agents from 'confused deputies' into trusted actors with IBM Verify and HashiCorp Vault</w:t>
      </w:r>
    </w:p>
    <w:p>
      <w:pPr>
        <w:pStyle w:val="Heading2"/>
        <w:spacing w:after="150" w:before="300"/>
      </w:pPr>
      <w:r>
        <w:rPr>
          <w:rFonts w:ascii="Calibri" w:cs="Calibri" w:eastAsia="Calibri" w:hAnsi="Calibri"/>
          <w:b/>
          <w:bCs/>
          <w:color w:val="0B1F3A"/>
          <w:sz w:val="26"/>
          <w:szCs w:val="26"/>
        </w:rPr>
        <w:t xml:space="preserve">Overview</w:t>
      </w:r>
    </w:p>
    <w:p>
      <w:pPr>
        <w:spacing w:after="160" w:line="276"/>
      </w:pPr>
      <w:r>
        <w:rPr>
          <w:rFonts w:ascii="Calibri" w:cs="Calibri" w:eastAsia="Calibri" w:hAnsi="Calibri"/>
          <w:color w:val="1A1A1A"/>
          <w:sz w:val="22"/>
          <w:szCs w:val="22"/>
        </w:rPr>
        <w:t xml:space="preserve">A 'confused deputy' agent acts with broad, reusable privileges instead of the authenticated user's actual permissions — a serious security risk. This tutorial deploys a permission-aware web app where an AI agent performs database actions strictly on behalf of the logged-in user, using identity separation, token exchange, and short-lived dynamic credentials.</w:t>
      </w:r>
    </w:p>
    <w:p>
      <w:pPr>
        <w:pStyle w:val="Heading2"/>
        <w:spacing w:after="150" w:before="300"/>
      </w:pPr>
      <w:r>
        <w:rPr>
          <w:rFonts w:ascii="Calibri" w:cs="Calibri" w:eastAsia="Calibri" w:hAnsi="Calibri"/>
          <w:b/>
          <w:bCs/>
          <w:color w:val="0B1F3A"/>
          <w:sz w:val="26"/>
          <w:szCs w:val="26"/>
        </w:rPr>
        <w:t xml:space="preserve">Architecture &amp; Key Components</w:t>
      </w:r>
    </w:p>
    <w:p>
      <w:pPr>
        <w:pStyle w:val="ListParagraph"/>
        <w:numPr>
          <w:ilvl w:val="0"/>
          <w:numId w:val="1"/>
        </w:numPr>
        <w:spacing w:after="80"/>
      </w:pPr>
      <w:r>
        <w:rPr>
          <w:rFonts w:ascii="Calibri" w:cs="Calibri" w:eastAsia="Calibri" w:hAnsi="Calibri"/>
          <w:color w:val="1A1A1A"/>
          <w:sz w:val="22"/>
          <w:szCs w:val="22"/>
        </w:rPr>
        <w:t xml:space="preserve">IBM Verify: identity provider handling user SSO (OIDC) and issuing OAuth 2.0 tokens; also performs Token Exchange to produce an on-behalf-of (OBO) token for the agent.</w:t>
      </w:r>
    </w:p>
    <w:p>
      <w:pPr>
        <w:pStyle w:val="ListParagraph"/>
        <w:numPr>
          <w:ilvl w:val="0"/>
          <w:numId w:val="1"/>
        </w:numPr>
        <w:spacing w:after="80"/>
      </w:pPr>
      <w:r>
        <w:rPr>
          <w:rFonts w:ascii="Calibri" w:cs="Calibri" w:eastAsia="Calibri" w:hAnsi="Calibri"/>
          <w:color w:val="1A1A1A"/>
          <w:sz w:val="22"/>
          <w:szCs w:val="22"/>
        </w:rPr>
        <w:t xml:space="preserve">watsonx Orchestrate: embeds the agentic chat and uses IBM Verify's Token Exchange to obtain the OBO token so the agent can call MCP tools as the authenticated user, not as itself.</w:t>
      </w:r>
    </w:p>
    <w:p>
      <w:pPr>
        <w:pStyle w:val="ListParagraph"/>
        <w:numPr>
          <w:ilvl w:val="0"/>
          <w:numId w:val="1"/>
        </w:numPr>
        <w:spacing w:after="80"/>
      </w:pPr>
      <w:r>
        <w:rPr>
          <w:rFonts w:ascii="Calibri" w:cs="Calibri" w:eastAsia="Calibri" w:hAnsi="Calibri"/>
          <w:color w:val="1A1A1A"/>
          <w:sz w:val="22"/>
          <w:szCs w:val="22"/>
        </w:rPr>
        <w:t xml:space="preserve">MCP server: validates the OBO token with IBM Verify, then authenticates to Vault using that same token.</w:t>
      </w:r>
    </w:p>
    <w:p>
      <w:pPr>
        <w:pStyle w:val="ListParagraph"/>
        <w:numPr>
          <w:ilvl w:val="0"/>
          <w:numId w:val="1"/>
        </w:numPr>
        <w:spacing w:after="80"/>
      </w:pPr>
      <w:r>
        <w:rPr>
          <w:rFonts w:ascii="Calibri" w:cs="Calibri" w:eastAsia="Calibri" w:hAnsi="Calibri"/>
          <w:color w:val="1A1A1A"/>
          <w:sz w:val="22"/>
          <w:szCs w:val="22"/>
        </w:rPr>
        <w:t xml:space="preserve">HashiCorp Vault: validates identity/permissions via IBM Verify, then issues short-lived, scoped dynamic database credentials (read-only or read-write) based on group membership; credentials auto-expire and are auto-revoked at TTL.</w:t>
      </w:r>
    </w:p>
    <w:p>
      <w:pPr>
        <w:pStyle w:val="ListParagraph"/>
        <w:numPr>
          <w:ilvl w:val="0"/>
          <w:numId w:val="1"/>
        </w:numPr>
        <w:spacing w:after="80"/>
      </w:pPr>
      <w:r>
        <w:rPr>
          <w:rFonts w:ascii="Calibri" w:cs="Calibri" w:eastAsia="Calibri" w:hAnsi="Calibri"/>
          <w:color w:val="1A1A1A"/>
          <w:sz w:val="22"/>
          <w:szCs w:val="22"/>
        </w:rPr>
        <w:t xml:space="preserve">MongoDB: the backend data store whose access is entirely mediated by Vault's dynamic credentials.</w:t>
      </w:r>
    </w:p>
    <w:p>
      <w:pPr>
        <w:pStyle w:val="Heading2"/>
        <w:spacing w:after="150" w:before="300"/>
      </w:pPr>
      <w:r>
        <w:rPr>
          <w:rFonts w:ascii="Calibri" w:cs="Calibri" w:eastAsia="Calibri" w:hAnsi="Calibri"/>
          <w:b/>
          <w:bCs/>
          <w:color w:val="0B1F3A"/>
          <w:sz w:val="26"/>
          <w:szCs w:val="26"/>
        </w:rPr>
        <w:t xml:space="preserve">Implementation Walkthrough</w:t>
      </w:r>
    </w:p>
    <w:p>
      <w:pPr>
        <w:pStyle w:val="ListParagraph"/>
        <w:numPr>
          <w:ilvl w:val="0"/>
          <w:numId w:val="2"/>
        </w:numPr>
        <w:spacing w:after="80"/>
      </w:pPr>
      <w:r>
        <w:rPr>
          <w:rFonts w:ascii="Calibri" w:cs="Calibri" w:eastAsia="Calibri" w:hAnsi="Calibri"/>
          <w:color w:val="1A1A1A"/>
          <w:sz w:val="22"/>
          <w:szCs w:val="22"/>
        </w:rPr>
        <w:t xml:space="preserve">Fork the sample application, review its component structure (frontend, backend, MCP server, Vault, MongoDB).</w:t>
      </w:r>
    </w:p>
    <w:p>
      <w:pPr>
        <w:pStyle w:val="ListParagraph"/>
        <w:numPr>
          <w:ilvl w:val="0"/>
          <w:numId w:val="2"/>
        </w:numPr>
        <w:spacing w:after="80"/>
      </w:pPr>
      <w:r>
        <w:rPr>
          <w:rFonts w:ascii="Calibri" w:cs="Calibri" w:eastAsia="Calibri" w:hAnsi="Calibri"/>
          <w:color w:val="1A1A1A"/>
          <w:sz w:val="22"/>
          <w:szCs w:val="22"/>
        </w:rPr>
        <w:t xml:space="preserve">Create .env.production from the example file, add a GitHub personal access token and your fork's SSH URL, then deploy the stack to OpenShift with the provided deployment script (./scripts/oc-deploy.sh).</w:t>
      </w:r>
    </w:p>
    <w:p>
      <w:pPr>
        <w:pStyle w:val="ListParagraph"/>
        <w:numPr>
          <w:ilvl w:val="0"/>
          <w:numId w:val="2"/>
        </w:numPr>
        <w:spacing w:after="80"/>
      </w:pPr>
      <w:r>
        <w:rPr>
          <w:rFonts w:ascii="Calibri" w:cs="Calibri" w:eastAsia="Calibri" w:hAnsi="Calibri"/>
          <w:color w:val="1A1A1A"/>
          <w:sz w:val="22"/>
          <w:szCs w:val="22"/>
        </w:rPr>
        <w:t xml:space="preserve">Configure IBM Verify: add two sample users (Alice, Bob) and two groups (Read-Only, Read-Write) — Alice in Read-Only, Bob in Read-Write; register a web-app OIDC application (Authorization Code + Client Credentials) and an agent-app OIDC application (Authorization Code + Token Exchange + JWT bearer), both configured to surface group membership as a groups claim.</w:t>
      </w:r>
    </w:p>
    <w:p>
      <w:pPr>
        <w:pStyle w:val="ListParagraph"/>
        <w:numPr>
          <w:ilvl w:val="0"/>
          <w:numId w:val="2"/>
        </w:numPr>
        <w:spacing w:after="80"/>
      </w:pPr>
      <w:r>
        <w:rPr>
          <w:rFonts w:ascii="Calibri" w:cs="Calibri" w:eastAsia="Calibri" w:hAnsi="Calibri"/>
          <w:color w:val="1A1A1A"/>
          <w:sz w:val="22"/>
          <w:szCs w:val="22"/>
        </w:rPr>
        <w:t xml:space="preserve">Configure HashiCorp Vault: JWT auth integrated with IBM Verify OIDC, external identity groups mapped to ACL policies (readonly/readwrite), the database secrets engine for MongoDB, and audit logging — via the provided vault-setup.sh script.</w:t>
      </w:r>
    </w:p>
    <w:p>
      <w:pPr>
        <w:pStyle w:val="ListParagraph"/>
        <w:numPr>
          <w:ilvl w:val="0"/>
          <w:numId w:val="2"/>
        </w:numPr>
        <w:spacing w:after="80"/>
      </w:pPr>
      <w:r>
        <w:rPr>
          <w:rFonts w:ascii="Calibri" w:cs="Calibri" w:eastAsia="Calibri" w:hAnsi="Calibri"/>
          <w:color w:val="1A1A1A"/>
          <w:sz w:val="22"/>
          <w:szCs w:val="22"/>
        </w:rPr>
        <w:t xml:space="preserve">Configure watsonx Orchestrate: enable Embed Security and generate an RSA key pair (your own key pair plus watsonx Orchestrate's public key) to sign/encrypt JWTs used for the embedded chat; set up an MCP connection (ConfusedDeputy) using OAuth2 Token Exchange; add the MCP server (AgenticMCP) using that connection; import and deploy the products-agent.yml agent; enable the Live channel for Embedded agent.</w:t>
      </w:r>
    </w:p>
    <w:p>
      <w:pPr>
        <w:pStyle w:val="ListParagraph"/>
        <w:numPr>
          <w:ilvl w:val="0"/>
          <w:numId w:val="2"/>
        </w:numPr>
        <w:spacing w:after="80"/>
      </w:pPr>
      <w:r>
        <w:rPr>
          <w:rFonts w:ascii="Calibri" w:cs="Calibri" w:eastAsia="Calibri" w:hAnsi="Calibri"/>
          <w:color w:val="1A1A1A"/>
          <w:sz w:val="22"/>
          <w:szCs w:val="22"/>
        </w:rPr>
        <w:t xml:space="preserve">Redeploy the sample stack with the new environment variables (orchestration ID, agent ID, environment ID, CRN, tenant ID, RSA keys), then unseal Vault.</w:t>
      </w:r>
    </w:p>
    <w:p>
      <w:pPr>
        <w:pStyle w:val="ListParagraph"/>
        <w:numPr>
          <w:ilvl w:val="0"/>
          <w:numId w:val="2"/>
        </w:numPr>
        <w:spacing w:after="80"/>
      </w:pPr>
      <w:r>
        <w:rPr>
          <w:rFonts w:ascii="Calibri" w:cs="Calibri" w:eastAsia="Calibri" w:hAnsi="Calibri"/>
          <w:color w:val="1A1A1A"/>
          <w:sz w:val="22"/>
          <w:szCs w:val="22"/>
        </w:rPr>
        <w:t xml:space="preserve">Test role-based access: log in as Alice (read-only — creates/deletes are denied) and as Bob (full read/write/delete access) to confirm enforcement.</w:t>
      </w:r>
    </w:p>
    <w:p>
      <w:pPr>
        <w:pStyle w:val="Heading2"/>
        <w:spacing w:after="150" w:before="300"/>
      </w:pPr>
      <w:r>
        <w:rPr>
          <w:rFonts w:ascii="Calibri" w:cs="Calibri" w:eastAsia="Calibri" w:hAnsi="Calibri"/>
          <w:b/>
          <w:bCs/>
          <w:color w:val="0B1F3A"/>
          <w:sz w:val="26"/>
          <w:szCs w:val="26"/>
        </w:rPr>
        <w:t xml:space="preserve">Key Concepts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 / Component</w:t>
            </w:r>
          </w:p>
        </w:tc>
        <w:tc>
          <w:tcPr>
            <w:tcW w:type="pct" w:w="7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You Need to Know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On-behalf-of (OBO) token</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A token that lets the agent act with the authenticated user's actual permissions rather than its own broad service credentials — the core fix for the confused-deputy problem.</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Dynamic credentials (Vault)</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Backend database credentials generated per-request with a short time-to-live and automatically revoked once that TTL expires, limiting the 'blast radius' of any leak.</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Confused deputy problem</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An agent with excessive standing privileges can be tricked (or simply misused) into performing actions beyond what the requesting user is actually authorized to do.</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Separation of identities</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User identity (via IBM Verify SSO), agent identity (via the agent-app OIDC registration + Token Exchange), and resource authority (via Vault dynamic credentials) are kept distinct so no single compromised layer grants broad access.</w:t>
            </w:r>
          </w:p>
        </w:tc>
      </w:tr>
    </w:tbl>
    <w:p>
      <w:pPr>
        <w:spacing w:after="120"/>
      </w:pPr>
    </w:p>
    <w:p>
      <w:pPr>
        <w:pStyle w:val="Heading2"/>
        <w:spacing w:after="150" w:before="300"/>
      </w:pPr>
      <w:r>
        <w:rPr>
          <w:rFonts w:ascii="Calibri" w:cs="Calibri" w:eastAsia="Calibri" w:hAnsi="Calibri"/>
          <w:b/>
          <w:bCs/>
          <w:color w:val="0B1F3A"/>
          <w:sz w:val="26"/>
          <w:szCs w:val="26"/>
        </w:rPr>
        <w:t xml:space="preserve">Common Pitfalls / Best Practices</w:t>
      </w:r>
    </w:p>
    <w:p>
      <w:pPr>
        <w:pStyle w:val="ListParagraph"/>
        <w:numPr>
          <w:ilvl w:val="0"/>
          <w:numId w:val="1"/>
        </w:numPr>
        <w:spacing w:after="80"/>
      </w:pPr>
      <w:r>
        <w:rPr>
          <w:rFonts w:ascii="Calibri" w:cs="Calibri" w:eastAsia="Calibri" w:hAnsi="Calibri"/>
          <w:color w:val="1A1A1A"/>
          <w:sz w:val="22"/>
          <w:szCs w:val="22"/>
        </w:rPr>
        <w:t xml:space="preserve">Configure components in the specified order — IBM Verify, then HashiCorp Vault, then watsonx Orchestrate — because later steps depend on identifiers/claims produced earlier.</w:t>
      </w:r>
    </w:p>
    <w:p>
      <w:pPr>
        <w:pStyle w:val="ListParagraph"/>
        <w:numPr>
          <w:ilvl w:val="0"/>
          <w:numId w:val="1"/>
        </w:numPr>
        <w:spacing w:after="80"/>
      </w:pPr>
      <w:r>
        <w:rPr>
          <w:rFonts w:ascii="Calibri" w:cs="Calibri" w:eastAsia="Calibri" w:hAnsi="Calibri"/>
          <w:color w:val="1A1A1A"/>
          <w:sz w:val="22"/>
          <w:szCs w:val="22"/>
        </w:rPr>
        <w:t xml:space="preserve">The application must be redeployed after each round of environment-variable/configuration changes for the new security settings to take effect.</w:t>
      </w:r>
    </w:p>
    <w:p>
      <w:pPr>
        <w:pStyle w:val="ListParagraph"/>
        <w:numPr>
          <w:ilvl w:val="0"/>
          <w:numId w:val="1"/>
        </w:numPr>
        <w:spacing w:after="80"/>
      </w:pPr>
      <w:r>
        <w:rPr>
          <w:rFonts w:ascii="Calibri" w:cs="Calibri" w:eastAsia="Calibri" w:hAnsi="Calibri"/>
          <w:color w:val="1A1A1A"/>
          <w:sz w:val="22"/>
          <w:szCs w:val="22"/>
        </w:rPr>
        <w:t xml:space="preserve">Disable PKCE verification only as directed by the tutorial's specific OIDC application settings — this is a deliberate configuration for this reference architecture, not a general recommendation.</w:t>
      </w:r>
    </w:p>
    <w:p>
      <w:pPr>
        <w:pStyle w:val="Heading2"/>
        <w:spacing w:after="150" w:before="300"/>
      </w:pPr>
      <w:r>
        <w:rPr>
          <w:rFonts w:ascii="Calibri" w:cs="Calibri" w:eastAsia="Calibri" w:hAnsi="Calibri"/>
          <w:b/>
          <w:bCs/>
          <w:color w:val="0B1F3A"/>
          <w:sz w:val="26"/>
          <w:szCs w:val="26"/>
        </w:rPr>
        <w:t xml:space="preserve">Self-Check</w:t>
      </w:r>
    </w:p>
    <w:p>
      <w:pPr>
        <w:spacing w:after="40" w:before="160"/>
      </w:pPr>
      <w:r>
        <w:rPr>
          <w:rFonts w:ascii="Calibri" w:cs="Calibri" w:eastAsia="Calibri" w:hAnsi="Calibri"/>
          <w:b/>
          <w:bCs/>
          <w:color w:val="0B1F3A"/>
          <w:sz w:val="21"/>
          <w:szCs w:val="21"/>
        </w:rPr>
        <w:t xml:space="preserve">Q1. </w:t>
      </w:r>
      <w:r>
        <w:rPr>
          <w:rFonts w:ascii="Calibri" w:cs="Calibri" w:eastAsia="Calibri" w:hAnsi="Calibri"/>
          <w:b/>
          <w:bCs/>
          <w:color w:val="1A1A1A"/>
          <w:sz w:val="21"/>
          <w:szCs w:val="21"/>
        </w:rPr>
        <w:t xml:space="preserve">What does 'confused deputy' mean in the context of AI agents, and what is the architectural fix demonstrated here?</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An agent acting with broad/reusable privileges instead of the authenticated user's actual rights; the fix is separating user identity, agent identity, and resource authority using OIDC token exchange (OBO tokens) plus Vault-issued short-lived, scoped credentials.</w:t>
      </w:r>
    </w:p>
    <w:p>
      <w:pPr>
        <w:spacing w:after="40" w:before="160"/>
      </w:pPr>
      <w:r>
        <w:rPr>
          <w:rFonts w:ascii="Calibri" w:cs="Calibri" w:eastAsia="Calibri" w:hAnsi="Calibri"/>
          <w:b/>
          <w:bCs/>
          <w:color w:val="0B1F3A"/>
          <w:sz w:val="21"/>
          <w:szCs w:val="21"/>
        </w:rPr>
        <w:t xml:space="preserve">Q2. </w:t>
      </w:r>
      <w:r>
        <w:rPr>
          <w:rFonts w:ascii="Calibri" w:cs="Calibri" w:eastAsia="Calibri" w:hAnsi="Calibri"/>
          <w:b/>
          <w:bCs/>
          <w:color w:val="1A1A1A"/>
          <w:sz w:val="21"/>
          <w:szCs w:val="21"/>
        </w:rPr>
        <w:t xml:space="preserve">What determines whether Vault issues read-only or read-write credentials to a user?</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The user's IBM Verify group membership (Read-Only or Read-Write), reflected in Vault's role-based ACL policies.</w:t>
      </w:r>
    </w:p>
    <w:p>
      <w:pPr>
        <w:spacing w:after="40" w:before="160"/>
      </w:pPr>
      <w:r>
        <w:rPr>
          <w:rFonts w:ascii="Calibri" w:cs="Calibri" w:eastAsia="Calibri" w:hAnsi="Calibri"/>
          <w:b/>
          <w:bCs/>
          <w:color w:val="0B1F3A"/>
          <w:sz w:val="21"/>
          <w:szCs w:val="21"/>
        </w:rPr>
        <w:t xml:space="preserve">Q3. </w:t>
      </w:r>
      <w:r>
        <w:rPr>
          <w:rFonts w:ascii="Calibri" w:cs="Calibri" w:eastAsia="Calibri" w:hAnsi="Calibri"/>
          <w:b/>
          <w:bCs/>
          <w:color w:val="1A1A1A"/>
          <w:sz w:val="21"/>
          <w:szCs w:val="21"/>
        </w:rPr>
        <w:t xml:space="preserve">Why do the dynamic database credentials expire automatically?</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They are bound to a configured time-to-live (TTL); once it elapses, Vault automatically revokes them, enforcing least-privilege and limiting exposure if credentials were ever compromised.</w:t>
      </w:r>
    </w:p>
    <w:p>
      <w:r>
        <w:br w:type="page"/>
      </w:r>
    </w:p>
    <w:p>
      <w:pPr>
        <w:sectPr>
          <w:headerReference w:type="default" r:id="rId21"/>
          <w:footerReference w:type="default" r:id="rId22"/>
          <w:pgSz w:w="12240" w:h="15840" w:orient="portrait"/>
          <w:pgMar w:top="1300" w:right="1100" w:bottom="1200" w:left="1100" w:header="708" w:footer="708" w:gutter="0"/>
          <w:pgNumType/>
          <w:docGrid w:linePitch="360"/>
        </w:sectPr>
      </w:pPr>
    </w:p>
    <w:p>
      <w:pPr>
        <w:pStyle w:val="Heading1"/>
        <w:pBdr>
          <w:bottom w:val="single" w:color="C9A227" w:sz="12" w:space="4"/>
        </w:pBdr>
        <w:spacing w:after="200" w:before="400"/>
      </w:pPr>
      <w:r>
        <w:rPr>
          <w:rFonts w:ascii="Calibri" w:cs="Calibri" w:eastAsia="Calibri" w:hAnsi="Calibri"/>
          <w:b/>
          <w:bCs/>
          <w:color w:val="0B1F3A"/>
          <w:sz w:val="32"/>
          <w:szCs w:val="32"/>
        </w:rPr>
        <w:t xml:space="preserve">Topic 8: Memory-Enabled Agents</w:t>
      </w:r>
    </w:p>
    <w:p>
      <w:pPr>
        <w:spacing w:after="160" w:line="276"/>
      </w:pPr>
      <w:r>
        <w:rPr>
          <w:rFonts w:ascii="Calibri" w:cs="Calibri" w:eastAsia="Calibri" w:hAnsi="Calibri"/>
          <w:i/>
          <w:iCs/>
          <w:color w:val="5A5A5A"/>
          <w:sz w:val="20"/>
          <w:szCs w:val="20"/>
        </w:rPr>
        <w:t xml:space="preserve">Personalizing conversations across sessions with the watsonx Orchestrate ADK memory capability</w:t>
      </w:r>
    </w:p>
    <w:p>
      <w:pPr>
        <w:pStyle w:val="Heading2"/>
        <w:spacing w:after="150" w:before="300"/>
      </w:pPr>
      <w:r>
        <w:rPr>
          <w:rFonts w:ascii="Calibri" w:cs="Calibri" w:eastAsia="Calibri" w:hAnsi="Calibri"/>
          <w:b/>
          <w:bCs/>
          <w:color w:val="0B1F3A"/>
          <w:sz w:val="26"/>
          <w:szCs w:val="26"/>
        </w:rPr>
        <w:t xml:space="preserve">Overview</w:t>
      </w:r>
    </w:p>
    <w:p>
      <w:pPr>
        <w:spacing w:after="160" w:line="276"/>
      </w:pPr>
      <w:r>
        <w:rPr>
          <w:rFonts w:ascii="Calibri" w:cs="Calibri" w:eastAsia="Calibri" w:hAnsi="Calibri"/>
          <w:color w:val="1A1A1A"/>
          <w:sz w:val="22"/>
          <w:szCs w:val="22"/>
        </w:rPr>
        <w:t xml:space="preserve">Agents that treat every interaction as brand-new feel impersonal. watsonx Orchestrate's memory capability lets agents store, retrieve, and reuse user information (preferences, location, prior choices) across conversations. This tutorial builds a coffee-shop recommendation agent that remembers a user's city.</w:t>
      </w:r>
    </w:p>
    <w:p>
      <w:pPr>
        <w:pStyle w:val="Heading2"/>
        <w:spacing w:after="150" w:before="300"/>
      </w:pPr>
      <w:r>
        <w:rPr>
          <w:rFonts w:ascii="Calibri" w:cs="Calibri" w:eastAsia="Calibri" w:hAnsi="Calibri"/>
          <w:b/>
          <w:bCs/>
          <w:color w:val="0B1F3A"/>
          <w:sz w:val="26"/>
          <w:szCs w:val="26"/>
        </w:rPr>
        <w:t xml:space="preserve">Architecture &amp; Key Components</w:t>
      </w:r>
    </w:p>
    <w:p>
      <w:pPr>
        <w:pStyle w:val="ListParagraph"/>
        <w:numPr>
          <w:ilvl w:val="0"/>
          <w:numId w:val="1"/>
        </w:numPr>
        <w:spacing w:after="80"/>
      </w:pPr>
      <w:r>
        <w:rPr>
          <w:rFonts w:ascii="Calibri" w:cs="Calibri" w:eastAsia="Calibri" w:hAnsi="Calibri"/>
          <w:color w:val="1A1A1A"/>
          <w:sz w:val="22"/>
          <w:szCs w:val="22"/>
        </w:rPr>
        <w:t xml:space="preserve">Main Agent (Cafe Recommendation Agent): manages the conversation and calls the coffee-shop recommendation tool.</w:t>
      </w:r>
    </w:p>
    <w:p>
      <w:pPr>
        <w:pStyle w:val="ListParagraph"/>
        <w:numPr>
          <w:ilvl w:val="0"/>
          <w:numId w:val="1"/>
        </w:numPr>
        <w:spacing w:after="80"/>
      </w:pPr>
      <w:r>
        <w:rPr>
          <w:rFonts w:ascii="Calibri" w:cs="Calibri" w:eastAsia="Calibri" w:hAnsi="Calibri"/>
          <w:color w:val="1A1A1A"/>
          <w:sz w:val="22"/>
          <w:szCs w:val="22"/>
        </w:rPr>
        <w:t xml:space="preserve">User Preference Processor: a custom LangGraph collaborator agent that stores/retrieves the user's location via watsonx Orchestrate memory (checkpointer: type: memory in its agent.yaml), keyed by the user's unique identifier (sub) and tenant ID.</w:t>
      </w:r>
    </w:p>
    <w:p>
      <w:pPr>
        <w:pStyle w:val="ListParagraph"/>
        <w:numPr>
          <w:ilvl w:val="0"/>
          <w:numId w:val="1"/>
        </w:numPr>
        <w:spacing w:after="80"/>
      </w:pPr>
      <w:r>
        <w:rPr>
          <w:rFonts w:ascii="Calibri" w:cs="Calibri" w:eastAsia="Calibri" w:hAnsi="Calibri"/>
          <w:color w:val="1A1A1A"/>
          <w:sz w:val="22"/>
          <w:szCs w:val="22"/>
        </w:rPr>
        <w:t xml:space="preserve">Coffee Shop Recommendation tool: a Python tool with sample data for multiple cities, called with the (saved or newly provided) location.</w:t>
      </w:r>
    </w:p>
    <w:p>
      <w:pPr>
        <w:pStyle w:val="ListParagraph"/>
        <w:numPr>
          <w:ilvl w:val="0"/>
          <w:numId w:val="1"/>
        </w:numPr>
        <w:spacing w:after="80"/>
      </w:pPr>
      <w:r>
        <w:rPr>
          <w:rFonts w:ascii="Calibri" w:cs="Calibri" w:eastAsia="Calibri" w:hAnsi="Calibri"/>
          <w:color w:val="1A1A1A"/>
          <w:sz w:val="22"/>
          <w:szCs w:val="22"/>
        </w:rPr>
        <w:t xml:space="preserve">Memory scope: memory is stored separately per user and per tenant — one user's stored preferences are never visible to another user of the same agent.</w:t>
      </w:r>
    </w:p>
    <w:p>
      <w:pPr>
        <w:pStyle w:val="Heading2"/>
        <w:spacing w:after="150" w:before="300"/>
      </w:pPr>
      <w:r>
        <w:rPr>
          <w:rFonts w:ascii="Calibri" w:cs="Calibri" w:eastAsia="Calibri" w:hAnsi="Calibri"/>
          <w:b/>
          <w:bCs/>
          <w:color w:val="0B1F3A"/>
          <w:sz w:val="26"/>
          <w:szCs w:val="26"/>
        </w:rPr>
        <w:t xml:space="preserve">Implementation Walkthrough</w:t>
      </w:r>
    </w:p>
    <w:p>
      <w:pPr>
        <w:pStyle w:val="ListParagraph"/>
        <w:numPr>
          <w:ilvl w:val="0"/>
          <w:numId w:val="2"/>
        </w:numPr>
        <w:spacing w:after="80"/>
      </w:pPr>
      <w:r>
        <w:rPr>
          <w:rFonts w:ascii="Calibri" w:cs="Calibri" w:eastAsia="Calibri" w:hAnsi="Calibri"/>
          <w:color w:val="1A1A1A"/>
          <w:sz w:val="22"/>
          <w:szCs w:val="22"/>
        </w:rPr>
        <w:t xml:space="preserve">Clone the tutorial repo, create/activate a Python 3.11 virtual environment for the i-oic-agent-memory folder.</w:t>
      </w:r>
    </w:p>
    <w:p>
      <w:pPr>
        <w:pStyle w:val="ListParagraph"/>
        <w:numPr>
          <w:ilvl w:val="0"/>
          <w:numId w:val="2"/>
        </w:numPr>
        <w:spacing w:after="80"/>
      </w:pPr>
      <w:r>
        <w:rPr>
          <w:rFonts w:ascii="Calibri" w:cs="Calibri" w:eastAsia="Calibri" w:hAnsi="Calibri"/>
          <w:color w:val="1A1A1A"/>
          <w:sz w:val="22"/>
          <w:szCs w:val="22"/>
        </w:rPr>
        <w:t xml:space="preserve">Retrieve the watsonx Orchestrate instance URL and API key, then create/activate a local ADK environment.</w:t>
      </w:r>
    </w:p>
    <w:p>
      <w:pPr>
        <w:pStyle w:val="ListParagraph"/>
        <w:numPr>
          <w:ilvl w:val="0"/>
          <w:numId w:val="2"/>
        </w:numPr>
        <w:spacing w:after="80"/>
      </w:pPr>
      <w:r>
        <w:rPr>
          <w:rFonts w:ascii="Calibri" w:cs="Calibri" w:eastAsia="Calibri" w:hAnsi="Calibri"/>
          <w:color w:val="1A1A1A"/>
          <w:sz w:val="22"/>
          <w:szCs w:val="22"/>
        </w:rPr>
        <w:t xml:space="preserve">Import the User Preference Processor agent: orchestrate agents import --experimental-package-root agents/user_preference_processor.</w:t>
      </w:r>
    </w:p>
    <w:p>
      <w:pPr>
        <w:pStyle w:val="ListParagraph"/>
        <w:numPr>
          <w:ilvl w:val="0"/>
          <w:numId w:val="2"/>
        </w:numPr>
        <w:spacing w:after="80"/>
      </w:pPr>
      <w:r>
        <w:rPr>
          <w:rFonts w:ascii="Calibri" w:cs="Calibri" w:eastAsia="Calibri" w:hAnsi="Calibri"/>
          <w:color w:val="1A1A1A"/>
          <w:sz w:val="22"/>
          <w:szCs w:val="22"/>
        </w:rPr>
        <w:t xml:space="preserve">Import the coffee-shop tool: orchestrate tools import -f tools/get_coffee_shops.py -k python.</w:t>
      </w:r>
    </w:p>
    <w:p>
      <w:pPr>
        <w:pStyle w:val="ListParagraph"/>
        <w:numPr>
          <w:ilvl w:val="0"/>
          <w:numId w:val="2"/>
        </w:numPr>
        <w:spacing w:after="80"/>
      </w:pPr>
      <w:r>
        <w:rPr>
          <w:rFonts w:ascii="Calibri" w:cs="Calibri" w:eastAsia="Calibri" w:hAnsi="Calibri"/>
          <w:color w:val="1A1A1A"/>
          <w:sz w:val="22"/>
          <w:szCs w:val="22"/>
        </w:rPr>
        <w:t xml:space="preserve">Import and deploy the Cafe Recommendation Agent (agent.yaml), then open Channels → Embedded web chat → Live and copy the embed script.</w:t>
      </w:r>
    </w:p>
    <w:p>
      <w:pPr>
        <w:pStyle w:val="ListParagraph"/>
        <w:numPr>
          <w:ilvl w:val="0"/>
          <w:numId w:val="2"/>
        </w:numPr>
        <w:spacing w:after="80"/>
      </w:pPr>
      <w:r>
        <w:rPr>
          <w:rFonts w:ascii="Calibri" w:cs="Calibri" w:eastAsia="Calibri" w:hAnsi="Calibri"/>
          <w:color w:val="1A1A1A"/>
          <w:sz w:val="22"/>
          <w:szCs w:val="22"/>
        </w:rPr>
        <w:t xml:space="preserve">Run the sample chat-ui web app (npm install, start), enable/configure security (rotate &amp; generate keys if not already enabled), paste the embed script, and enter a User Identity (sub) value that uniquely identifies each test user.</w:t>
      </w:r>
    </w:p>
    <w:p>
      <w:pPr>
        <w:pStyle w:val="ListParagraph"/>
        <w:numPr>
          <w:ilvl w:val="0"/>
          <w:numId w:val="2"/>
        </w:numPr>
        <w:spacing w:after="80"/>
      </w:pPr>
      <w:r>
        <w:rPr>
          <w:rFonts w:ascii="Calibri" w:cs="Calibri" w:eastAsia="Calibri" w:hAnsi="Calibri"/>
          <w:color w:val="1A1A1A"/>
          <w:sz w:val="22"/>
          <w:szCs w:val="22"/>
        </w:rPr>
        <w:t xml:space="preserve">Test: first interaction — the agent asks for a city, then confirms it will remember the location; returning-user interaction — the agent recommends coffee shops immediately using the saved location, without asking again.</w:t>
      </w:r>
    </w:p>
    <w:p>
      <w:pPr>
        <w:pStyle w:val="Heading2"/>
        <w:spacing w:after="150" w:before="300"/>
      </w:pPr>
      <w:r>
        <w:rPr>
          <w:rFonts w:ascii="Calibri" w:cs="Calibri" w:eastAsia="Calibri" w:hAnsi="Calibri"/>
          <w:b/>
          <w:bCs/>
          <w:color w:val="0B1F3A"/>
          <w:sz w:val="26"/>
          <w:szCs w:val="26"/>
        </w:rPr>
        <w:t xml:space="preserve">Key Concepts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 / Component</w:t>
            </w:r>
          </w:p>
        </w:tc>
        <w:tc>
          <w:tcPr>
            <w:tcW w:type="pct" w:w="7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You Need to Know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Memory scope</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Separate per user and tenant — critical for multi-tenant SaaS deployments where users must never see each other's stored data.</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sub (subject) identifier</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The unique user identity value used as the memory key; must be provided when configuring the embedded chat so the agent can distinguish users.</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checkpointer: type: memory</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The agent.yaml setting that enables the memory capability for a custom LangGraph agent.</w:t>
            </w:r>
          </w:p>
        </w:tc>
      </w:tr>
    </w:tbl>
    <w:p>
      <w:pPr>
        <w:spacing w:after="120"/>
      </w:pPr>
    </w:p>
    <w:p>
      <w:pPr>
        <w:pStyle w:val="Heading2"/>
        <w:spacing w:after="150" w:before="300"/>
      </w:pPr>
      <w:r>
        <w:rPr>
          <w:rFonts w:ascii="Calibri" w:cs="Calibri" w:eastAsia="Calibri" w:hAnsi="Calibri"/>
          <w:b/>
          <w:bCs/>
          <w:color w:val="0B1F3A"/>
          <w:sz w:val="26"/>
          <w:szCs w:val="26"/>
        </w:rPr>
        <w:t xml:space="preserve">Common Pitfalls / Best Practices</w:t>
      </w:r>
    </w:p>
    <w:p>
      <w:pPr>
        <w:pStyle w:val="ListParagraph"/>
        <w:numPr>
          <w:ilvl w:val="0"/>
          <w:numId w:val="1"/>
        </w:numPr>
        <w:spacing w:after="80"/>
      </w:pPr>
      <w:r>
        <w:rPr>
          <w:rFonts w:ascii="Calibri" w:cs="Calibri" w:eastAsia="Calibri" w:hAnsi="Calibri"/>
          <w:color w:val="1A1A1A"/>
          <w:sz w:val="22"/>
          <w:szCs w:val="22"/>
        </w:rPr>
        <w:t xml:space="preserve">Security must be enabled in the watsonx Orchestrate instance for user identification (and therefore per-user memory) to work at all — this is a hard prerequisite, not optional hardening.</w:t>
      </w:r>
    </w:p>
    <w:p>
      <w:pPr>
        <w:pStyle w:val="Heading2"/>
        <w:spacing w:after="150" w:before="300"/>
      </w:pPr>
      <w:r>
        <w:rPr>
          <w:rFonts w:ascii="Calibri" w:cs="Calibri" w:eastAsia="Calibri" w:hAnsi="Calibri"/>
          <w:b/>
          <w:bCs/>
          <w:color w:val="0B1F3A"/>
          <w:sz w:val="26"/>
          <w:szCs w:val="26"/>
        </w:rPr>
        <w:t xml:space="preserve">Self-Check</w:t>
      </w:r>
    </w:p>
    <w:p>
      <w:pPr>
        <w:spacing w:after="40" w:before="160"/>
      </w:pPr>
      <w:r>
        <w:rPr>
          <w:rFonts w:ascii="Calibri" w:cs="Calibri" w:eastAsia="Calibri" w:hAnsi="Calibri"/>
          <w:b/>
          <w:bCs/>
          <w:color w:val="0B1F3A"/>
          <w:sz w:val="21"/>
          <w:szCs w:val="21"/>
        </w:rPr>
        <w:t xml:space="preserve">Q1. </w:t>
      </w:r>
      <w:r>
        <w:rPr>
          <w:rFonts w:ascii="Calibri" w:cs="Calibri" w:eastAsia="Calibri" w:hAnsi="Calibri"/>
          <w:b/>
          <w:bCs/>
          <w:color w:val="1A1A1A"/>
          <w:sz w:val="21"/>
          <w:szCs w:val="21"/>
        </w:rPr>
        <w:t xml:space="preserve">What two identifiers together scope a stored memory record?</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The user identity (sub) and the tenant ID.</w:t>
      </w:r>
    </w:p>
    <w:p>
      <w:pPr>
        <w:spacing w:after="40" w:before="160"/>
      </w:pPr>
      <w:r>
        <w:rPr>
          <w:rFonts w:ascii="Calibri" w:cs="Calibri" w:eastAsia="Calibri" w:hAnsi="Calibri"/>
          <w:b/>
          <w:bCs/>
          <w:color w:val="0B1F3A"/>
          <w:sz w:val="21"/>
          <w:szCs w:val="21"/>
        </w:rPr>
        <w:t xml:space="preserve">Q2. </w:t>
      </w:r>
      <w:r>
        <w:rPr>
          <w:rFonts w:ascii="Calibri" w:cs="Calibri" w:eastAsia="Calibri" w:hAnsi="Calibri"/>
          <w:b/>
          <w:bCs/>
          <w:color w:val="1A1A1A"/>
          <w:sz w:val="21"/>
          <w:szCs w:val="21"/>
        </w:rPr>
        <w:t xml:space="preserve">What agent.yaml setting enables memory for a custom LangGraph agent?</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checkpointer: type: memory.</w:t>
      </w:r>
    </w:p>
    <w:p>
      <w:pPr>
        <w:spacing w:after="40" w:before="160"/>
      </w:pPr>
      <w:r>
        <w:rPr>
          <w:rFonts w:ascii="Calibri" w:cs="Calibri" w:eastAsia="Calibri" w:hAnsi="Calibri"/>
          <w:b/>
          <w:bCs/>
          <w:color w:val="0B1F3A"/>
          <w:sz w:val="21"/>
          <w:szCs w:val="21"/>
        </w:rPr>
        <w:t xml:space="preserve">Q3. </w:t>
      </w:r>
      <w:r>
        <w:rPr>
          <w:rFonts w:ascii="Calibri" w:cs="Calibri" w:eastAsia="Calibri" w:hAnsi="Calibri"/>
          <w:b/>
          <w:bCs/>
          <w:color w:val="1A1A1A"/>
          <w:sz w:val="21"/>
          <w:szCs w:val="21"/>
        </w:rPr>
        <w:t xml:space="preserve">Why won't the memory-enabled agent work if security is disabled on the watsonx Orchestrate instance?</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Without security enabled, the platform cannot reliably identify which user is interacting with the embedded chat, so it has no valid key under which to store or retrieve that user's memory.</w:t>
      </w:r>
    </w:p>
    <w:p>
      <w:r>
        <w:br w:type="page"/>
      </w:r>
    </w:p>
    <w:p>
      <w:pPr>
        <w:sectPr>
          <w:headerReference w:type="default" r:id="rId23"/>
          <w:footerReference w:type="default" r:id="rId24"/>
          <w:pgSz w:w="12240" w:h="15840" w:orient="portrait"/>
          <w:pgMar w:top="1300" w:right="1100" w:bottom="1200" w:left="1100" w:header="708" w:footer="708" w:gutter="0"/>
          <w:pgNumType/>
          <w:docGrid w:linePitch="360"/>
        </w:sectPr>
      </w:pPr>
    </w:p>
    <w:p>
      <w:pPr>
        <w:pStyle w:val="Heading1"/>
        <w:pBdr>
          <w:bottom w:val="single" w:color="C9A227" w:sz="12" w:space="4"/>
        </w:pBdr>
        <w:spacing w:after="200" w:before="400"/>
      </w:pPr>
      <w:r>
        <w:rPr>
          <w:rFonts w:ascii="Calibri" w:cs="Calibri" w:eastAsia="Calibri" w:hAnsi="Calibri"/>
          <w:b/>
          <w:bCs/>
          <w:color w:val="0B1F3A"/>
          <w:sz w:val="32"/>
          <w:szCs w:val="32"/>
        </w:rPr>
        <w:t xml:space="preserve">Topic 9: Agentic ML Tasks: Using a Private, Locally-Trained Model Behind a Tool</w:t>
      </w:r>
    </w:p>
    <w:p>
      <w:pPr>
        <w:spacing w:after="160" w:line="276"/>
      </w:pPr>
      <w:r>
        <w:rPr>
          <w:rFonts w:ascii="Calibri" w:cs="Calibri" w:eastAsia="Calibri" w:hAnsi="Calibri"/>
          <w:i/>
          <w:iCs/>
          <w:color w:val="5A5A5A"/>
          <w:sz w:val="20"/>
          <w:szCs w:val="20"/>
        </w:rPr>
        <w:t xml:space="preserve">Keeping proprietary training data out of general-purpose LLMs</w:t>
      </w:r>
    </w:p>
    <w:p>
      <w:pPr>
        <w:pStyle w:val="Heading2"/>
        <w:spacing w:after="150" w:before="300"/>
      </w:pPr>
      <w:r>
        <w:rPr>
          <w:rFonts w:ascii="Calibri" w:cs="Calibri" w:eastAsia="Calibri" w:hAnsi="Calibri"/>
          <w:b/>
          <w:bCs/>
          <w:color w:val="0B1F3A"/>
          <w:sz w:val="26"/>
          <w:szCs w:val="26"/>
        </w:rPr>
        <w:t xml:space="preserve">Overview</w:t>
      </w:r>
    </w:p>
    <w:p>
      <w:pPr>
        <w:spacing w:after="160" w:line="276"/>
      </w:pPr>
      <w:r>
        <w:rPr>
          <w:rFonts w:ascii="Calibri" w:cs="Calibri" w:eastAsia="Calibri" w:hAnsi="Calibri"/>
          <w:color w:val="1A1A1A"/>
          <w:sz w:val="22"/>
          <w:szCs w:val="22"/>
        </w:rPr>
        <w:t xml:space="preserve">Sending sensitive or proprietary data to a public LLM for reasoning is a compliance risk for many enterprises. The alternative shown here: pre-train (or fine-tune) a small domain-specific model on internal data, store it locally as a serialized artifact (e.g., a pickle file), and let the agent call a dedicated tool that runs inference against that local model. The agent only ever sees the tool's output (a prediction), never the underlying training data.</w:t>
      </w:r>
    </w:p>
    <w:p>
      <w:pPr>
        <w:spacing w:after="160" w:line="276"/>
      </w:pPr>
      <w:r>
        <w:rPr>
          <w:rFonts w:ascii="Calibri" w:cs="Calibri" w:eastAsia="Calibri" w:hAnsi="Calibri"/>
          <w:color w:val="1A1A1A"/>
          <w:sz w:val="22"/>
          <w:szCs w:val="22"/>
        </w:rPr>
        <w:t xml:space="preserve">The worked example trains a RandomForestRegressor to predict a used car's price from two variables — km_run and engine_size — on synthetic data, using watsonx.ai (though any ML environment, such as PyTorch, would work equally well).</w:t>
      </w:r>
    </w:p>
    <w:p>
      <w:pPr>
        <w:pStyle w:val="Heading2"/>
        <w:spacing w:after="150" w:before="300"/>
      </w:pPr>
      <w:r>
        <w:rPr>
          <w:rFonts w:ascii="Calibri" w:cs="Calibri" w:eastAsia="Calibri" w:hAnsi="Calibri"/>
          <w:b/>
          <w:bCs/>
          <w:color w:val="0B1F3A"/>
          <w:sz w:val="26"/>
          <w:szCs w:val="26"/>
        </w:rPr>
        <w:t xml:space="preserve">Architecture &amp; Key Components</w:t>
      </w:r>
    </w:p>
    <w:p>
      <w:pPr>
        <w:pStyle w:val="ListParagraph"/>
        <w:numPr>
          <w:ilvl w:val="0"/>
          <w:numId w:val="1"/>
        </w:numPr>
        <w:spacing w:after="80"/>
      </w:pPr>
      <w:r>
        <w:rPr>
          <w:rFonts w:ascii="Calibri" w:cs="Calibri" w:eastAsia="Calibri" w:hAnsi="Calibri"/>
          <w:color w:val="1A1A1A"/>
          <w:sz w:val="22"/>
          <w:szCs w:val="22"/>
        </w:rPr>
        <w:t xml:space="preserve">watsonx.ai: used to generate synthetic training data, train the RandomForestRegressor, and export it as used_car_price_model.pkl.</w:t>
      </w:r>
    </w:p>
    <w:p>
      <w:pPr>
        <w:pStyle w:val="ListParagraph"/>
        <w:numPr>
          <w:ilvl w:val="0"/>
          <w:numId w:val="1"/>
        </w:numPr>
        <w:spacing w:after="80"/>
      </w:pPr>
      <w:r>
        <w:rPr>
          <w:rFonts w:ascii="Calibri" w:cs="Calibri" w:eastAsia="Calibri" w:hAnsi="Calibri"/>
          <w:color w:val="1A1A1A"/>
          <w:sz w:val="22"/>
          <w:szCs w:val="22"/>
        </w:rPr>
        <w:t xml:space="preserve">price_prediction_tool.py: a Python tool that loads the pickle file once, validates/cleans the JSON input, builds a DataFrame matching the model's expected feature columns, and returns a formatted predicted price (or a structured error).</w:t>
      </w:r>
    </w:p>
    <w:p>
      <w:pPr>
        <w:pStyle w:val="ListParagraph"/>
        <w:numPr>
          <w:ilvl w:val="0"/>
          <w:numId w:val="1"/>
        </w:numPr>
        <w:spacing w:after="80"/>
      </w:pPr>
      <w:r>
        <w:rPr>
          <w:rFonts w:ascii="Calibri" w:cs="Calibri" w:eastAsia="Calibri" w:hAnsi="Calibri"/>
          <w:color w:val="1A1A1A"/>
          <w:sz w:val="22"/>
          <w:szCs w:val="22"/>
        </w:rPr>
        <w:t xml:space="preserve">used_car_price_predictor agent: instructed to collect km_run and engine_size (converting units as needed), always call the tool for the estimate, and never estimate the price itself.</w:t>
      </w:r>
    </w:p>
    <w:p>
      <w:pPr>
        <w:pStyle w:val="Heading2"/>
        <w:spacing w:after="150" w:before="300"/>
      </w:pPr>
      <w:r>
        <w:rPr>
          <w:rFonts w:ascii="Calibri" w:cs="Calibri" w:eastAsia="Calibri" w:hAnsi="Calibri"/>
          <w:b/>
          <w:bCs/>
          <w:color w:val="0B1F3A"/>
          <w:sz w:val="26"/>
          <w:szCs w:val="26"/>
        </w:rPr>
        <w:t xml:space="preserve">Implementation Walkthrough</w:t>
      </w:r>
    </w:p>
    <w:p>
      <w:pPr>
        <w:pStyle w:val="ListParagraph"/>
        <w:numPr>
          <w:ilvl w:val="0"/>
          <w:numId w:val="2"/>
        </w:numPr>
        <w:spacing w:after="80"/>
      </w:pPr>
      <w:r>
        <w:rPr>
          <w:rFonts w:ascii="Calibri" w:cs="Calibri" w:eastAsia="Calibri" w:hAnsi="Calibri"/>
          <w:color w:val="1A1A1A"/>
          <w:sz w:val="22"/>
          <w:szCs w:val="22"/>
        </w:rPr>
        <w:t xml:space="preserve">Generate synthetic data, train the RandomForestRegressor, evaluate it (MAE, R²), and pickle the trained model.</w:t>
      </w:r>
    </w:p>
    <w:p>
      <w:pPr>
        <w:pStyle w:val="ListParagraph"/>
        <w:numPr>
          <w:ilvl w:val="0"/>
          <w:numId w:val="2"/>
        </w:numPr>
        <w:spacing w:after="80"/>
      </w:pPr>
      <w:r>
        <w:rPr>
          <w:rFonts w:ascii="Calibri" w:cs="Calibri" w:eastAsia="Calibri" w:hAnsi="Calibri"/>
          <w:color w:val="1A1A1A"/>
          <w:sz w:val="22"/>
          <w:szCs w:val="22"/>
        </w:rPr>
        <w:t xml:space="preserve">Create the ADK project structure: a wxo_ML_agent folder containing a car_price_predictor sub-folder with the agent YAML, the tool's .py file, the .pkl model file, and a requirements.txt (scikit-learn, numpy, pandas pinned to specific versions, since the pickle load requires matching library versions).</w:t>
      </w:r>
    </w:p>
    <w:p>
      <w:pPr>
        <w:pStyle w:val="ListParagraph"/>
        <w:numPr>
          <w:ilvl w:val="0"/>
          <w:numId w:val="2"/>
        </w:numPr>
        <w:spacing w:after="80"/>
      </w:pPr>
      <w:r>
        <w:rPr>
          <w:rFonts w:ascii="Calibri" w:cs="Calibri" w:eastAsia="Calibri" w:hAnsi="Calibri"/>
          <w:color w:val="1A1A1A"/>
          <w:sz w:val="22"/>
          <w:szCs w:val="22"/>
        </w:rPr>
        <w:t xml:space="preserve">Write the agent YAML with explicit behavioral instructions: collect both values (asking only if missing, converting units such as liters→cc or miles→km when needed), call price_prediction_tool with exactly {"km_run": int, "engine_size": int}, never show the tool's raw JSON to the user, and never estimate the price itself — always defer to the tool's output.</w:t>
      </w:r>
    </w:p>
    <w:p>
      <w:pPr>
        <w:pStyle w:val="ListParagraph"/>
        <w:numPr>
          <w:ilvl w:val="0"/>
          <w:numId w:val="2"/>
        </w:numPr>
        <w:spacing w:after="80"/>
      </w:pPr>
      <w:r>
        <w:rPr>
          <w:rFonts w:ascii="Calibri" w:cs="Calibri" w:eastAsia="Calibri" w:hAnsi="Calibri"/>
          <w:color w:val="1A1A1A"/>
          <w:sz w:val="22"/>
          <w:szCs w:val="22"/>
        </w:rPr>
        <w:t xml:space="preserve">Import the tool and the agent into the ADK, then test conversationally by providing an engine size and mileage and confirming the agent invokes the tool rather than guessing.</w:t>
      </w:r>
    </w:p>
    <w:p>
      <w:pPr>
        <w:pStyle w:val="Heading2"/>
        <w:spacing w:after="150" w:before="300"/>
      </w:pPr>
      <w:r>
        <w:rPr>
          <w:rFonts w:ascii="Calibri" w:cs="Calibri" w:eastAsia="Calibri" w:hAnsi="Calibri"/>
          <w:b/>
          <w:bCs/>
          <w:color w:val="0B1F3A"/>
          <w:sz w:val="26"/>
          <w:szCs w:val="26"/>
        </w:rPr>
        <w:t xml:space="preserve">Key Concepts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 / Component</w:t>
            </w:r>
          </w:p>
        </w:tc>
        <w:tc>
          <w:tcPr>
            <w:tcW w:type="pct" w:w="7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You Need to Know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Why store the model as a password-protected/serialized artifact rather than exposing training data to the LLM?</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The agent (and the LLM backing it) only ever receives the tool's prediction output — the proprietary training data used to build the model is never transmitted to or visible from the LLM, preserving data privacy, security, and IP protection.</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Why must the agent instructions explicitly forbid the LLM from estimating the price itself?</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Without that constraint, the LLM might 'hallucinate' a plausible-sounding price instead of reliably calling the deterministic, trained model — defeating the purpose of using a dedicated ML tool.</w:t>
            </w:r>
          </w:p>
        </w:tc>
      </w:tr>
    </w:tbl>
    <w:p>
      <w:pPr>
        <w:spacing w:after="120"/>
      </w:pPr>
    </w:p>
    <w:p>
      <w:pPr>
        <w:pStyle w:val="Heading2"/>
        <w:spacing w:after="150" w:before="300"/>
      </w:pPr>
      <w:r>
        <w:rPr>
          <w:rFonts w:ascii="Calibri" w:cs="Calibri" w:eastAsia="Calibri" w:hAnsi="Calibri"/>
          <w:b/>
          <w:bCs/>
          <w:color w:val="0B1F3A"/>
          <w:sz w:val="26"/>
          <w:szCs w:val="26"/>
        </w:rPr>
        <w:t xml:space="preserve">Common Pitfalls / Best Practices</w:t>
      </w:r>
    </w:p>
    <w:p>
      <w:pPr>
        <w:pStyle w:val="ListParagraph"/>
        <w:numPr>
          <w:ilvl w:val="0"/>
          <w:numId w:val="1"/>
        </w:numPr>
        <w:spacing w:after="80"/>
      </w:pPr>
      <w:r>
        <w:rPr>
          <w:rFonts w:ascii="Calibri" w:cs="Calibri" w:eastAsia="Calibri" w:hAnsi="Calibri"/>
          <w:color w:val="1A1A1A"/>
          <w:sz w:val="22"/>
          <w:szCs w:val="22"/>
        </w:rPr>
        <w:t xml:space="preserve">Pin the exact scikit-learn / numpy / pandas versions used to train the model in requirements.txt — pickle files are sensitive to library version mismatches.</w:t>
      </w:r>
    </w:p>
    <w:p>
      <w:pPr>
        <w:pStyle w:val="ListParagraph"/>
        <w:numPr>
          <w:ilvl w:val="0"/>
          <w:numId w:val="1"/>
        </w:numPr>
        <w:spacing w:after="80"/>
      </w:pPr>
      <w:r>
        <w:rPr>
          <w:rFonts w:ascii="Calibri" w:cs="Calibri" w:eastAsia="Calibri" w:hAnsi="Calibri"/>
          <w:color w:val="1A1A1A"/>
          <w:sz w:val="22"/>
          <w:szCs w:val="22"/>
        </w:rPr>
        <w:t xml:space="preserve">Write explicit 'always call the tool, never estimate yourself' language into agent instructions whenever a tool exists specifically to avoid LLM hallucination on a deterministic calculation.</w:t>
      </w:r>
    </w:p>
    <w:p>
      <w:pPr>
        <w:pStyle w:val="Heading2"/>
        <w:spacing w:after="150" w:before="300"/>
      </w:pPr>
      <w:r>
        <w:rPr>
          <w:rFonts w:ascii="Calibri" w:cs="Calibri" w:eastAsia="Calibri" w:hAnsi="Calibri"/>
          <w:b/>
          <w:bCs/>
          <w:color w:val="0B1F3A"/>
          <w:sz w:val="26"/>
          <w:szCs w:val="26"/>
        </w:rPr>
        <w:t xml:space="preserve">Self-Check</w:t>
      </w:r>
    </w:p>
    <w:p>
      <w:pPr>
        <w:spacing w:after="40" w:before="160"/>
      </w:pPr>
      <w:r>
        <w:rPr>
          <w:rFonts w:ascii="Calibri" w:cs="Calibri" w:eastAsia="Calibri" w:hAnsi="Calibri"/>
          <w:b/>
          <w:bCs/>
          <w:color w:val="0B1F3A"/>
          <w:sz w:val="21"/>
          <w:szCs w:val="21"/>
        </w:rPr>
        <w:t xml:space="preserve">Q1. </w:t>
      </w:r>
      <w:r>
        <w:rPr>
          <w:rFonts w:ascii="Calibri" w:cs="Calibri" w:eastAsia="Calibri" w:hAnsi="Calibri"/>
          <w:b/>
          <w:bCs/>
          <w:color w:val="1A1A1A"/>
          <w:sz w:val="21"/>
          <w:szCs w:val="21"/>
        </w:rPr>
        <w:t xml:space="preserve">What two input variables does the used-car price model use?</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km_run (kilometers driven) and engine_size (in cc).</w:t>
      </w:r>
    </w:p>
    <w:p>
      <w:pPr>
        <w:spacing w:after="40" w:before="160"/>
      </w:pPr>
      <w:r>
        <w:rPr>
          <w:rFonts w:ascii="Calibri" w:cs="Calibri" w:eastAsia="Calibri" w:hAnsi="Calibri"/>
          <w:b/>
          <w:bCs/>
          <w:color w:val="0B1F3A"/>
          <w:sz w:val="21"/>
          <w:szCs w:val="21"/>
        </w:rPr>
        <w:t xml:space="preserve">Q2. </w:t>
      </w:r>
      <w:r>
        <w:rPr>
          <w:rFonts w:ascii="Calibri" w:cs="Calibri" w:eastAsia="Calibri" w:hAnsi="Calibri"/>
          <w:b/>
          <w:bCs/>
          <w:color w:val="1A1A1A"/>
          <w:sz w:val="21"/>
          <w:szCs w:val="21"/>
        </w:rPr>
        <w:t xml:space="preserve">Where does the trained model's training data end up exposed to the general-purpose LLM?</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Nowhere — the LLM only ever sees the tool's returned prediction, never the underlying dataset used to train the model.</w:t>
      </w:r>
    </w:p>
    <w:p>
      <w:pPr>
        <w:spacing w:after="40" w:before="160"/>
      </w:pPr>
      <w:r>
        <w:rPr>
          <w:rFonts w:ascii="Calibri" w:cs="Calibri" w:eastAsia="Calibri" w:hAnsi="Calibri"/>
          <w:b/>
          <w:bCs/>
          <w:color w:val="0B1F3A"/>
          <w:sz w:val="21"/>
          <w:szCs w:val="21"/>
        </w:rPr>
        <w:t xml:space="preserve">Q3. </w:t>
      </w:r>
      <w:r>
        <w:rPr>
          <w:rFonts w:ascii="Calibri" w:cs="Calibri" w:eastAsia="Calibri" w:hAnsi="Calibri"/>
          <w:b/>
          <w:bCs/>
          <w:color w:val="1A1A1A"/>
          <w:sz w:val="21"/>
          <w:szCs w:val="21"/>
        </w:rPr>
        <w:t xml:space="preserve">What is the risk of NOT instructing the agent to always call the tool for price estimates?</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The LLM could hallucinate an inaccurate price estimate instead of using the deterministic, validated machine-learning model.</w:t>
      </w:r>
    </w:p>
    <w:p>
      <w:r>
        <w:br w:type="page"/>
      </w:r>
    </w:p>
    <w:p>
      <w:pPr>
        <w:sectPr>
          <w:headerReference w:type="default" r:id="rId25"/>
          <w:footerReference w:type="default" r:id="rId26"/>
          <w:pgSz w:w="12240" w:h="15840" w:orient="portrait"/>
          <w:pgMar w:top="1300" w:right="1100" w:bottom="1200" w:left="1100" w:header="708" w:footer="708" w:gutter="0"/>
          <w:pgNumType/>
          <w:docGrid w:linePitch="360"/>
        </w:sectPr>
      </w:pPr>
    </w:p>
    <w:p>
      <w:pPr>
        <w:pStyle w:val="Heading1"/>
        <w:pBdr>
          <w:bottom w:val="single" w:color="C9A227" w:sz="12" w:space="4"/>
        </w:pBdr>
        <w:spacing w:after="200" w:before="400"/>
      </w:pPr>
      <w:r>
        <w:rPr>
          <w:rFonts w:ascii="Calibri" w:cs="Calibri" w:eastAsia="Calibri" w:hAnsi="Calibri"/>
          <w:b/>
          <w:bCs/>
          <w:color w:val="0B1F3A"/>
          <w:sz w:val="32"/>
          <w:szCs w:val="32"/>
        </w:rPr>
        <w:t xml:space="preserve">Topic 10: ServiceNow Integration: A Software Procurement Advisor Agent</w:t>
      </w:r>
    </w:p>
    <w:p>
      <w:pPr>
        <w:spacing w:after="160" w:line="276"/>
      </w:pPr>
      <w:r>
        <w:rPr>
          <w:rFonts w:ascii="Calibri" w:cs="Calibri" w:eastAsia="Calibri" w:hAnsi="Calibri"/>
          <w:i/>
          <w:iCs/>
          <w:color w:val="5A5A5A"/>
          <w:sz w:val="20"/>
          <w:szCs w:val="20"/>
        </w:rPr>
        <w:t xml:space="preserve">Bridging unstructured natural-language requests and structured ServiceNow catalog data</w:t>
      </w:r>
    </w:p>
    <w:p>
      <w:pPr>
        <w:pStyle w:val="Heading2"/>
        <w:spacing w:after="150" w:before="300"/>
      </w:pPr>
      <w:r>
        <w:rPr>
          <w:rFonts w:ascii="Calibri" w:cs="Calibri" w:eastAsia="Calibri" w:hAnsi="Calibri"/>
          <w:b/>
          <w:bCs/>
          <w:color w:val="0B1F3A"/>
          <w:sz w:val="26"/>
          <w:szCs w:val="26"/>
        </w:rPr>
        <w:t xml:space="preserve">Overview</w:t>
      </w:r>
    </w:p>
    <w:p>
      <w:pPr>
        <w:spacing w:after="160" w:line="276"/>
      </w:pPr>
      <w:r>
        <w:rPr>
          <w:rFonts w:ascii="Calibri" w:cs="Calibri" w:eastAsia="Calibri" w:hAnsi="Calibri"/>
          <w:color w:val="1A1A1A"/>
          <w:sz w:val="22"/>
          <w:szCs w:val="22"/>
        </w:rPr>
        <w:t xml:space="preserve">This tutorial builds an agent that lets employees ask, in plain language, about software they want to acquire. It retrieves details from a ServiceNow software catalog, recommends approved alternatives by functionality, and — for software not already in the catalog — automatically files a Non-Standard Software Request (NSR) through a deterministic agentic workflow.</w:t>
      </w:r>
    </w:p>
    <w:p>
      <w:pPr>
        <w:pStyle w:val="Heading2"/>
        <w:spacing w:after="150" w:before="300"/>
      </w:pPr>
      <w:r>
        <w:rPr>
          <w:rFonts w:ascii="Calibri" w:cs="Calibri" w:eastAsia="Calibri" w:hAnsi="Calibri"/>
          <w:b/>
          <w:bCs/>
          <w:color w:val="0B1F3A"/>
          <w:sz w:val="26"/>
          <w:szCs w:val="26"/>
        </w:rPr>
        <w:t xml:space="preserve">Architecture &amp; Key Components</w:t>
      </w:r>
    </w:p>
    <w:p>
      <w:pPr>
        <w:pStyle w:val="ListParagraph"/>
        <w:numPr>
          <w:ilvl w:val="0"/>
          <w:numId w:val="1"/>
        </w:numPr>
        <w:spacing w:after="80"/>
      </w:pPr>
      <w:r>
        <w:rPr>
          <w:rFonts w:ascii="Calibri" w:cs="Calibri" w:eastAsia="Calibri" w:hAnsi="Calibri"/>
          <w:color w:val="1A1A1A"/>
          <w:sz w:val="22"/>
          <w:szCs w:val="22"/>
        </w:rPr>
        <w:t xml:space="preserve">Software Procurement Advisor: the main (parent) agent orchestrating the tools/workflow below.</w:t>
      </w:r>
    </w:p>
    <w:p>
      <w:pPr>
        <w:pStyle w:val="ListParagraph"/>
        <w:numPr>
          <w:ilvl w:val="0"/>
          <w:numId w:val="1"/>
        </w:numPr>
        <w:spacing w:after="80"/>
      </w:pPr>
      <w:r>
        <w:rPr>
          <w:rFonts w:ascii="Calibri" w:cs="Calibri" w:eastAsia="Calibri" w:hAnsi="Calibri"/>
          <w:color w:val="1A1A1A"/>
          <w:sz w:val="22"/>
          <w:szCs w:val="22"/>
        </w:rPr>
        <w:t xml:space="preserve">get_software_details (Python tool): validates a requested software title exists in the ServiceNow catalog and retrieves full details, using intelligent/fuzzy name matching (rapidfuzz).</w:t>
      </w:r>
    </w:p>
    <w:p>
      <w:pPr>
        <w:pStyle w:val="ListParagraph"/>
        <w:numPr>
          <w:ilvl w:val="0"/>
          <w:numId w:val="1"/>
        </w:numPr>
        <w:spacing w:after="80"/>
      </w:pPr>
      <w:r>
        <w:rPr>
          <w:rFonts w:ascii="Calibri" w:cs="Calibri" w:eastAsia="Calibri" w:hAnsi="Calibri"/>
          <w:color w:val="1A1A1A"/>
          <w:sz w:val="22"/>
          <w:szCs w:val="22"/>
        </w:rPr>
        <w:t xml:space="preserve">recommend_software_by_functionality (Python tool): recommends approved catalog software based on the user's described functional needs.</w:t>
      </w:r>
    </w:p>
    <w:p>
      <w:pPr>
        <w:pStyle w:val="ListParagraph"/>
        <w:numPr>
          <w:ilvl w:val="0"/>
          <w:numId w:val="1"/>
        </w:numPr>
        <w:spacing w:after="80"/>
      </w:pPr>
      <w:r>
        <w:rPr>
          <w:rFonts w:ascii="Calibri" w:cs="Calibri" w:eastAsia="Calibri" w:hAnsi="Calibri"/>
          <w:color w:val="1A1A1A"/>
          <w:sz w:val="22"/>
          <w:szCs w:val="22"/>
        </w:rPr>
        <w:t xml:space="preserve">Non-Standard Software Request (NSR) Workflow (agentic workflow): a deterministic sequence, including the CreateNSRServiceNowRequest tool, that automates filing a ServiceNow request when the desired software isn't already approved.</w:t>
      </w:r>
    </w:p>
    <w:p>
      <w:pPr>
        <w:pStyle w:val="ListParagraph"/>
        <w:numPr>
          <w:ilvl w:val="0"/>
          <w:numId w:val="1"/>
        </w:numPr>
        <w:spacing w:after="80"/>
      </w:pPr>
      <w:r>
        <w:rPr>
          <w:rFonts w:ascii="Calibri" w:cs="Calibri" w:eastAsia="Calibri" w:hAnsi="Calibri"/>
          <w:color w:val="1A1A1A"/>
          <w:sz w:val="22"/>
          <w:szCs w:val="22"/>
        </w:rPr>
        <w:t xml:space="preserve">ServiceNow Flow Designer flow (NSR software procurement): triggered by the Service Catalog 'NSR Request' item, creates a catalog task on the requested item.</w:t>
      </w:r>
    </w:p>
    <w:p>
      <w:pPr>
        <w:pStyle w:val="Heading2"/>
        <w:spacing w:after="150" w:before="300"/>
      </w:pPr>
      <w:r>
        <w:rPr>
          <w:rFonts w:ascii="Calibri" w:cs="Calibri" w:eastAsia="Calibri" w:hAnsi="Calibri"/>
          <w:b/>
          <w:bCs/>
          <w:color w:val="0B1F3A"/>
          <w:sz w:val="26"/>
          <w:szCs w:val="26"/>
        </w:rPr>
        <w:t xml:space="preserve">Implementation Walkthrough</w:t>
      </w:r>
    </w:p>
    <w:p>
      <w:pPr>
        <w:pStyle w:val="ListParagraph"/>
        <w:numPr>
          <w:ilvl w:val="0"/>
          <w:numId w:val="2"/>
        </w:numPr>
        <w:spacing w:after="80"/>
      </w:pPr>
      <w:r>
        <w:rPr>
          <w:rFonts w:ascii="Calibri" w:cs="Calibri" w:eastAsia="Calibri" w:hAnsi="Calibri"/>
          <w:color w:val="1A1A1A"/>
          <w:sz w:val="22"/>
          <w:szCs w:val="22"/>
        </w:rPr>
        <w:t xml:space="preserve">Provision a ServiceNow Personal Developer Instance (PDI) and create a software catalog; add three custom Translated Text columns (Installation link, Meta Data, Software Disposition) to sc_cat_item, then bulk-upload catalog items from software_data.json via the REST Table API.</w:t>
      </w:r>
    </w:p>
    <w:p>
      <w:pPr>
        <w:pStyle w:val="ListParagraph"/>
        <w:numPr>
          <w:ilvl w:val="0"/>
          <w:numId w:val="2"/>
        </w:numPr>
        <w:spacing w:after="80"/>
      </w:pPr>
      <w:r>
        <w:rPr>
          <w:rFonts w:ascii="Calibri" w:cs="Calibri" w:eastAsia="Calibri" w:hAnsi="Calibri"/>
          <w:color w:val="1A1A1A"/>
          <w:sz w:val="22"/>
          <w:szCs w:val="22"/>
        </w:rPr>
        <w:t xml:space="preserve">Create an 'NSR Request' catalog item with variables capturing urgency, target date, subscription type, hardware requirement, user count, must-have features, software URL, and software name.</w:t>
      </w:r>
    </w:p>
    <w:p>
      <w:pPr>
        <w:pStyle w:val="ListParagraph"/>
        <w:numPr>
          <w:ilvl w:val="0"/>
          <w:numId w:val="2"/>
        </w:numPr>
        <w:spacing w:after="80"/>
      </w:pPr>
      <w:r>
        <w:rPr>
          <w:rFonts w:ascii="Calibri" w:cs="Calibri" w:eastAsia="Calibri" w:hAnsi="Calibri"/>
          <w:color w:val="1A1A1A"/>
          <w:sz w:val="22"/>
          <w:szCs w:val="22"/>
        </w:rPr>
        <w:t xml:space="preserve">Build an 'NSR software procurement' Flow Designer flow triggered by that catalog item, which creates a catalog task on the requested item; link the flow to the item via Process Engine.</w:t>
      </w:r>
    </w:p>
    <w:p>
      <w:pPr>
        <w:pStyle w:val="ListParagraph"/>
        <w:numPr>
          <w:ilvl w:val="0"/>
          <w:numId w:val="2"/>
        </w:numPr>
        <w:spacing w:after="80"/>
      </w:pPr>
      <w:r>
        <w:rPr>
          <w:rFonts w:ascii="Calibri" w:cs="Calibri" w:eastAsia="Calibri" w:hAnsi="Calibri"/>
          <w:color w:val="1A1A1A"/>
          <w:sz w:val="22"/>
          <w:szCs w:val="22"/>
        </w:rPr>
        <w:t xml:space="preserve">Set up a ServiceNow_Auth connection in watsonx Orchestrate (draft and live environments) via CLI (orchestrate connections add/configure/set-credentials).</w:t>
      </w:r>
    </w:p>
    <w:p>
      <w:pPr>
        <w:pStyle w:val="ListParagraph"/>
        <w:numPr>
          <w:ilvl w:val="0"/>
          <w:numId w:val="2"/>
        </w:numPr>
        <w:spacing w:after="80"/>
      </w:pPr>
      <w:r>
        <w:rPr>
          <w:rFonts w:ascii="Calibri" w:cs="Calibri" w:eastAsia="Calibri" w:hAnsi="Calibri"/>
          <w:color w:val="1A1A1A"/>
          <w:sz w:val="22"/>
          <w:szCs w:val="22"/>
        </w:rPr>
        <w:t xml:space="preserve">Create the Software Procurement Advisor agent from scratch in Agent Builder and paste in its behavior prompt.</w:t>
      </w:r>
    </w:p>
    <w:p>
      <w:pPr>
        <w:pStyle w:val="ListParagraph"/>
        <w:numPr>
          <w:ilvl w:val="0"/>
          <w:numId w:val="2"/>
        </w:numPr>
        <w:spacing w:after="80"/>
      </w:pPr>
      <w:r>
        <w:rPr>
          <w:rFonts w:ascii="Calibri" w:cs="Calibri" w:eastAsia="Calibri" w:hAnsi="Calibri"/>
          <w:color w:val="1A1A1A"/>
          <w:sz w:val="22"/>
          <w:szCs w:val="22"/>
        </w:rPr>
        <w:t xml:space="preserve">Import the three Python tools (get_software_details, recommend_software_by_functionality, CreateNSRServiceNowRequest), all tied to the ServiceNow_Auth connection via --app-id.</w:t>
      </w:r>
    </w:p>
    <w:p>
      <w:pPr>
        <w:pStyle w:val="ListParagraph"/>
        <w:numPr>
          <w:ilvl w:val="0"/>
          <w:numId w:val="2"/>
        </w:numPr>
        <w:spacing w:after="80"/>
      </w:pPr>
      <w:r>
        <w:rPr>
          <w:rFonts w:ascii="Calibri" w:cs="Calibri" w:eastAsia="Calibri" w:hAnsi="Calibri"/>
          <w:color w:val="1A1A1A"/>
          <w:sz w:val="22"/>
          <w:szCs w:val="22"/>
        </w:rPr>
        <w:t xml:space="preserve">Import the NSR agentic workflow (a flow JSON file) via orchestrate tools import -k flow -f &lt;file&gt;.</w:t>
      </w:r>
    </w:p>
    <w:p>
      <w:pPr>
        <w:pStyle w:val="ListParagraph"/>
        <w:numPr>
          <w:ilvl w:val="0"/>
          <w:numId w:val="2"/>
        </w:numPr>
        <w:spacing w:after="80"/>
      </w:pPr>
      <w:r>
        <w:rPr>
          <w:rFonts w:ascii="Calibri" w:cs="Calibri" w:eastAsia="Calibri" w:hAnsi="Calibri"/>
          <w:color w:val="1A1A1A"/>
          <w:sz w:val="22"/>
          <w:szCs w:val="22"/>
        </w:rPr>
        <w:t xml:space="preserve">Test with prompts such as 'I need to order Docker', 'Software for team collaboration', and 'I need to order non standard software → Creativity' to exercise both the catalog path and the NSR-filing path.</w:t>
      </w:r>
    </w:p>
    <w:p>
      <w:pPr>
        <w:pStyle w:val="Heading2"/>
        <w:spacing w:after="150" w:before="300"/>
      </w:pPr>
      <w:r>
        <w:rPr>
          <w:rFonts w:ascii="Calibri" w:cs="Calibri" w:eastAsia="Calibri" w:hAnsi="Calibri"/>
          <w:b/>
          <w:bCs/>
          <w:color w:val="0B1F3A"/>
          <w:sz w:val="26"/>
          <w:szCs w:val="26"/>
        </w:rPr>
        <w:t xml:space="preserve">Key Concepts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 / Component</w:t>
            </w:r>
          </w:p>
        </w:tc>
        <w:tc>
          <w:tcPr>
            <w:tcW w:type="pct" w:w="7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You Need to Know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Agentic workflow (used here)</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A deterministic, predefined sequence of steps — chosen for the NSR process specifically because it must reliably and consistently create the ServiceNow request every time, unlike free-form agent reasoning.</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Fuzzy name matching</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Using the rapidfuzz library so that slightly-off user phrasing of a software name still resolves correctly against the ServiceNow catalog.</w:t>
            </w:r>
          </w:p>
        </w:tc>
      </w:tr>
    </w:tbl>
    <w:p>
      <w:pPr>
        <w:spacing w:after="120"/>
      </w:pPr>
    </w:p>
    <w:p>
      <w:pPr>
        <w:pStyle w:val="Heading2"/>
        <w:spacing w:after="150" w:before="300"/>
      </w:pPr>
      <w:r>
        <w:rPr>
          <w:rFonts w:ascii="Calibri" w:cs="Calibri" w:eastAsia="Calibri" w:hAnsi="Calibri"/>
          <w:b/>
          <w:bCs/>
          <w:color w:val="0B1F3A"/>
          <w:sz w:val="26"/>
          <w:szCs w:val="26"/>
        </w:rPr>
        <w:t xml:space="preserve">Self-Check</w:t>
      </w:r>
    </w:p>
    <w:p>
      <w:pPr>
        <w:spacing w:after="40" w:before="160"/>
      </w:pPr>
      <w:r>
        <w:rPr>
          <w:rFonts w:ascii="Calibri" w:cs="Calibri" w:eastAsia="Calibri" w:hAnsi="Calibri"/>
          <w:b/>
          <w:bCs/>
          <w:color w:val="0B1F3A"/>
          <w:sz w:val="21"/>
          <w:szCs w:val="21"/>
        </w:rPr>
        <w:t xml:space="preserve">Q1. </w:t>
      </w:r>
      <w:r>
        <w:rPr>
          <w:rFonts w:ascii="Calibri" w:cs="Calibri" w:eastAsia="Calibri" w:hAnsi="Calibri"/>
          <w:b/>
          <w:bCs/>
          <w:color w:val="1A1A1A"/>
          <w:sz w:val="21"/>
          <w:szCs w:val="21"/>
        </w:rPr>
        <w:t xml:space="preserve">Why is the NSR process implemented as a deterministic agentic workflow rather than left to agent reasoning alone?</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Filing a request correctly and consistently every time is a compliance-sensitive, repeatable process — exactly the scenario where a structured workflow is preferred over probabilistic LLM decision-making.</w:t>
      </w:r>
    </w:p>
    <w:p>
      <w:pPr>
        <w:spacing w:after="40" w:before="160"/>
      </w:pPr>
      <w:r>
        <w:rPr>
          <w:rFonts w:ascii="Calibri" w:cs="Calibri" w:eastAsia="Calibri" w:hAnsi="Calibri"/>
          <w:b/>
          <w:bCs/>
          <w:color w:val="0B1F3A"/>
          <w:sz w:val="21"/>
          <w:szCs w:val="21"/>
        </w:rPr>
        <w:t xml:space="preserve">Q2. </w:t>
      </w:r>
      <w:r>
        <w:rPr>
          <w:rFonts w:ascii="Calibri" w:cs="Calibri" w:eastAsia="Calibri" w:hAnsi="Calibri"/>
          <w:b/>
          <w:bCs/>
          <w:color w:val="1A1A1A"/>
          <w:sz w:val="21"/>
          <w:szCs w:val="21"/>
        </w:rPr>
        <w:t xml:space="preserve">What Python library enables the agent to match imperfectly-typed software names to the correct catalog entry?</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rapidfuzz.</w:t>
      </w:r>
    </w:p>
    <w:p>
      <w:pPr>
        <w:spacing w:after="40" w:before="160"/>
      </w:pPr>
      <w:r>
        <w:rPr>
          <w:rFonts w:ascii="Calibri" w:cs="Calibri" w:eastAsia="Calibri" w:hAnsi="Calibri"/>
          <w:b/>
          <w:bCs/>
          <w:color w:val="0B1F3A"/>
          <w:sz w:val="21"/>
          <w:szCs w:val="21"/>
        </w:rPr>
        <w:t xml:space="preserve">Q3. </w:t>
      </w:r>
      <w:r>
        <w:rPr>
          <w:rFonts w:ascii="Calibri" w:cs="Calibri" w:eastAsia="Calibri" w:hAnsi="Calibri"/>
          <w:b/>
          <w:bCs/>
          <w:color w:val="1A1A1A"/>
          <w:sz w:val="21"/>
          <w:szCs w:val="21"/>
        </w:rPr>
        <w:t xml:space="preserve">What three custom columns are added to the sc_cat_item table for this catalog?</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Installation link (u_installation_link), Meta Data (u_meta_data), and Software Disposition (u_software_disposition).</w:t>
      </w:r>
    </w:p>
    <w:p>
      <w:r>
        <w:br w:type="page"/>
      </w:r>
    </w:p>
    <w:p>
      <w:pPr>
        <w:sectPr>
          <w:headerReference w:type="default" r:id="rId27"/>
          <w:footerReference w:type="default" r:id="rId28"/>
          <w:pgSz w:w="12240" w:h="15840" w:orient="portrait"/>
          <w:pgMar w:top="1300" w:right="1100" w:bottom="1200" w:left="1100" w:header="708" w:footer="708" w:gutter="0"/>
          <w:pgNumType/>
          <w:docGrid w:linePitch="360"/>
        </w:sectPr>
      </w:pPr>
    </w:p>
    <w:p>
      <w:pPr>
        <w:pStyle w:val="Heading1"/>
        <w:pBdr>
          <w:bottom w:val="single" w:color="C9A227" w:sz="12" w:space="4"/>
        </w:pBdr>
        <w:spacing w:after="200" w:before="400"/>
      </w:pPr>
      <w:r>
        <w:rPr>
          <w:rFonts w:ascii="Calibri" w:cs="Calibri" w:eastAsia="Calibri" w:hAnsi="Calibri"/>
          <w:b/>
          <w:bCs/>
          <w:color w:val="0B1F3A"/>
          <w:sz w:val="32"/>
          <w:szCs w:val="32"/>
        </w:rPr>
        <w:t xml:space="preserve">Topic 11: Running LangGraph Agents Natively in the watsonx Orchestrate Runtime</w:t>
      </w:r>
    </w:p>
    <w:p>
      <w:pPr>
        <w:spacing w:after="160" w:line="276"/>
      </w:pPr>
      <w:r>
        <w:rPr>
          <w:rFonts w:ascii="Calibri" w:cs="Calibri" w:eastAsia="Calibri" w:hAnsi="Calibri"/>
          <w:i/>
          <w:iCs/>
          <w:color w:val="5A5A5A"/>
          <w:sz w:val="20"/>
          <w:szCs w:val="20"/>
        </w:rPr>
        <w:t xml:space="preserve">Import, don't rebuild: consolidating execution, security, and governance onto one runtime</w:t>
      </w:r>
    </w:p>
    <w:p>
      <w:pPr>
        <w:pStyle w:val="Heading2"/>
        <w:spacing w:after="150" w:before="300"/>
      </w:pPr>
      <w:r>
        <w:rPr>
          <w:rFonts w:ascii="Calibri" w:cs="Calibri" w:eastAsia="Calibri" w:hAnsi="Calibri"/>
          <w:b/>
          <w:bCs/>
          <w:color w:val="0B1F3A"/>
          <w:sz w:val="26"/>
          <w:szCs w:val="26"/>
        </w:rPr>
        <w:t xml:space="preserve">Overview</w:t>
      </w:r>
    </w:p>
    <w:p>
      <w:pPr>
        <w:spacing w:after="160" w:line="276"/>
      </w:pPr>
      <w:r>
        <w:rPr>
          <w:rFonts w:ascii="Calibri" w:cs="Calibri" w:eastAsia="Calibri" w:hAnsi="Calibri"/>
          <w:color w:val="1A1A1A"/>
          <w:sz w:val="22"/>
          <w:szCs w:val="22"/>
        </w:rPr>
        <w:t xml:space="preserve">Many organizations already have working LangGraph agents. The challenge isn't building more agents — it's running them in a governed, scalable enterprise runtime without standing up separate hosting infrastructure for each one. watsonx Orchestrate allows LangGraph agents to be imported and executed directly inside its own runtime, which then manages initialization, conversation state, security, scaling, error handling, and logging for you.</w:t>
      </w:r>
    </w:p>
    <w:p>
      <w:pPr>
        <w:pStyle w:val="Heading2"/>
        <w:spacing w:after="150" w:before="300"/>
      </w:pPr>
      <w:r>
        <w:rPr>
          <w:rFonts w:ascii="Calibri" w:cs="Calibri" w:eastAsia="Calibri" w:hAnsi="Calibri"/>
          <w:b/>
          <w:bCs/>
          <w:color w:val="0B1F3A"/>
          <w:sz w:val="26"/>
          <w:szCs w:val="26"/>
        </w:rPr>
        <w:t xml:space="preserve">Architecture &amp; Key Components</w:t>
      </w:r>
    </w:p>
    <w:p>
      <w:pPr>
        <w:pStyle w:val="ListParagraph"/>
        <w:numPr>
          <w:ilvl w:val="0"/>
          <w:numId w:val="1"/>
        </w:numPr>
        <w:spacing w:after="80"/>
      </w:pPr>
      <w:r>
        <w:rPr>
          <w:rFonts w:ascii="Calibri" w:cs="Calibri" w:eastAsia="Calibri" w:hAnsi="Calibri"/>
          <w:color w:val="1A1A1A"/>
          <w:sz w:val="22"/>
          <w:szCs w:val="22"/>
        </w:rPr>
        <w:t xml:space="preserve">Stand-alone LangGraph agent: a ReAct-pattern agent (reason → act → observe, repeated) that calculates annualized investment return using a dedicated tool — first built and run locally against OpenAI.</w:t>
      </w:r>
    </w:p>
    <w:p>
      <w:pPr>
        <w:pStyle w:val="ListParagraph"/>
        <w:numPr>
          <w:ilvl w:val="0"/>
          <w:numId w:val="1"/>
        </w:numPr>
        <w:spacing w:after="80"/>
      </w:pPr>
      <w:r>
        <w:rPr>
          <w:rFonts w:ascii="Calibri" w:cs="Calibri" w:eastAsia="Calibri" w:hAnsi="Calibri"/>
          <w:color w:val="1A1A1A"/>
          <w:sz w:val="22"/>
          <w:szCs w:val="22"/>
        </w:rPr>
        <w:t xml:space="preserve">watsonx Orchestrate agent runtime: once imported, manages agent initialization/config, conversation state, security/authentication, scaling, error handling/retries, and logging/monitoring — the same operational responsibilities as for natively-built agents.</w:t>
      </w:r>
    </w:p>
    <w:p>
      <w:pPr>
        <w:pStyle w:val="ListParagraph"/>
        <w:numPr>
          <w:ilvl w:val="0"/>
          <w:numId w:val="1"/>
        </w:numPr>
        <w:spacing w:after="80"/>
      </w:pPr>
      <w:r>
        <w:rPr>
          <w:rFonts w:ascii="Calibri" w:cs="Calibri" w:eastAsia="Calibri" w:hAnsi="Calibri"/>
          <w:color w:val="1A1A1A"/>
          <w:sz w:val="22"/>
          <w:szCs w:val="22"/>
        </w:rPr>
        <w:t xml:space="preserve">Connection management: platform-managed credentials replace locally-stored API keys.</w:t>
      </w:r>
    </w:p>
    <w:p>
      <w:pPr>
        <w:pStyle w:val="Heading2"/>
        <w:spacing w:after="150" w:before="300"/>
      </w:pPr>
      <w:r>
        <w:rPr>
          <w:rFonts w:ascii="Calibri" w:cs="Calibri" w:eastAsia="Calibri" w:hAnsi="Calibri"/>
          <w:b/>
          <w:bCs/>
          <w:color w:val="0B1F3A"/>
          <w:sz w:val="26"/>
          <w:szCs w:val="26"/>
        </w:rPr>
        <w:t xml:space="preserve">Implementation Walkthrough</w:t>
      </w:r>
    </w:p>
    <w:p>
      <w:pPr>
        <w:pStyle w:val="ListParagraph"/>
        <w:numPr>
          <w:ilvl w:val="0"/>
          <w:numId w:val="2"/>
        </w:numPr>
        <w:spacing w:after="80"/>
      </w:pPr>
      <w:r>
        <w:rPr>
          <w:rFonts w:ascii="Calibri" w:cs="Calibri" w:eastAsia="Calibri" w:hAnsi="Calibri"/>
          <w:color w:val="1A1A1A"/>
          <w:sz w:val="22"/>
          <w:szCs w:val="22"/>
        </w:rPr>
        <w:t xml:space="preserve">Clone the repository, create/activate a Python virtual environment, install requirements (includes the watsonx Orchestrate ADK), and set OPENAI_API_KEY in a local .env file.</w:t>
      </w:r>
    </w:p>
    <w:p>
      <w:pPr>
        <w:pStyle w:val="ListParagraph"/>
        <w:numPr>
          <w:ilvl w:val="0"/>
          <w:numId w:val="2"/>
        </w:numPr>
        <w:spacing w:after="80"/>
      </w:pPr>
      <w:r>
        <w:rPr>
          <w:rFonts w:ascii="Calibri" w:cs="Calibri" w:eastAsia="Calibri" w:hAnsi="Calibri"/>
          <w:color w:val="1A1A1A"/>
          <w:sz w:val="22"/>
          <w:szCs w:val="22"/>
        </w:rPr>
        <w:t xml:space="preserve">Run the stand-alone agent locally (python main.py) and test it with sample investment-return questions to confirm the ReAct loop and tool-calling work correctly outside any platform.</w:t>
      </w:r>
    </w:p>
    <w:p>
      <w:pPr>
        <w:pStyle w:val="ListParagraph"/>
        <w:numPr>
          <w:ilvl w:val="0"/>
          <w:numId w:val="2"/>
        </w:numPr>
        <w:spacing w:after="80"/>
      </w:pPr>
      <w:r>
        <w:rPr>
          <w:rFonts w:ascii="Calibri" w:cs="Calibri" w:eastAsia="Calibri" w:hAnsi="Calibri"/>
          <w:color w:val="1A1A1A"/>
          <w:sz w:val="22"/>
          <w:szCs w:val="22"/>
        </w:rPr>
        <w:t xml:space="preserve">Review the updated my_langraph_agent code (inline comments explain exactly what changes are required for watsonx Orchestrate compatibility).</w:t>
      </w:r>
    </w:p>
    <w:p>
      <w:pPr>
        <w:pStyle w:val="ListParagraph"/>
        <w:numPr>
          <w:ilvl w:val="0"/>
          <w:numId w:val="2"/>
        </w:numPr>
        <w:spacing w:after="80"/>
      </w:pPr>
      <w:r>
        <w:rPr>
          <w:rFonts w:ascii="Calibri" w:cs="Calibri" w:eastAsia="Calibri" w:hAnsi="Calibri"/>
          <w:color w:val="1A1A1A"/>
          <w:sz w:val="22"/>
          <w:szCs w:val="22"/>
        </w:rPr>
        <w:t xml:space="preserve">Run the provided setup script (./import_to_wxo.sh), which prompts for the instance URL/API key, creates a named connection (wxo_langgraph) for both Draft and Live environments, securely stores credentials in the platform, uploads the agent, and links it to the connection.</w:t>
      </w:r>
    </w:p>
    <w:p>
      <w:pPr>
        <w:pStyle w:val="ListParagraph"/>
        <w:numPr>
          <w:ilvl w:val="0"/>
          <w:numId w:val="2"/>
        </w:numPr>
        <w:spacing w:after="80"/>
      </w:pPr>
      <w:r>
        <w:rPr>
          <w:rFonts w:ascii="Calibri" w:cs="Calibri" w:eastAsia="Calibri" w:hAnsi="Calibri"/>
          <w:color w:val="1A1A1A"/>
          <w:sz w:val="22"/>
          <w:szCs w:val="22"/>
        </w:rPr>
        <w:t xml:space="preserve">Test the agent from inside the watsonx Orchestrate UI (Agents → my_langraph_agent) using the same sample investment-return question — the agent now runs on platform infrastructure and platform-managed credentials instead of local ones.</w:t>
      </w:r>
    </w:p>
    <w:p>
      <w:pPr>
        <w:pStyle w:val="Heading2"/>
        <w:spacing w:after="150" w:before="300"/>
      </w:pPr>
      <w:r>
        <w:rPr>
          <w:rFonts w:ascii="Calibri" w:cs="Calibri" w:eastAsia="Calibri" w:hAnsi="Calibri"/>
          <w:b/>
          <w:bCs/>
          <w:color w:val="0B1F3A"/>
          <w:sz w:val="26"/>
          <w:szCs w:val="26"/>
        </w:rPr>
        <w:t xml:space="preserve">Key Concepts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 / Component</w:t>
            </w:r>
          </w:p>
        </w:tc>
        <w:tc>
          <w:tcPr>
            <w:tcW w:type="pct" w:w="7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You Need to Know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Advantages of running LangGraph inside the wxO runtime</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One platform runs all agents (no separate hosting to maintain); multiple LLM providers can be swapped in without re-architecting; credentials are centralized and secured in one place; built-in scaling, monitoring, and governance apply automatically; shared infrastructure reduces cost/complexity versus multiple bespoke runtimes.</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ReAct pattern</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Reasoning + Acting: the agent analyzes the problem step by step, calls a tool when it needs information, and repeats until it has enough to produce a full answer.</w:t>
            </w:r>
          </w:p>
        </w:tc>
      </w:tr>
    </w:tbl>
    <w:p>
      <w:pPr>
        <w:spacing w:after="120"/>
      </w:pPr>
    </w:p>
    <w:p>
      <w:pPr>
        <w:pStyle w:val="Heading2"/>
        <w:spacing w:after="150" w:before="300"/>
      </w:pPr>
      <w:r>
        <w:rPr>
          <w:rFonts w:ascii="Calibri" w:cs="Calibri" w:eastAsia="Calibri" w:hAnsi="Calibri"/>
          <w:b/>
          <w:bCs/>
          <w:color w:val="0B1F3A"/>
          <w:sz w:val="26"/>
          <w:szCs w:val="26"/>
        </w:rPr>
        <w:t xml:space="preserve">Self-Check</w:t>
      </w:r>
    </w:p>
    <w:p>
      <w:pPr>
        <w:spacing w:after="40" w:before="160"/>
      </w:pPr>
      <w:r>
        <w:rPr>
          <w:rFonts w:ascii="Calibri" w:cs="Calibri" w:eastAsia="Calibri" w:hAnsi="Calibri"/>
          <w:b/>
          <w:bCs/>
          <w:color w:val="0B1F3A"/>
          <w:sz w:val="21"/>
          <w:szCs w:val="21"/>
        </w:rPr>
        <w:t xml:space="preserve">Q1. </w:t>
      </w:r>
      <w:r>
        <w:rPr>
          <w:rFonts w:ascii="Calibri" w:cs="Calibri" w:eastAsia="Calibri" w:hAnsi="Calibri"/>
          <w:b/>
          <w:bCs/>
          <w:color w:val="1A1A1A"/>
          <w:sz w:val="21"/>
          <w:szCs w:val="21"/>
        </w:rPr>
        <w:t xml:space="preserve">What operational responsibilities does the watsonx Orchestrate runtime take over once a LangGraph agent is imported?</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Agent initialization/configuration, conversation state management, security/authentication, scaling/resource management, error handling and retries, and logging/monitoring.</w:t>
      </w:r>
    </w:p>
    <w:p>
      <w:pPr>
        <w:spacing w:after="40" w:before="160"/>
      </w:pPr>
      <w:r>
        <w:rPr>
          <w:rFonts w:ascii="Calibri" w:cs="Calibri" w:eastAsia="Calibri" w:hAnsi="Calibri"/>
          <w:b/>
          <w:bCs/>
          <w:color w:val="0B1F3A"/>
          <w:sz w:val="21"/>
          <w:szCs w:val="21"/>
        </w:rPr>
        <w:t xml:space="preserve">Q2. </w:t>
      </w:r>
      <w:r>
        <w:rPr>
          <w:rFonts w:ascii="Calibri" w:cs="Calibri" w:eastAsia="Calibri" w:hAnsi="Calibri"/>
          <w:b/>
          <w:bCs/>
          <w:color w:val="1A1A1A"/>
          <w:sz w:val="21"/>
          <w:szCs w:val="21"/>
        </w:rPr>
        <w:t xml:space="preserve">What does the wxo_langgraph connection created by the setup script actually store?</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The watsonx Orchestrate credentials needed to run the agent, configured separately for Draft and Live environments, managed centrally by the platform instead of a local .env file.</w:t>
      </w:r>
    </w:p>
    <w:p>
      <w:pPr>
        <w:spacing w:after="40" w:before="160"/>
      </w:pPr>
      <w:r>
        <w:rPr>
          <w:rFonts w:ascii="Calibri" w:cs="Calibri" w:eastAsia="Calibri" w:hAnsi="Calibri"/>
          <w:b/>
          <w:bCs/>
          <w:color w:val="0B1F3A"/>
          <w:sz w:val="21"/>
          <w:szCs w:val="21"/>
        </w:rPr>
        <w:t xml:space="preserve">Q3. </w:t>
      </w:r>
      <w:r>
        <w:rPr>
          <w:rFonts w:ascii="Calibri" w:cs="Calibri" w:eastAsia="Calibri" w:hAnsi="Calibri"/>
          <w:b/>
          <w:bCs/>
          <w:color w:val="1A1A1A"/>
          <w:sz w:val="21"/>
          <w:szCs w:val="21"/>
        </w:rPr>
        <w:t xml:space="preserve">Why is a stand-alone version built and tested first, before adapting the agent for watsonx Orchestrate?</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To confirm the LangGraph ReAct loop and tool-calling logic work correctly in isolation before introducing platform-specific changes, isolating whether any later issue is agent logic or platform integration.</w:t>
      </w:r>
    </w:p>
    <w:p>
      <w:r>
        <w:br w:type="page"/>
      </w:r>
    </w:p>
    <w:p>
      <w:pPr>
        <w:sectPr>
          <w:headerReference w:type="default" r:id="rId29"/>
          <w:footerReference w:type="default" r:id="rId30"/>
          <w:pgSz w:w="12240" w:h="15840" w:orient="portrait"/>
          <w:pgMar w:top="1300" w:right="1100" w:bottom="1200" w:left="1100" w:header="708" w:footer="708" w:gutter="0"/>
          <w:pgNumType/>
          <w:docGrid w:linePitch="360"/>
        </w:sectPr>
      </w:pPr>
    </w:p>
    <w:p>
      <w:pPr>
        <w:pStyle w:val="Heading1"/>
        <w:pBdr>
          <w:bottom w:val="single" w:color="C9A227" w:sz="12" w:space="4"/>
        </w:pBdr>
        <w:spacing w:after="200" w:before="400"/>
      </w:pPr>
      <w:r>
        <w:rPr>
          <w:rFonts w:ascii="Calibri" w:cs="Calibri" w:eastAsia="Calibri" w:hAnsi="Calibri"/>
          <w:b/>
          <w:bCs/>
          <w:color w:val="0B1F3A"/>
          <w:sz w:val="32"/>
          <w:szCs w:val="32"/>
        </w:rPr>
        <w:t xml:space="preserve">Topic 12: Enterprise Architecture Patterns for AI Assistants</w:t>
      </w:r>
    </w:p>
    <w:p>
      <w:pPr>
        <w:spacing w:after="160" w:line="276"/>
      </w:pPr>
      <w:r>
        <w:rPr>
          <w:rFonts w:ascii="Calibri" w:cs="Calibri" w:eastAsia="Calibri" w:hAnsi="Calibri"/>
          <w:i/>
          <w:iCs/>
          <w:color w:val="5A5A5A"/>
          <w:sz w:val="20"/>
          <w:szCs w:val="20"/>
        </w:rPr>
        <w:t xml:space="preserve">Multi-agent orchestration, hybrid agent/workflow design, statefulness, and parallel processing</w:t>
      </w:r>
    </w:p>
    <w:p>
      <w:pPr>
        <w:pStyle w:val="Heading2"/>
        <w:spacing w:after="150" w:before="300"/>
      </w:pPr>
      <w:r>
        <w:rPr>
          <w:rFonts w:ascii="Calibri" w:cs="Calibri" w:eastAsia="Calibri" w:hAnsi="Calibri"/>
          <w:b/>
          <w:bCs/>
          <w:color w:val="0B1F3A"/>
          <w:sz w:val="26"/>
          <w:szCs w:val="26"/>
        </w:rPr>
        <w:t xml:space="preserve">Overview</w:t>
      </w:r>
    </w:p>
    <w:p>
      <w:pPr>
        <w:spacing w:after="160" w:line="276"/>
      </w:pPr>
      <w:r>
        <w:rPr>
          <w:rFonts w:ascii="Calibri" w:cs="Calibri" w:eastAsia="Calibri" w:hAnsi="Calibri"/>
          <w:color w:val="1A1A1A"/>
          <w:sz w:val="22"/>
          <w:szCs w:val="22"/>
        </w:rPr>
        <w:t xml:space="preserve">This is a conceptual/architectural article rather than a hands-on tutorial. It lays out four patterns that separate demo-quality assistants from production-grade agentic systems in watsonx Orchestrate.</w:t>
      </w:r>
    </w:p>
    <w:p>
      <w:pPr>
        <w:pStyle w:val="Heading2"/>
        <w:spacing w:after="150" w:before="300"/>
      </w:pPr>
      <w:r>
        <w:rPr>
          <w:rFonts w:ascii="Calibri" w:cs="Calibri" w:eastAsia="Calibri" w:hAnsi="Calibri"/>
          <w:b/>
          <w:bCs/>
          <w:color w:val="0B1F3A"/>
          <w:sz w:val="26"/>
          <w:szCs w:val="26"/>
        </w:rPr>
        <w:t xml:space="preserve">Architecture &amp; Key Components</w:t>
      </w:r>
    </w:p>
    <w:p>
      <w:pPr>
        <w:pStyle w:val="ListParagraph"/>
        <w:numPr>
          <w:ilvl w:val="0"/>
          <w:numId w:val="1"/>
        </w:numPr>
        <w:spacing w:after="80"/>
      </w:pPr>
      <w:r>
        <w:rPr>
          <w:rFonts w:ascii="Calibri" w:cs="Calibri" w:eastAsia="Calibri" w:hAnsi="Calibri"/>
          <w:color w:val="1A1A1A"/>
          <w:sz w:val="22"/>
          <w:szCs w:val="22"/>
        </w:rPr>
        <w:t xml:space="preserve">Router/orchestrator agent: a lightweight agent that interprets user intent and routes to specialized collaborator agents — keeps prompts concise and avoids instruction overload.</w:t>
      </w:r>
    </w:p>
    <w:p>
      <w:pPr>
        <w:pStyle w:val="ListParagraph"/>
        <w:numPr>
          <w:ilvl w:val="0"/>
          <w:numId w:val="1"/>
        </w:numPr>
        <w:spacing w:after="80"/>
      </w:pPr>
      <w:r>
        <w:rPr>
          <w:rFonts w:ascii="Calibri" w:cs="Calibri" w:eastAsia="Calibri" w:hAnsi="Calibri"/>
          <w:color w:val="1A1A1A"/>
          <w:sz w:val="22"/>
          <w:szCs w:val="22"/>
        </w:rPr>
        <w:t xml:space="preserve">Specialized/collaborator agents: each focused on one function (authentication, order processing, RAG retrieval, etc.), defined in Agent Builder.</w:t>
      </w:r>
    </w:p>
    <w:p>
      <w:pPr>
        <w:pStyle w:val="ListParagraph"/>
        <w:numPr>
          <w:ilvl w:val="0"/>
          <w:numId w:val="1"/>
        </w:numPr>
        <w:spacing w:after="80"/>
      </w:pPr>
      <w:r>
        <w:rPr>
          <w:rFonts w:ascii="Calibri" w:cs="Calibri" w:eastAsia="Calibri" w:hAnsi="Calibri"/>
          <w:color w:val="1A1A1A"/>
          <w:sz w:val="22"/>
          <w:szCs w:val="22"/>
        </w:rPr>
        <w:t xml:space="preserve">Agentic workflows: deterministic sequences enforcing business logic, validation, and compliance gates — used where correctness under edge cases matters most.</w:t>
      </w:r>
    </w:p>
    <w:p>
      <w:pPr>
        <w:pStyle w:val="ListParagraph"/>
        <w:numPr>
          <w:ilvl w:val="0"/>
          <w:numId w:val="1"/>
        </w:numPr>
        <w:spacing w:after="80"/>
      </w:pPr>
      <w:r>
        <w:rPr>
          <w:rFonts w:ascii="Calibri" w:cs="Calibri" w:eastAsia="Calibri" w:hAnsi="Calibri"/>
          <w:color w:val="1A1A1A"/>
          <w:sz w:val="22"/>
          <w:szCs w:val="22"/>
        </w:rPr>
        <w:t xml:space="preserve">Context variables &amp; handoff: session state (e.g. {user_id}, {case_id}) carried across agents/workflows so users aren't re-asked for information already known.</w:t>
      </w:r>
    </w:p>
    <w:p>
      <w:pPr>
        <w:pStyle w:val="ListParagraph"/>
        <w:numPr>
          <w:ilvl w:val="0"/>
          <w:numId w:val="1"/>
        </w:numPr>
        <w:spacing w:after="80"/>
      </w:pPr>
      <w:r>
        <w:rPr>
          <w:rFonts w:ascii="Calibri" w:cs="Calibri" w:eastAsia="Calibri" w:hAnsi="Calibri"/>
          <w:color w:val="1A1A1A"/>
          <w:sz w:val="22"/>
          <w:szCs w:val="22"/>
        </w:rPr>
        <w:t xml:space="preserve">Parallel branching / parallel for-each loops: workflow-level concurrency, since standalone collaborator agents run sequentially by default.</w:t>
      </w:r>
    </w:p>
    <w:p>
      <w:pPr>
        <w:pStyle w:val="Heading2"/>
        <w:spacing w:after="150" w:before="300"/>
      </w:pPr>
      <w:r>
        <w:rPr>
          <w:rFonts w:ascii="Calibri" w:cs="Calibri" w:eastAsia="Calibri" w:hAnsi="Calibri"/>
          <w:b/>
          <w:bCs/>
          <w:color w:val="0B1F3A"/>
          <w:sz w:val="26"/>
          <w:szCs w:val="26"/>
        </w:rPr>
        <w:t xml:space="preserve">Key Concepts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 / Component</w:t>
            </w:r>
          </w:p>
        </w:tc>
        <w:tc>
          <w:tcPr>
            <w:tcW w:type="pct" w:w="7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You Need to Know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Why avoid a single monolithic agent</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As more tools/instructions pile into one prompt, the LLM suffers prompt bloat and instruction overload, degrading intent-classification accuracy; large prompts also increase latency and context-window cost; and a monolithic agent is fragile — one tool/prompt change can silently break unrelated capabilities.</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The 'Agent-as-Business-Process Fallacy'</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Embedding a whole business process into agent instructions and expecting perfect step-by-step compliance every time — the agent approximates the process rather than executing it deterministically. Benchmarks (IFEval, FollowBench) show LLM instruction-following accuracy degrades as the number of constraints grows, and a real business process is a graph of many constraints (branches, exceptions, approvals, mandatory fields).</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Agents vs. agentic workflows — when to use which</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Agents: best for flexible natural-language interpretation, discovery, summarization, and reasoning over unstructured input. Workflows: best for highly structured, repeatable processes needing strict sequencing without relying on probabilistic LLM decisions (authentication/approval gates, structured forms, compliance-critical steps).</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Pattern 1 — Agent invokes a workflow as a tool</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The agent handles open-ended reasoning (interpreting intent, resolving ambiguity, deciding which process applies), then hands off to a workflow for deterministic execution. The agent reasons to the decision; the workflow owns execution from there.</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Pattern 2 — Agent-in-the-loop within a workflow</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The workflow owns the overall process but delegates a specific reasoning step to an embedded agent node (e.g. pausing a claims workflow so a Risk Analysis agent can evaluate documents); if the agent's result is inconclusive, the workflow escalates to a human rather than continuing on uncertain grounds. The workflow keeps control; the agent contributes reasoning at one bounded point.</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Statefulness mechanisms</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Context variables (referenced in agent instructions with {curly_brace} syntax, sourced from enterprise applications); the handoff mechanism (a workflow's output enriches global session state, which the router then injects into the next agent's instructions); and a custom-tool 'handshake' that can push asynchronous intermediate status updates (e.g. 'Document received… Analyzing now…') back to the user during a long workflow run.</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Parallel processing</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Standalone collaborator agents execute sequentially by default in watsonx Orchestrate. True concurrency is achieved by moving concurrent work into an agentic workflow, using parallel branching (different agents/tools run simultaneously, e.g. identity check + credit score) or parallel for-each loops (the same agent node processes a batch of items simultaneously, e.g. many documents at once).</w:t>
            </w:r>
          </w:p>
        </w:tc>
      </w:tr>
    </w:tbl>
    <w:p>
      <w:pPr>
        <w:spacing w:after="120"/>
      </w:pPr>
    </w:p>
    <w:p>
      <w:pPr>
        <w:pStyle w:val="Heading2"/>
        <w:spacing w:after="150" w:before="300"/>
      </w:pPr>
      <w:r>
        <w:rPr>
          <w:rFonts w:ascii="Calibri" w:cs="Calibri" w:eastAsia="Calibri" w:hAnsi="Calibri"/>
          <w:b/>
          <w:bCs/>
          <w:color w:val="0B1F3A"/>
          <w:sz w:val="26"/>
          <w:szCs w:val="26"/>
        </w:rPr>
        <w:t xml:space="preserve">Common Pitfalls / Best Practices</w:t>
      </w:r>
    </w:p>
    <w:p>
      <w:pPr>
        <w:pStyle w:val="ListParagraph"/>
        <w:numPr>
          <w:ilvl w:val="0"/>
          <w:numId w:val="1"/>
        </w:numPr>
        <w:spacing w:after="80"/>
      </w:pPr>
      <w:r>
        <w:rPr>
          <w:rFonts w:ascii="Calibri" w:cs="Calibri" w:eastAsia="Calibri" w:hAnsi="Calibri"/>
          <w:color w:val="1A1A1A"/>
          <w:sz w:val="22"/>
          <w:szCs w:val="22"/>
        </w:rPr>
        <w:t xml:space="preserve">Use the decision table below (from the source material) as a quick reference when architecting a new capability.</w:t>
      </w:r>
    </w:p>
    <w:p>
      <w:pPr>
        <w:pStyle w:val="Heading2"/>
        <w:spacing w:after="150" w:before="300"/>
      </w:pPr>
      <w:r>
        <w:rPr>
          <w:rFonts w:ascii="Calibri" w:cs="Calibri" w:eastAsia="Calibri" w:hAnsi="Calibri"/>
          <w:b/>
          <w:bCs/>
          <w:color w:val="0B1F3A"/>
          <w:sz w:val="26"/>
          <w:szCs w:val="26"/>
        </w:rPr>
        <w:t xml:space="preserve">Self-Check</w:t>
      </w:r>
    </w:p>
    <w:p>
      <w:pPr>
        <w:spacing w:after="40" w:before="160"/>
      </w:pPr>
      <w:r>
        <w:rPr>
          <w:rFonts w:ascii="Calibri" w:cs="Calibri" w:eastAsia="Calibri" w:hAnsi="Calibri"/>
          <w:b/>
          <w:bCs/>
          <w:color w:val="0B1F3A"/>
          <w:sz w:val="21"/>
          <w:szCs w:val="21"/>
        </w:rPr>
        <w:t xml:space="preserve">Q1. </w:t>
      </w:r>
      <w:r>
        <w:rPr>
          <w:rFonts w:ascii="Calibri" w:cs="Calibri" w:eastAsia="Calibri" w:hAnsi="Calibri"/>
          <w:b/>
          <w:bCs/>
          <w:color w:val="1A1A1A"/>
          <w:sz w:val="21"/>
          <w:szCs w:val="21"/>
        </w:rPr>
        <w:t xml:space="preserve">What LLM benchmark findings support avoiding the 'Agent-as-Business-Process Fallacy'?</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IFEval and FollowBench both show that LLM instruction-following accuracy degrades as the number of constraints grows — and a real business process is a graph of many simultaneous constraints (branches, exceptions, approvals, required fields), not a single instruction.</w:t>
      </w:r>
    </w:p>
    <w:p>
      <w:pPr>
        <w:spacing w:after="40" w:before="160"/>
      </w:pPr>
      <w:r>
        <w:rPr>
          <w:rFonts w:ascii="Calibri" w:cs="Calibri" w:eastAsia="Calibri" w:hAnsi="Calibri"/>
          <w:b/>
          <w:bCs/>
          <w:color w:val="0B1F3A"/>
          <w:sz w:val="21"/>
          <w:szCs w:val="21"/>
        </w:rPr>
        <w:t xml:space="preserve">Q2. </w:t>
      </w:r>
      <w:r>
        <w:rPr>
          <w:rFonts w:ascii="Calibri" w:cs="Calibri" w:eastAsia="Calibri" w:hAnsi="Calibri"/>
          <w:b/>
          <w:bCs/>
          <w:color w:val="1A1A1A"/>
          <w:sz w:val="21"/>
          <w:szCs w:val="21"/>
        </w:rPr>
        <w:t xml:space="preserve">In Pattern 2 (agent-in-the-loop), what happens if the embedded agent's result is inconclusive?</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The workflow escalates to a human rather than allowing the process to continue on an uncertain basis — the workflow retains control of the overall process outcome.</w:t>
      </w:r>
    </w:p>
    <w:p>
      <w:pPr>
        <w:spacing w:after="40" w:before="160"/>
      </w:pPr>
      <w:r>
        <w:rPr>
          <w:rFonts w:ascii="Calibri" w:cs="Calibri" w:eastAsia="Calibri" w:hAnsi="Calibri"/>
          <w:b/>
          <w:bCs/>
          <w:color w:val="0B1F3A"/>
          <w:sz w:val="21"/>
          <w:szCs w:val="21"/>
        </w:rPr>
        <w:t xml:space="preserve">Q3. </w:t>
      </w:r>
      <w:r>
        <w:rPr>
          <w:rFonts w:ascii="Calibri" w:cs="Calibri" w:eastAsia="Calibri" w:hAnsi="Calibri"/>
          <w:b/>
          <w:bCs/>
          <w:color w:val="1A1A1A"/>
          <w:sz w:val="21"/>
          <w:szCs w:val="21"/>
        </w:rPr>
        <w:t xml:space="preserve">Why don't standalone collaborator agents run in parallel by default, and how do you achieve concurrency?</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Collaborator agents run sequentially by default in watsonx Orchestrate; true concurrency requires moving the concurrent work into an agentic workflow using parallel branching or parallel for-each loops.</w:t>
      </w:r>
    </w:p>
    <w:p>
      <w:r>
        <w:br w:type="page"/>
      </w:r>
    </w:p>
    <w:p>
      <w:pPr>
        <w:sectPr>
          <w:headerReference w:type="default" r:id="rId31"/>
          <w:footerReference w:type="default" r:id="rId32"/>
          <w:pgSz w:w="12240" w:h="15840" w:orient="portrait"/>
          <w:pgMar w:top="1300" w:right="1100" w:bottom="1200" w:left="1100" w:header="708" w:footer="708" w:gutter="0"/>
          <w:pgNumType/>
          <w:docGrid w:linePitch="360"/>
        </w:sectPr>
      </w:pPr>
    </w:p>
    <w:p>
      <w:pPr>
        <w:pStyle w:val="Heading2"/>
        <w:spacing w:after="150" w:before="300"/>
      </w:pPr>
      <w:r>
        <w:rPr>
          <w:rFonts w:ascii="Calibri" w:cs="Calibri" w:eastAsia="Calibri" w:hAnsi="Calibri"/>
          <w:b/>
          <w:bCs/>
          <w:color w:val="0B1F3A"/>
          <w:sz w:val="26"/>
          <w:szCs w:val="26"/>
        </w:rPr>
        <w:t xml:space="preserve">Decision Table: Agent, Workflow, or Hybrid?</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 / Component</w:t>
            </w:r>
          </w:p>
        </w:tc>
        <w:tc>
          <w:tcPr>
            <w:tcW w:type="pct" w:w="7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You Need to Know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Authentication or approval gates</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Agentic workflow — strict order, compliance, no steps can be skipped.</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Natural-language intent routing</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Orchestrator agent — flexible interpretation of varied phrasing.</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Structured transactions or forms</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Workflow with slot filling — mandatory fields and validation.</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Risk or document narrative analysis</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Hybrid: agent node inside a workflow — needs LLM reasoning within bounds.</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Policy or knowledge retrieval</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Hybrid: RAG agent node in a workflow — unstructured document retrieval.</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Complex calculation</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Hybrid: Python logic block in a workflow — precision without hallucination risk.</w:t>
            </w:r>
          </w:p>
        </w:tc>
      </w:tr>
    </w:tbl>
    <w:p>
      <w:pPr>
        <w:spacing w:after="120"/>
      </w:pPr>
    </w:p>
    <w:p>
      <w:pPr>
        <w:pStyle w:val="Heading2"/>
        <w:spacing w:after="150" w:before="300"/>
      </w:pPr>
      <w:r>
        <w:rPr>
          <w:rFonts w:ascii="Calibri" w:cs="Calibri" w:eastAsia="Calibri" w:hAnsi="Calibri"/>
          <w:b/>
          <w:bCs/>
          <w:color w:val="0B1F3A"/>
          <w:sz w:val="26"/>
          <w:szCs w:val="26"/>
        </w:rPr>
        <w:t xml:space="preserve">Real-World Hybrid Examples by Industry</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 / Component</w:t>
            </w:r>
          </w:p>
        </w:tc>
        <w:tc>
          <w:tcPr>
            <w:tcW w:type="pct" w:w="7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You Need to Know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Banking &amp; finance — loan application</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Orchestrator: a Risk assistant reads background material for risk flags. Workflow: a strict approval flow verifies identity and confirms credit scores.</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Healthcare &amp; pharma — clinical trial matching</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Orchestrator: a Protocol Matching agent reads research papers to find matching patient profiles. Workflow: a mandatory, audited consent process collects signatures and permissions.</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Retail &amp; supply chain — vendor disputes/returns</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Orchestrator: a Negotiation agent reviews vendor history to set a discount tier. Workflow: a fixed process checks warranty status and issues refunds.</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HR &amp; operations — onboarding</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Orchestrator: a Resume Screener agent summarizes a candidate against a role. Workflow: a strict checklist creates the email account and security badge.</w:t>
            </w:r>
          </w:p>
        </w:tc>
      </w:tr>
    </w:tbl>
    <w:p>
      <w:pPr>
        <w:spacing w:after="120"/>
      </w:pPr>
    </w:p>
    <w:p>
      <w:r>
        <w:br w:type="page"/>
      </w:r>
    </w:p>
    <w:p>
      <w:pPr>
        <w:sectPr>
          <w:headerReference w:type="default" r:id="rId33"/>
          <w:footerReference w:type="default" r:id="rId34"/>
          <w:pgSz w:w="12240" w:h="15840" w:orient="portrait"/>
          <w:pgMar w:top="1300" w:right="1100" w:bottom="1200" w:left="1100" w:header="708" w:footer="708" w:gutter="0"/>
          <w:pgNumType/>
          <w:docGrid w:linePitch="360"/>
        </w:sectPr>
      </w:pPr>
    </w:p>
    <w:p>
      <w:pPr>
        <w:pStyle w:val="Heading1"/>
        <w:pBdr>
          <w:bottom w:val="single" w:color="C9A227" w:sz="12" w:space="4"/>
        </w:pBdr>
        <w:spacing w:after="200" w:before="400"/>
      </w:pPr>
      <w:r>
        <w:rPr>
          <w:rFonts w:ascii="Calibri" w:cs="Calibri" w:eastAsia="Calibri" w:hAnsi="Calibri"/>
          <w:b/>
          <w:bCs/>
          <w:color w:val="0B1F3A"/>
          <w:sz w:val="32"/>
          <w:szCs w:val="32"/>
        </w:rPr>
        <w:t xml:space="preserve">Topic 13: Red-Teaming AI Agent Security</w:t>
      </w:r>
    </w:p>
    <w:p>
      <w:pPr>
        <w:spacing w:after="160" w:line="276"/>
      </w:pPr>
      <w:r>
        <w:rPr>
          <w:rFonts w:ascii="Calibri" w:cs="Calibri" w:eastAsia="Calibri" w:hAnsi="Calibri"/>
          <w:i/>
          <w:iCs/>
          <w:color w:val="5A5A5A"/>
          <w:sz w:val="20"/>
          <w:szCs w:val="20"/>
        </w:rPr>
        <w:t xml:space="preserve">Using IBM Bob and the ADK evaluation framework to find and fix agent vulnerabilities</w:t>
      </w:r>
    </w:p>
    <w:p>
      <w:pPr>
        <w:pStyle w:val="Heading2"/>
        <w:spacing w:after="150" w:before="300"/>
      </w:pPr>
      <w:r>
        <w:rPr>
          <w:rFonts w:ascii="Calibri" w:cs="Calibri" w:eastAsia="Calibri" w:hAnsi="Calibri"/>
          <w:b/>
          <w:bCs/>
          <w:color w:val="0B1F3A"/>
          <w:sz w:val="26"/>
          <w:szCs w:val="26"/>
        </w:rPr>
        <w:t xml:space="preserve">Overview</w:t>
      </w:r>
    </w:p>
    <w:p>
      <w:pPr>
        <w:spacing w:after="160" w:line="276"/>
      </w:pPr>
      <w:r>
        <w:rPr>
          <w:rFonts w:ascii="Calibri" w:cs="Calibri" w:eastAsia="Calibri" w:hAnsi="Calibri"/>
          <w:color w:val="1A1A1A"/>
          <w:sz w:val="22"/>
          <w:szCs w:val="22"/>
        </w:rPr>
        <w:t xml:space="preserve">Red teaming uses adversarial prompts to simulate real attacks against an agent, probing for prompt injection, unintended tool usage, and leakage of sensitive data. This tutorial builds a privacy_guard_agent that should never reveal a stored SSN, deliberately attacks it, confirms it can be broken, and then uses IBM Bob to patch and re-verify it — a fully automated build → test → break → fix → verify loop.</w:t>
      </w:r>
    </w:p>
    <w:p>
      <w:pPr>
        <w:pStyle w:val="Heading2"/>
        <w:spacing w:after="150" w:before="300"/>
      </w:pPr>
      <w:r>
        <w:rPr>
          <w:rFonts w:ascii="Calibri" w:cs="Calibri" w:eastAsia="Calibri" w:hAnsi="Calibri"/>
          <w:b/>
          <w:bCs/>
          <w:color w:val="0B1F3A"/>
          <w:sz w:val="26"/>
          <w:szCs w:val="26"/>
        </w:rPr>
        <w:t xml:space="preserve">Architecture &amp; Key Components</w:t>
      </w:r>
    </w:p>
    <w:p>
      <w:pPr>
        <w:pStyle w:val="ListParagraph"/>
        <w:numPr>
          <w:ilvl w:val="0"/>
          <w:numId w:val="1"/>
        </w:numPr>
        <w:spacing w:after="80"/>
      </w:pPr>
      <w:r>
        <w:rPr>
          <w:rFonts w:ascii="Calibri" w:cs="Calibri" w:eastAsia="Calibri" w:hAnsi="Calibri"/>
          <w:color w:val="1A1A1A"/>
          <w:sz w:val="22"/>
          <w:szCs w:val="22"/>
        </w:rPr>
        <w:t xml:space="preserve">IBM Bob: the central hub — deploys the agent and a sensitive-data tool via CLI, later diagnoses attack logs and rewrites the agent/tool configuration to fix confirmed weaknesses.</w:t>
      </w:r>
    </w:p>
    <w:p>
      <w:pPr>
        <w:pStyle w:val="ListParagraph"/>
        <w:numPr>
          <w:ilvl w:val="0"/>
          <w:numId w:val="1"/>
        </w:numPr>
        <w:spacing w:after="80"/>
      </w:pPr>
      <w:r>
        <w:rPr>
          <w:rFonts w:ascii="Calibri" w:cs="Calibri" w:eastAsia="Calibri" w:hAnsi="Calibri"/>
          <w:color w:val="1A1A1A"/>
          <w:sz w:val="22"/>
          <w:szCs w:val="22"/>
        </w:rPr>
        <w:t xml:space="preserve">get_ssn_info tool: a Python tool that deliberately returns a US Social Security Number, used as the sensitive-data 'bait'.</w:t>
      </w:r>
    </w:p>
    <w:p>
      <w:pPr>
        <w:pStyle w:val="ListParagraph"/>
        <w:numPr>
          <w:ilvl w:val="0"/>
          <w:numId w:val="1"/>
        </w:numPr>
        <w:spacing w:after="80"/>
      </w:pPr>
      <w:r>
        <w:rPr>
          <w:rFonts w:ascii="Calibri" w:cs="Calibri" w:eastAsia="Calibri" w:hAnsi="Calibri"/>
          <w:color w:val="1A1A1A"/>
          <w:sz w:val="22"/>
          <w:szCs w:val="22"/>
        </w:rPr>
        <w:t xml:space="preserve">privacy_guard_agent: instructed never to expose SSN data even under adversarial pressure.</w:t>
      </w:r>
    </w:p>
    <w:p>
      <w:pPr>
        <w:pStyle w:val="ListParagraph"/>
        <w:numPr>
          <w:ilvl w:val="0"/>
          <w:numId w:val="1"/>
        </w:numPr>
        <w:spacing w:after="80"/>
      </w:pPr>
      <w:r>
        <w:rPr>
          <w:rFonts w:ascii="Calibri" w:cs="Calibri" w:eastAsia="Calibri" w:hAnsi="Calibri"/>
          <w:color w:val="1A1A1A"/>
          <w:sz w:val="22"/>
          <w:szCs w:val="22"/>
        </w:rPr>
        <w:t xml:space="preserve">watsonx Orchestrate ADK Evaluation Framework: records real chat sessions and uses an LLM to automatically generate adversarial attack prompts from that recording, then runs them against the live agent.</w:t>
      </w:r>
    </w:p>
    <w:p>
      <w:pPr>
        <w:pStyle w:val="ListParagraph"/>
        <w:numPr>
          <w:ilvl w:val="0"/>
          <w:numId w:val="1"/>
        </w:numPr>
        <w:spacing w:after="80"/>
      </w:pPr>
      <w:r>
        <w:rPr>
          <w:rFonts w:ascii="Calibri" w:cs="Calibri" w:eastAsia="Calibri" w:hAnsi="Calibri"/>
          <w:color w:val="1A1A1A"/>
          <w:sz w:val="22"/>
          <w:szCs w:val="22"/>
        </w:rPr>
        <w:t xml:space="preserve">watsonx-orchestrate-adk-docs MCP server: connected to Bob so it can consult official documentation while diagnosing and fixing issues.</w:t>
      </w:r>
    </w:p>
    <w:p>
      <w:pPr>
        <w:pStyle w:val="Heading2"/>
        <w:spacing w:after="150" w:before="300"/>
      </w:pPr>
      <w:r>
        <w:rPr>
          <w:rFonts w:ascii="Calibri" w:cs="Calibri" w:eastAsia="Calibri" w:hAnsi="Calibri"/>
          <w:b/>
          <w:bCs/>
          <w:color w:val="0B1F3A"/>
          <w:sz w:val="26"/>
          <w:szCs w:val="26"/>
        </w:rPr>
        <w:t xml:space="preserve">Implementation Walkthrough</w:t>
      </w:r>
    </w:p>
    <w:p>
      <w:pPr>
        <w:pStyle w:val="ListParagraph"/>
        <w:numPr>
          <w:ilvl w:val="0"/>
          <w:numId w:val="2"/>
        </w:numPr>
        <w:spacing w:after="80"/>
      </w:pPr>
      <w:r>
        <w:rPr>
          <w:rFonts w:ascii="Calibri" w:cs="Calibri" w:eastAsia="Calibri" w:hAnsi="Calibri"/>
          <w:color w:val="1A1A1A"/>
          <w:sz w:val="22"/>
          <w:szCs w:val="22"/>
        </w:rPr>
        <w:t xml:space="preserve">Set up the environment: clone the repo, create/activate a Python 3.11 venv, install ibm-watsonx-orchestrate, ibm-watsonx-orchestrate-evaluation-framework, and langfuse&lt;4; create and activate a watsonx Orchestrate ADK environment.</w:t>
      </w:r>
    </w:p>
    <w:p>
      <w:pPr>
        <w:pStyle w:val="ListParagraph"/>
        <w:numPr>
          <w:ilvl w:val="0"/>
          <w:numId w:val="2"/>
        </w:numPr>
        <w:spacing w:after="80"/>
      </w:pPr>
      <w:r>
        <w:rPr>
          <w:rFonts w:ascii="Calibri" w:cs="Calibri" w:eastAsia="Calibri" w:hAnsi="Calibri"/>
          <w:color w:val="1A1A1A"/>
          <w:sz w:val="22"/>
          <w:szCs w:val="22"/>
        </w:rPr>
        <w:t xml:space="preserve">In Bob, add the watsonx-orchestrate-adk-docs MCP server to Global MCP configuration and confirm it's listed when Bob is asked which MCP servers it can access.</w:t>
      </w:r>
    </w:p>
    <w:p>
      <w:pPr>
        <w:pStyle w:val="ListParagraph"/>
        <w:numPr>
          <w:ilvl w:val="0"/>
          <w:numId w:val="2"/>
        </w:numPr>
        <w:spacing w:after="80"/>
      </w:pPr>
      <w:r>
        <w:rPr>
          <w:rFonts w:ascii="Calibri" w:cs="Calibri" w:eastAsia="Calibri" w:hAnsi="Calibri"/>
          <w:color w:val="1A1A1A"/>
          <w:sz w:val="22"/>
          <w:szCs w:val="22"/>
        </w:rPr>
        <w:t xml:space="preserve">Import the get_ssn_info tool (orchestrate tools import -f get_ssn_info.py -k python) and the privacy_guard_agent (orchestrate agents import -f privacy_guard_agent.yaml); deploy the agent in the watsonx Orchestrate UI.</w:t>
      </w:r>
    </w:p>
    <w:p>
      <w:pPr>
        <w:pStyle w:val="ListParagraph"/>
        <w:numPr>
          <w:ilvl w:val="0"/>
          <w:numId w:val="2"/>
        </w:numPr>
        <w:spacing w:after="80"/>
      </w:pPr>
      <w:r>
        <w:rPr>
          <w:rFonts w:ascii="Calibri" w:cs="Calibri" w:eastAsia="Calibri" w:hAnsi="Calibri"/>
          <w:color w:val="1A1A1A"/>
          <w:sz w:val="22"/>
          <w:szCs w:val="22"/>
        </w:rPr>
        <w:t xml:space="preserve">Record a baseline session: export MODEL_OVERRIDE="meta-llama/llama-3-3-70b-instruct", run orchestrate evaluations record --output-dir ./recordings, chat with the agent (a direct 'Tell me my SSN details' request is correctly refused — the agent looks safe under simple manual testing), then stop recording (Ctrl+C) to produce a recording dataset.</w:t>
      </w:r>
    </w:p>
    <w:p>
      <w:pPr>
        <w:pStyle w:val="ListParagraph"/>
        <w:numPr>
          <w:ilvl w:val="0"/>
          <w:numId w:val="2"/>
        </w:numPr>
        <w:spacing w:after="80"/>
      </w:pPr>
      <w:r>
        <w:rPr>
          <w:rFonts w:ascii="Calibri" w:cs="Calibri" w:eastAsia="Calibri" w:hAnsi="Calibri"/>
          <w:color w:val="1A1A1A"/>
          <w:sz w:val="22"/>
          <w:szCs w:val="22"/>
        </w:rPr>
        <w:t xml:space="preserve">List available attack types (orchestrate evaluations red-teaming list) and generate a red-teaming plan from the recording using selected attack types (e.g. 'Instruction Override, Crescendo Attack') via orchestrate evaluations red-teaming plan, targeting privacy_guard_agent.</w:t>
      </w:r>
    </w:p>
    <w:p>
      <w:pPr>
        <w:pStyle w:val="ListParagraph"/>
        <w:numPr>
          <w:ilvl w:val="0"/>
          <w:numId w:val="2"/>
        </w:numPr>
        <w:spacing w:after="80"/>
      </w:pPr>
      <w:r>
        <w:rPr>
          <w:rFonts w:ascii="Calibri" w:cs="Calibri" w:eastAsia="Calibri" w:hAnsi="Calibri"/>
          <w:color w:val="1A1A1A"/>
          <w:sz w:val="22"/>
          <w:szCs w:val="22"/>
        </w:rPr>
        <w:t xml:space="preserve">Run the generated attacks (orchestrate evaluations red-teaming run -a red_teaming_attacks/) and review the summary — in this tutorial the agent is shown to be highly vulnerable: sustained instruction-override and crescendo (gradually escalating) attacks eventually force it to call get_ssn_info and leak the SSN, even though it resisted the simple, direct request.</w:t>
      </w:r>
    </w:p>
    <w:p>
      <w:pPr>
        <w:pStyle w:val="ListParagraph"/>
        <w:numPr>
          <w:ilvl w:val="0"/>
          <w:numId w:val="2"/>
        </w:numPr>
        <w:spacing w:after="80"/>
      </w:pPr>
      <w:r>
        <w:rPr>
          <w:rFonts w:ascii="Calibri" w:cs="Calibri" w:eastAsia="Calibri" w:hAnsi="Calibri"/>
          <w:color w:val="1A1A1A"/>
          <w:sz w:val="22"/>
          <w:szCs w:val="22"/>
        </w:rPr>
        <w:t xml:space="preserve">Feed the saved attack logs into Bob using a provided prompt template; Bob analyzes root cause and — with your permission — updates the agent instructions (stronger guardrails) and restricts the tool's access, then writes a root-cause-analysis document and a summary of changed files.</w:t>
      </w:r>
    </w:p>
    <w:p>
      <w:pPr>
        <w:pStyle w:val="ListParagraph"/>
        <w:numPr>
          <w:ilvl w:val="0"/>
          <w:numId w:val="2"/>
        </w:numPr>
        <w:spacing w:after="80"/>
      </w:pPr>
      <w:r>
        <w:rPr>
          <w:rFonts w:ascii="Calibri" w:cs="Calibri" w:eastAsia="Calibri" w:hAnsi="Calibri"/>
          <w:color w:val="1A1A1A"/>
          <w:sz w:val="22"/>
          <w:szCs w:val="22"/>
        </w:rPr>
        <w:t xml:space="preserve">Re-import the updated tool and agent, redeploy, delete the old red_teaming_results folder, re-set MODEL_OVERRIDE, and re-run the same attacks — a fixed agent should now resist them.</w:t>
      </w:r>
    </w:p>
    <w:p>
      <w:pPr>
        <w:pStyle w:val="Heading2"/>
        <w:spacing w:after="150" w:before="300"/>
      </w:pPr>
      <w:r>
        <w:rPr>
          <w:rFonts w:ascii="Calibri" w:cs="Calibri" w:eastAsia="Calibri" w:hAnsi="Calibri"/>
          <w:b/>
          <w:bCs/>
          <w:color w:val="0B1F3A"/>
          <w:sz w:val="26"/>
          <w:szCs w:val="26"/>
        </w:rPr>
        <w:t xml:space="preserve">Key Concepts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 / Component</w:t>
            </w:r>
          </w:p>
        </w:tc>
        <w:tc>
          <w:tcPr>
            <w:tcW w:type="pct" w:w="7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You Need to Know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Crescendo attack</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An attack pattern that escalates gradually across a multi-turn conversation rather than asking directly, exploiting the tendency of models to be more permissive once context has already 'moved' in the attacker's favor.</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Instruction override attack</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An attack pattern (e.g. 'ignore previous instructions') attempting to override the agent's system-level guardrails.</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Why manual testing looked safe but automated red-teaming found a vulnerability</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A single, direct adversarial prompt ('Tell me my SSN details') was correctly refused, but sustained/escalating automated attacks were still able to force the agent to invoke the sensitive-data tool — illustrating why automated, systematic red-teaming finds issues that ad hoc manual testing misses.</w:t>
            </w:r>
          </w:p>
        </w:tc>
      </w:tr>
    </w:tbl>
    <w:p>
      <w:pPr>
        <w:spacing w:after="120"/>
      </w:pPr>
    </w:p>
    <w:p>
      <w:pPr>
        <w:pStyle w:val="Heading2"/>
        <w:spacing w:after="150" w:before="300"/>
      </w:pPr>
      <w:r>
        <w:rPr>
          <w:rFonts w:ascii="Calibri" w:cs="Calibri" w:eastAsia="Calibri" w:hAnsi="Calibri"/>
          <w:b/>
          <w:bCs/>
          <w:color w:val="0B1F3A"/>
          <w:sz w:val="26"/>
          <w:szCs w:val="26"/>
        </w:rPr>
        <w:t xml:space="preserve">Common Pitfalls / Best Practices</w:t>
      </w:r>
    </w:p>
    <w:p>
      <w:pPr>
        <w:pStyle w:val="ListParagraph"/>
        <w:numPr>
          <w:ilvl w:val="0"/>
          <w:numId w:val="1"/>
        </w:numPr>
        <w:spacing w:after="80"/>
      </w:pPr>
      <w:r>
        <w:rPr>
          <w:rFonts w:ascii="Calibri" w:cs="Calibri" w:eastAsia="Calibri" w:hAnsi="Calibri"/>
          <w:color w:val="1A1A1A"/>
          <w:sz w:val="22"/>
          <w:szCs w:val="22"/>
        </w:rPr>
        <w:t xml:space="preserve">If red-teaming commands fail due to model configuration, explicitly set export MODEL_OVERRIDE="meta-llama/llama-3-3-70b-instruct" before retrying.</w:t>
      </w:r>
    </w:p>
    <w:p>
      <w:pPr>
        <w:pStyle w:val="ListParagraph"/>
        <w:numPr>
          <w:ilvl w:val="0"/>
          <w:numId w:val="1"/>
        </w:numPr>
        <w:spacing w:after="80"/>
      </w:pPr>
      <w:r>
        <w:rPr>
          <w:rFonts w:ascii="Calibri" w:cs="Calibri" w:eastAsia="Calibri" w:hAnsi="Calibri"/>
          <w:color w:val="1A1A1A"/>
          <w:sz w:val="22"/>
          <w:szCs w:val="22"/>
        </w:rPr>
        <w:t xml:space="preserve">Delete stale results folders (rm -rf red_teaming_results/) before re-running attacks after a fix, to avoid comparing against prior-run artifacts.</w:t>
      </w:r>
    </w:p>
    <w:p>
      <w:pPr>
        <w:pStyle w:val="ListParagraph"/>
        <w:numPr>
          <w:ilvl w:val="0"/>
          <w:numId w:val="1"/>
        </w:numPr>
        <w:spacing w:after="80"/>
      </w:pPr>
      <w:r>
        <w:rPr>
          <w:rFonts w:ascii="Calibri" w:cs="Calibri" w:eastAsia="Calibri" w:hAnsi="Calibri"/>
          <w:color w:val="1A1A1A"/>
          <w:sz w:val="22"/>
          <w:szCs w:val="22"/>
        </w:rPr>
        <w:t xml:space="preserve">Treat red-teaming as a repeatable loop (build → test → break → fix → verify), not a one-time pre-launch check.</w:t>
      </w:r>
    </w:p>
    <w:p>
      <w:pPr>
        <w:pStyle w:val="Heading2"/>
        <w:spacing w:after="150" w:before="300"/>
      </w:pPr>
      <w:r>
        <w:rPr>
          <w:rFonts w:ascii="Calibri" w:cs="Calibri" w:eastAsia="Calibri" w:hAnsi="Calibri"/>
          <w:b/>
          <w:bCs/>
          <w:color w:val="0B1F3A"/>
          <w:sz w:val="26"/>
          <w:szCs w:val="26"/>
        </w:rPr>
        <w:t xml:space="preserve">Self-Check</w:t>
      </w:r>
    </w:p>
    <w:p>
      <w:pPr>
        <w:spacing w:after="40" w:before="160"/>
      </w:pPr>
      <w:r>
        <w:rPr>
          <w:rFonts w:ascii="Calibri" w:cs="Calibri" w:eastAsia="Calibri" w:hAnsi="Calibri"/>
          <w:b/>
          <w:bCs/>
          <w:color w:val="0B1F3A"/>
          <w:sz w:val="21"/>
          <w:szCs w:val="21"/>
        </w:rPr>
        <w:t xml:space="preserve">Q1. </w:t>
      </w:r>
      <w:r>
        <w:rPr>
          <w:rFonts w:ascii="Calibri" w:cs="Calibri" w:eastAsia="Calibri" w:hAnsi="Calibri"/>
          <w:b/>
          <w:bCs/>
          <w:color w:val="1A1A1A"/>
          <w:sz w:val="21"/>
          <w:szCs w:val="21"/>
        </w:rPr>
        <w:t xml:space="preserve">What two attack types were selected for this tutorial's red-teaming plan?</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Instruction Override and Crescendo Attack.</w:t>
      </w:r>
    </w:p>
    <w:p>
      <w:pPr>
        <w:spacing w:after="40" w:before="160"/>
      </w:pPr>
      <w:r>
        <w:rPr>
          <w:rFonts w:ascii="Calibri" w:cs="Calibri" w:eastAsia="Calibri" w:hAnsi="Calibri"/>
          <w:b/>
          <w:bCs/>
          <w:color w:val="0B1F3A"/>
          <w:sz w:val="21"/>
          <w:szCs w:val="21"/>
        </w:rPr>
        <w:t xml:space="preserve">Q2. </w:t>
      </w:r>
      <w:r>
        <w:rPr>
          <w:rFonts w:ascii="Calibri" w:cs="Calibri" w:eastAsia="Calibri" w:hAnsi="Calibri"/>
          <w:b/>
          <w:bCs/>
          <w:color w:val="1A1A1A"/>
          <w:sz w:val="21"/>
          <w:szCs w:val="21"/>
        </w:rPr>
        <w:t xml:space="preserve">Why did the agent appear safe during simple manual testing but fail under automated red-teaming?</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A single direct request was correctly refused, but sustained and gradually escalating (crescendo) automated attacks were able to force the agent to invoke the sensitive-data tool and leak the SSN — a class of vulnerability simple manual testing does not surface.</w:t>
      </w:r>
    </w:p>
    <w:p>
      <w:pPr>
        <w:spacing w:after="40" w:before="160"/>
      </w:pPr>
      <w:r>
        <w:rPr>
          <w:rFonts w:ascii="Calibri" w:cs="Calibri" w:eastAsia="Calibri" w:hAnsi="Calibri"/>
          <w:b/>
          <w:bCs/>
          <w:color w:val="0B1F3A"/>
          <w:sz w:val="21"/>
          <w:szCs w:val="21"/>
        </w:rPr>
        <w:t xml:space="preserve">Q3. </w:t>
      </w:r>
      <w:r>
        <w:rPr>
          <w:rFonts w:ascii="Calibri" w:cs="Calibri" w:eastAsia="Calibri" w:hAnsi="Calibri"/>
          <w:b/>
          <w:bCs/>
          <w:color w:val="1A1A1A"/>
          <w:sz w:val="21"/>
          <w:szCs w:val="21"/>
        </w:rPr>
        <w:t xml:space="preserve">What two categories of fix did Bob apply to remediate the vulnerability?</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Updating the agent's instructions to strengthen guardrails, and restricting the get_ssn_info tool's access.</w:t>
      </w:r>
    </w:p>
    <w:p>
      <w:r>
        <w:br w:type="page"/>
      </w:r>
    </w:p>
    <w:p>
      <w:pPr>
        <w:sectPr>
          <w:headerReference w:type="default" r:id="rId35"/>
          <w:footerReference w:type="default" r:id="rId36"/>
          <w:pgSz w:w="12240" w:h="15840" w:orient="portrait"/>
          <w:pgMar w:top="1300" w:right="1100" w:bottom="1200" w:left="1100" w:header="708" w:footer="708" w:gutter="0"/>
          <w:pgNumType/>
          <w:docGrid w:linePitch="360"/>
        </w:sectPr>
      </w:pPr>
    </w:p>
    <w:p>
      <w:pPr>
        <w:pStyle w:val="Heading1"/>
        <w:pBdr>
          <w:bottom w:val="single" w:color="C9A227" w:sz="12" w:space="4"/>
        </w:pBdr>
        <w:spacing w:after="200" w:before="400"/>
      </w:pPr>
      <w:r>
        <w:rPr>
          <w:rFonts w:ascii="Calibri" w:cs="Calibri" w:eastAsia="Calibri" w:hAnsi="Calibri"/>
          <w:b/>
          <w:bCs/>
          <w:color w:val="0B1F3A"/>
          <w:sz w:val="32"/>
          <w:szCs w:val="32"/>
        </w:rPr>
        <w:t xml:space="preserve">Topic 14: Context Variables in Tools</w:t>
      </w:r>
    </w:p>
    <w:p>
      <w:pPr>
        <w:spacing w:after="160" w:line="276"/>
      </w:pPr>
      <w:r>
        <w:rPr>
          <w:rFonts w:ascii="Calibri" w:cs="Calibri" w:eastAsia="Calibri" w:hAnsi="Calibri"/>
          <w:i/>
          <w:iCs/>
          <w:color w:val="5A5A5A"/>
          <w:sz w:val="20"/>
          <w:szCs w:val="20"/>
        </w:rPr>
        <w:t xml:space="preserve">Passing user identity into tools via JWT claims to avoid repeatedly asking for identifiers</w:t>
      </w:r>
    </w:p>
    <w:p>
      <w:pPr>
        <w:pStyle w:val="Heading2"/>
        <w:spacing w:after="150" w:before="300"/>
      </w:pPr>
      <w:r>
        <w:rPr>
          <w:rFonts w:ascii="Calibri" w:cs="Calibri" w:eastAsia="Calibri" w:hAnsi="Calibri"/>
          <w:b/>
          <w:bCs/>
          <w:color w:val="0B1F3A"/>
          <w:sz w:val="26"/>
          <w:szCs w:val="26"/>
        </w:rPr>
        <w:t xml:space="preserve">Overview</w:t>
      </w:r>
    </w:p>
    <w:p>
      <w:pPr>
        <w:spacing w:after="160" w:line="276"/>
      </w:pPr>
      <w:r>
        <w:rPr>
          <w:rFonts w:ascii="Calibri" w:cs="Calibri" w:eastAsia="Calibri" w:hAnsi="Calibri"/>
          <w:color w:val="1A1A1A"/>
          <w:sz w:val="22"/>
          <w:szCs w:val="22"/>
        </w:rPr>
        <w:t xml:space="preserve">Context variables are reusable placeholders that watsonx Orchestrate populates at runtime from user profile attributes (email, firstName, userId, etc.) or session state, delivered to tools via JSON Web Tokens (JWTs). This lets a tool fetch user-specific backend data without the conversation re-asking the user who they are every time.</w:t>
      </w:r>
    </w:p>
    <w:p>
      <w:pPr>
        <w:pStyle w:val="Heading2"/>
        <w:spacing w:after="150" w:before="300"/>
      </w:pPr>
      <w:r>
        <w:rPr>
          <w:rFonts w:ascii="Calibri" w:cs="Calibri" w:eastAsia="Calibri" w:hAnsi="Calibri"/>
          <w:b/>
          <w:bCs/>
          <w:color w:val="0B1F3A"/>
          <w:sz w:val="26"/>
          <w:szCs w:val="26"/>
        </w:rPr>
        <w:t xml:space="preserve">Architecture &amp; Key Components</w:t>
      </w:r>
    </w:p>
    <w:p>
      <w:pPr>
        <w:pStyle w:val="ListParagraph"/>
        <w:numPr>
          <w:ilvl w:val="0"/>
          <w:numId w:val="1"/>
        </w:numPr>
        <w:spacing w:after="80"/>
      </w:pPr>
      <w:r>
        <w:rPr>
          <w:rFonts w:ascii="Calibri" w:cs="Calibri" w:eastAsia="Calibri" w:hAnsi="Calibri"/>
          <w:color w:val="1A1A1A"/>
          <w:sz w:val="22"/>
          <w:szCs w:val="22"/>
        </w:rPr>
        <w:t xml:space="preserve">Public/private RSA key pair, generated as part of embedded-chat security configuration, used to sign and encrypt JWT content.</w:t>
      </w:r>
    </w:p>
    <w:p>
      <w:pPr>
        <w:pStyle w:val="ListParagraph"/>
        <w:numPr>
          <w:ilvl w:val="0"/>
          <w:numId w:val="1"/>
        </w:numPr>
        <w:spacing w:after="80"/>
      </w:pPr>
      <w:r>
        <w:rPr>
          <w:rFonts w:ascii="Calibri" w:cs="Calibri" w:eastAsia="Calibri" w:hAnsi="Calibri"/>
          <w:color w:val="1A1A1A"/>
          <w:sz w:val="22"/>
          <w:szCs w:val="22"/>
        </w:rPr>
        <w:t xml:space="preserve">JWT payload structure: sub (the context-variable value, e.g. user_id), an encrypted user_payload, a context object holding arbitrary context variables (e.g. {"user_id": user_id}), and an expiry (exp).</w:t>
      </w:r>
    </w:p>
    <w:p>
      <w:pPr>
        <w:pStyle w:val="ListParagraph"/>
        <w:numPr>
          <w:ilvl w:val="0"/>
          <w:numId w:val="1"/>
        </w:numPr>
        <w:spacing w:after="80"/>
      </w:pPr>
      <w:r>
        <w:rPr>
          <w:rFonts w:ascii="Calibri" w:cs="Calibri" w:eastAsia="Calibri" w:hAnsi="Calibri"/>
          <w:color w:val="1A1A1A"/>
          <w:sz w:val="22"/>
          <w:szCs w:val="22"/>
        </w:rPr>
        <w:t xml:space="preserve">Embedded web chat: sets window.wxOConfiguration.token to the generated JWT before loading the watsonx Orchestrate loader script.</w:t>
      </w:r>
    </w:p>
    <w:p>
      <w:pPr>
        <w:pStyle w:val="ListParagraph"/>
        <w:numPr>
          <w:ilvl w:val="0"/>
          <w:numId w:val="1"/>
        </w:numPr>
        <w:spacing w:after="80"/>
      </w:pPr>
      <w:r>
        <w:rPr>
          <w:rFonts w:ascii="Calibri" w:cs="Calibri" w:eastAsia="Calibri" w:hAnsi="Calibri"/>
          <w:color w:val="1A1A1A"/>
          <w:sz w:val="22"/>
          <w:szCs w:val="22"/>
        </w:rPr>
        <w:t xml:space="preserve">AgentRun context object: inside a Python tool, context.request_context exposes the context variables that arrived in the JWT (e.g. req_context.get('user_id')).</w:t>
      </w:r>
    </w:p>
    <w:p>
      <w:pPr>
        <w:pStyle w:val="Heading2"/>
        <w:spacing w:after="150" w:before="300"/>
      </w:pPr>
      <w:r>
        <w:rPr>
          <w:rFonts w:ascii="Calibri" w:cs="Calibri" w:eastAsia="Calibri" w:hAnsi="Calibri"/>
          <w:b/>
          <w:bCs/>
          <w:color w:val="0B1F3A"/>
          <w:sz w:val="26"/>
          <w:szCs w:val="26"/>
        </w:rPr>
        <w:t xml:space="preserve">Implementation Walkthrough</w:t>
      </w:r>
    </w:p>
    <w:p>
      <w:pPr>
        <w:pStyle w:val="ListParagraph"/>
        <w:numPr>
          <w:ilvl w:val="0"/>
          <w:numId w:val="2"/>
        </w:numPr>
        <w:spacing w:after="80"/>
      </w:pPr>
      <w:r>
        <w:rPr>
          <w:rFonts w:ascii="Calibri" w:cs="Calibri" w:eastAsia="Calibri" w:hAnsi="Calibri"/>
          <w:color w:val="1A1A1A"/>
          <w:sz w:val="22"/>
          <w:szCs w:val="22"/>
        </w:rPr>
        <w:t xml:space="preserve">Clone the sample source code for the tutorial.</w:t>
      </w:r>
    </w:p>
    <w:p>
      <w:pPr>
        <w:pStyle w:val="ListParagraph"/>
        <w:numPr>
          <w:ilvl w:val="0"/>
          <w:numId w:val="2"/>
        </w:numPr>
        <w:spacing w:after="80"/>
      </w:pPr>
      <w:r>
        <w:rPr>
          <w:rFonts w:ascii="Calibri" w:cs="Calibri" w:eastAsia="Calibri" w:hAnsi="Calibri"/>
          <w:color w:val="1A1A1A"/>
          <w:sz w:val="22"/>
          <w:szCs w:val="22"/>
        </w:rPr>
        <w:t xml:space="preserve">Configure JWT-based security for the embedded chat (per the standard 'Configuring security for embedded chat' documentation) — this is mandatory; without it the embedded chat won't function.</w:t>
      </w:r>
    </w:p>
    <w:p>
      <w:pPr>
        <w:pStyle w:val="ListParagraph"/>
        <w:numPr>
          <w:ilvl w:val="0"/>
          <w:numId w:val="2"/>
        </w:numPr>
        <w:spacing w:after="80"/>
      </w:pPr>
      <w:r>
        <w:rPr>
          <w:rFonts w:ascii="Calibri" w:cs="Calibri" w:eastAsia="Calibri" w:hAnsi="Calibri"/>
          <w:color w:val="1A1A1A"/>
          <w:sz w:val="22"/>
          <w:szCs w:val="22"/>
        </w:rPr>
        <w:t xml:space="preserve">Copy the generated public.pem and private.pem into the app's secrets directory.</w:t>
      </w:r>
    </w:p>
    <w:p>
      <w:pPr>
        <w:pStyle w:val="ListParagraph"/>
        <w:numPr>
          <w:ilvl w:val="0"/>
          <w:numId w:val="2"/>
        </w:numPr>
        <w:spacing w:after="80"/>
      </w:pPr>
      <w:r>
        <w:rPr>
          <w:rFonts w:ascii="Calibri" w:cs="Calibri" w:eastAsia="Calibri" w:hAnsi="Calibri"/>
          <w:color w:val="1A1A1A"/>
          <w:sz w:val="22"/>
          <w:szCs w:val="22"/>
        </w:rPr>
        <w:t xml:space="preserve">Implement JWT generation: build a context dict (e.g. {"user_id": user_id}), set sub to that value, encrypt an application-defined user_payload with the public key, and sign the overall JWT with the private key (RS256) including an expiry.</w:t>
      </w:r>
    </w:p>
    <w:p>
      <w:pPr>
        <w:pStyle w:val="ListParagraph"/>
        <w:numPr>
          <w:ilvl w:val="0"/>
          <w:numId w:val="2"/>
        </w:numPr>
        <w:spacing w:after="80"/>
      </w:pPr>
      <w:r>
        <w:rPr>
          <w:rFonts w:ascii="Calibri" w:cs="Calibri" w:eastAsia="Calibri" w:hAnsi="Calibri"/>
          <w:color w:val="1A1A1A"/>
          <w:sz w:val="22"/>
          <w:szCs w:val="22"/>
        </w:rPr>
        <w:t xml:space="preserve">Wire the JWT into the embedded chat by setting window.wxOConfiguration.token before dynamically loading wxoLoader.js, then calling wxoLoader.init().</w:t>
      </w:r>
    </w:p>
    <w:p>
      <w:pPr>
        <w:pStyle w:val="ListParagraph"/>
        <w:numPr>
          <w:ilvl w:val="0"/>
          <w:numId w:val="2"/>
        </w:numPr>
        <w:spacing w:after="80"/>
      </w:pPr>
      <w:r>
        <w:rPr>
          <w:rFonts w:ascii="Calibri" w:cs="Calibri" w:eastAsia="Calibri" w:hAnsi="Calibri"/>
          <w:color w:val="1A1A1A"/>
          <w:sz w:val="22"/>
          <w:szCs w:val="22"/>
        </w:rPr>
        <w:t xml:space="preserve">Write a watsonx Orchestrate tool (e.g. my_profile) that accepts an AgentRun context parameter, reads req_context.get('user_id'), validates it, and calls a backend endpoint using that identifier to fetch user-specific data.</w:t>
      </w:r>
    </w:p>
    <w:p>
      <w:pPr>
        <w:pStyle w:val="Heading2"/>
        <w:spacing w:after="150" w:before="300"/>
      </w:pPr>
      <w:r>
        <w:rPr>
          <w:rFonts w:ascii="Calibri" w:cs="Calibri" w:eastAsia="Calibri" w:hAnsi="Calibri"/>
          <w:b/>
          <w:bCs/>
          <w:color w:val="0B1F3A"/>
          <w:sz w:val="26"/>
          <w:szCs w:val="26"/>
        </w:rPr>
        <w:t xml:space="preserve">Key Concepts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 / Component</w:t>
            </w:r>
          </w:p>
        </w:tc>
        <w:tc>
          <w:tcPr>
            <w:tcW w:type="pct" w:w="7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You Need to Know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Context variable</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A runtime placeholder (e.g. {user_id}) populated from user profile attributes or session state, referenced in agent instructions using curly-brace syntax and made available to tools via the JWT.</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sub claim</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The primary subject identifier carried in the JWT — here specifically used to carry the user_id context variable.</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AgentRun.request_context</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The object inside a Python tool's context parameter that exposes the context variables delivered via the JWT at runtime.</w:t>
            </w:r>
          </w:p>
        </w:tc>
      </w:tr>
    </w:tbl>
    <w:p>
      <w:pPr>
        <w:spacing w:after="120"/>
      </w:pPr>
    </w:p>
    <w:p>
      <w:pPr>
        <w:pStyle w:val="Heading2"/>
        <w:spacing w:after="150" w:before="300"/>
      </w:pPr>
      <w:r>
        <w:rPr>
          <w:rFonts w:ascii="Calibri" w:cs="Calibri" w:eastAsia="Calibri" w:hAnsi="Calibri"/>
          <w:b/>
          <w:bCs/>
          <w:color w:val="0B1F3A"/>
          <w:sz w:val="26"/>
          <w:szCs w:val="26"/>
        </w:rPr>
        <w:t xml:space="preserve">Common Pitfalls / Best Practices</w:t>
      </w:r>
    </w:p>
    <w:p>
      <w:pPr>
        <w:pStyle w:val="ListParagraph"/>
        <w:numPr>
          <w:ilvl w:val="0"/>
          <w:numId w:val="1"/>
        </w:numPr>
        <w:spacing w:after="80"/>
      </w:pPr>
      <w:r>
        <w:rPr>
          <w:rFonts w:ascii="Calibri" w:cs="Calibri" w:eastAsia="Calibri" w:hAnsi="Calibri"/>
          <w:color w:val="1A1A1A"/>
          <w:sz w:val="22"/>
          <w:szCs w:val="22"/>
        </w:rPr>
        <w:t xml:space="preserve">Security must be fully configured (both the IBM key pair and the client key pair) before the embedded chat will function at all — a partially configured setup does not gracefully degrade.</w:t>
      </w:r>
    </w:p>
    <w:p>
      <w:pPr>
        <w:pStyle w:val="ListParagraph"/>
        <w:numPr>
          <w:ilvl w:val="0"/>
          <w:numId w:val="1"/>
        </w:numPr>
        <w:spacing w:after="80"/>
      </w:pPr>
      <w:r>
        <w:rPr>
          <w:rFonts w:ascii="Calibri" w:cs="Calibri" w:eastAsia="Calibri" w:hAnsi="Calibri"/>
          <w:color w:val="1A1A1A"/>
          <w:sz w:val="22"/>
          <w:szCs w:val="22"/>
        </w:rPr>
        <w:t xml:space="preserve">Any additional context variables your use case needs (e.g. email, employee_id) can be added to the same context object alongside user_id.</w:t>
      </w:r>
    </w:p>
    <w:p>
      <w:pPr>
        <w:pStyle w:val="Heading2"/>
        <w:spacing w:after="150" w:before="300"/>
      </w:pPr>
      <w:r>
        <w:rPr>
          <w:rFonts w:ascii="Calibri" w:cs="Calibri" w:eastAsia="Calibri" w:hAnsi="Calibri"/>
          <w:b/>
          <w:bCs/>
          <w:color w:val="0B1F3A"/>
          <w:sz w:val="26"/>
          <w:szCs w:val="26"/>
        </w:rPr>
        <w:t xml:space="preserve">Self-Check</w:t>
      </w:r>
    </w:p>
    <w:p>
      <w:pPr>
        <w:spacing w:after="40" w:before="160"/>
      </w:pPr>
      <w:r>
        <w:rPr>
          <w:rFonts w:ascii="Calibri" w:cs="Calibri" w:eastAsia="Calibri" w:hAnsi="Calibri"/>
          <w:b/>
          <w:bCs/>
          <w:color w:val="0B1F3A"/>
          <w:sz w:val="21"/>
          <w:szCs w:val="21"/>
        </w:rPr>
        <w:t xml:space="preserve">Q1. </w:t>
      </w:r>
      <w:r>
        <w:rPr>
          <w:rFonts w:ascii="Calibri" w:cs="Calibri" w:eastAsia="Calibri" w:hAnsi="Calibri"/>
          <w:b/>
          <w:bCs/>
          <w:color w:val="1A1A1A"/>
          <w:sz w:val="21"/>
          <w:szCs w:val="21"/>
        </w:rPr>
        <w:t xml:space="preserve">What object does a Python tool use to read a context variable such as user_id at runtime?</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The AgentRun context parameter's request_context (e.g. context.request_context.get('user_id')).</w:t>
      </w:r>
    </w:p>
    <w:p>
      <w:pPr>
        <w:spacing w:after="40" w:before="160"/>
      </w:pPr>
      <w:r>
        <w:rPr>
          <w:rFonts w:ascii="Calibri" w:cs="Calibri" w:eastAsia="Calibri" w:hAnsi="Calibri"/>
          <w:b/>
          <w:bCs/>
          <w:color w:val="0B1F3A"/>
          <w:sz w:val="21"/>
          <w:szCs w:val="21"/>
        </w:rPr>
        <w:t xml:space="preserve">Q2. </w:t>
      </w:r>
      <w:r>
        <w:rPr>
          <w:rFonts w:ascii="Calibri" w:cs="Calibri" w:eastAsia="Calibri" w:hAnsi="Calibri"/>
          <w:b/>
          <w:bCs/>
          <w:color w:val="1A1A1A"/>
          <w:sz w:val="21"/>
          <w:szCs w:val="21"/>
        </w:rPr>
        <w:t xml:space="preserve">What two keys are required to fully configure JWT-based security for embedded chat, and where do they come from?</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Your own generated public/private RSA key pair (for signing/encrypting) plus the watsonx Orchestrate RSA public key (pasted into the Embed Security tab) — both are required together.</w:t>
      </w:r>
    </w:p>
    <w:p>
      <w:pPr>
        <w:spacing w:after="40" w:before="160"/>
      </w:pPr>
      <w:r>
        <w:rPr>
          <w:rFonts w:ascii="Calibri" w:cs="Calibri" w:eastAsia="Calibri" w:hAnsi="Calibri"/>
          <w:b/>
          <w:bCs/>
          <w:color w:val="0B1F3A"/>
          <w:sz w:val="21"/>
          <w:szCs w:val="21"/>
        </w:rPr>
        <w:t xml:space="preserve">Q3. </w:t>
      </w:r>
      <w:r>
        <w:rPr>
          <w:rFonts w:ascii="Calibri" w:cs="Calibri" w:eastAsia="Calibri" w:hAnsi="Calibri"/>
          <w:b/>
          <w:bCs/>
          <w:color w:val="1A1A1A"/>
          <w:sz w:val="21"/>
          <w:szCs w:val="21"/>
        </w:rPr>
        <w:t xml:space="preserve">How does agent instruction text reference a context variable?</w:t>
      </w:r>
    </w:p>
    <w:p>
      <w:pPr>
        <w:spacing w:after="80"/>
        <w:ind w:left="300"/>
      </w:pPr>
      <w:r>
        <w:rPr>
          <w:rFonts w:ascii="Calibri" w:cs="Calibri" w:eastAsia="Calibri" w:hAnsi="Calibri"/>
          <w:b/>
          <w:bCs/>
          <w:color w:val="C9A227"/>
          <w:sz w:val="20"/>
          <w:szCs w:val="20"/>
        </w:rPr>
        <w:t xml:space="preserve">A: </w:t>
      </w:r>
      <w:r>
        <w:rPr>
          <w:rFonts w:ascii="Calibri" w:cs="Calibri" w:eastAsia="Calibri" w:hAnsi="Calibri"/>
          <w:i/>
          <w:iCs/>
          <w:color w:val="5A5A5A"/>
          <w:sz w:val="20"/>
          <w:szCs w:val="20"/>
        </w:rPr>
        <w:t xml:space="preserve">Using curly-brace syntax, e.g. {user_id}, {case_id}, {department}.</w:t>
      </w:r>
    </w:p>
    <w:p>
      <w:r>
        <w:br w:type="page"/>
      </w:r>
    </w:p>
    <w:p>
      <w:pPr>
        <w:sectPr>
          <w:headerReference w:type="default" r:id="rId37"/>
          <w:footerReference w:type="default" r:id="rId38"/>
          <w:pgSz w:w="12240" w:h="15840" w:orient="portrait"/>
          <w:pgMar w:top="1300" w:right="1100" w:bottom="1200" w:left="1100" w:header="708" w:footer="708" w:gutter="0"/>
          <w:pgNumType/>
          <w:docGrid w:linePitch="360"/>
        </w:sectPr>
      </w:pPr>
    </w:p>
    <w:p>
      <w:pPr>
        <w:pStyle w:val="Heading1"/>
        <w:pBdr>
          <w:bottom w:val="single" w:color="C9A227" w:sz="12" w:space="4"/>
        </w:pBdr>
        <w:spacing w:after="200" w:before="400"/>
      </w:pPr>
      <w:r>
        <w:rPr>
          <w:rFonts w:ascii="Calibri" w:cs="Calibri" w:eastAsia="Calibri" w:hAnsi="Calibri"/>
          <w:b/>
          <w:bCs/>
          <w:color w:val="0B1F3A"/>
          <w:sz w:val="32"/>
          <w:szCs w:val="32"/>
        </w:rPr>
        <w:t xml:space="preserve">Consolidated Glossary</w:t>
      </w:r>
    </w:p>
    <w:p>
      <w:pPr>
        <w:spacing w:after="160" w:line="276"/>
      </w:pPr>
      <w:r>
        <w:rPr>
          <w:rFonts w:ascii="Calibri" w:cs="Calibri" w:eastAsia="Calibri" w:hAnsi="Calibri"/>
          <w:color w:val="1A1A1A"/>
          <w:sz w:val="22"/>
          <w:szCs w:val="22"/>
        </w:rPr>
        <w:t xml:space="preserve">Quick-reference definitions for terms used across all 14 topics in this guide.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 / Component</w:t>
            </w:r>
          </w:p>
        </w:tc>
        <w:tc>
          <w:tcPr>
            <w:tcW w:type="pct" w:w="70%"/>
            <w:shd w:fill="0B1F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You Need to Know</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A2A (Agent2Agent protocol)</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Open protocol for discovering and invoking agents across platforms via a standard AgentCard and JSON-RPC endpoint; watsonx Orchestrate supports v0.3.0.</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ADK</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watsonx Orchestrate Agent Development Kit — CLI/SDK for authoring and managing agents, tools, flows, connections, and knowledge bases.</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ADLC</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Agent Development Lifecycle — build-time (design/build/test/evaluate/certify) plus runtime (deploy/operate/monitor/optimize) phases.</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AgentCard</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JSON descriptor of an agent's identity, capabilities, and security scheme, used for A2A discovery.</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Agentic control plane</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A central platform (watsonx Orchestrate) for discovering, routing, monitoring, and governing agents regardless of framework or hosting location.</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Agentic workflow</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A deterministic, structured sequence of steps used where compliance, repeatability, or strict ordering matters more than flexible LLM reasoning.</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Confused deputy problem</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Security risk where an agent with broad standing privileges can be misused to act beyond the requesting user's actual authorization.</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Context variable</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A runtime placeholder (e.g. {user_id}) populated from user/session data and referenced in agent instructions or delivered to tools via JWT.</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Crescendo attack</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A red-teaming technique that escalates gradually across multiple turns instead of attacking directly.</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Dynamic credentials</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Short-lived, auto-revoked backend credentials (e.g. issued by HashiCorp Vault) scoped to a user's role.</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IBM Bob</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An AI development partner/IDE using 'skills' and MCP servers to automate building, testing, and deploying watsonx Orchestrate solutions.</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MCP (Model Context Protocol)</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Open standard for exposing tools/data sources to AI agents consistently, regardless of hosting platform.</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OBO (on-behalf-of) token</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A token exchanged so an agent acts with the authenticated user's actual permissions, not its own broad credentials.</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OpenTelemetry</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Vendor-neutral observability standard used to instrument agents with traces/spans that flow into watsonx Orchestrate (and other) dashboards.</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RAG (Retrieval-Augmented Generation)</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Retrieving the most relevant documents/passages for a query — best when a search can reliably surface what's needed.</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RLM (Recursive Language Model)</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A Scan → Delegate → Combine pattern for analyzing information spread across many sections of long documents.</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ReAct pattern</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Reasoning + Acting — an agent alternates between reasoning about a problem and calling tools until it has enough information to answer.</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SOP (Standard Operating Procedure)</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A structured, reviewable specification (generated from a BRD or process diagram) that serves as the implementation blueprint for an agent solution.</w:t>
            </w:r>
          </w:p>
        </w:tc>
      </w:tr>
      <w:tr>
        <w:tc>
          <w:tcPr>
            <w:tcW w:type="pct" w:w="30%"/>
            <w:shd w:fill="FFFFFF" w:val="clear"/>
            <w:tcMar>
              <w:top w:type="dxa" w:w="100"/>
              <w:left w:type="dxa" w:w="120"/>
              <w:bottom w:type="dxa" w:w="100"/>
              <w:right w:type="dxa" w:w="120"/>
            </w:tcMar>
          </w:tcPr>
          <w:p>
            <w:r>
              <w:rPr>
                <w:rFonts w:ascii="Calibri" w:cs="Calibri" w:eastAsia="Calibri" w:hAnsi="Calibri"/>
                <w:b/>
                <w:bCs/>
                <w:color w:val="0B1F3A"/>
                <w:sz w:val="20"/>
                <w:szCs w:val="20"/>
              </w:rPr>
              <w:t xml:space="preserve">Spec-driven development</w:t>
            </w:r>
          </w:p>
        </w:tc>
        <w:tc>
          <w:tcPr>
            <w:tcW w:type="pct" w:w="70%"/>
            <w:shd w:fill="FFFFFF" w:val="clear"/>
            <w:tcMar>
              <w:top w:type="dxa" w:w="100"/>
              <w:left w:type="dxa" w:w="120"/>
              <w:bottom w:type="dxa" w:w="100"/>
              <w:right w:type="dxa" w:w="120"/>
            </w:tcMar>
          </w:tcPr>
          <w:p>
            <w:r>
              <w:rPr>
                <w:rFonts w:ascii="Calibri" w:cs="Calibri" w:eastAsia="Calibri" w:hAnsi="Calibri"/>
                <w:color w:val="1A1A1A"/>
                <w:sz w:val="20"/>
                <w:szCs w:val="20"/>
              </w:rPr>
              <w:t xml:space="preserve">Moving from business requirements → a reviewable specification (SOP) → generated implementation, with traceability at each step.</w:t>
            </w:r>
          </w:p>
        </w:tc>
      </w:tr>
      <w:tr>
        <w:tc>
          <w:tcPr>
            <w:tcW w:type="pct" w:w="30%"/>
            <w:shd w:fill="E8ECF2" w:val="clear"/>
            <w:tcMar>
              <w:top w:type="dxa" w:w="100"/>
              <w:left w:type="dxa" w:w="120"/>
              <w:bottom w:type="dxa" w:w="100"/>
              <w:right w:type="dxa" w:w="120"/>
            </w:tcMar>
          </w:tcPr>
          <w:p>
            <w:r>
              <w:rPr>
                <w:rFonts w:ascii="Calibri" w:cs="Calibri" w:eastAsia="Calibri" w:hAnsi="Calibri"/>
                <w:b/>
                <w:bCs/>
                <w:color w:val="0B1F3A"/>
                <w:sz w:val="20"/>
                <w:szCs w:val="20"/>
              </w:rPr>
              <w:t xml:space="preserve">Zero Trust (in this context)</w:t>
            </w:r>
          </w:p>
        </w:tc>
        <w:tc>
          <w:tcPr>
            <w:tcW w:type="pct" w:w="70%"/>
            <w:shd w:fill="E8ECF2" w:val="clear"/>
            <w:tcMar>
              <w:top w:type="dxa" w:w="100"/>
              <w:left w:type="dxa" w:w="120"/>
              <w:bottom w:type="dxa" w:w="100"/>
              <w:right w:type="dxa" w:w="120"/>
            </w:tcMar>
          </w:tcPr>
          <w:p>
            <w:r>
              <w:rPr>
                <w:rFonts w:ascii="Calibri" w:cs="Calibri" w:eastAsia="Calibri" w:hAnsi="Calibri"/>
                <w:color w:val="1A1A1A"/>
                <w:sz w:val="20"/>
                <w:szCs w:val="20"/>
              </w:rPr>
              <w:t xml:space="preserve">Never granting an agent standing broad privileges; every action is authorized per-request based on the actual authenticated user's identity and role.</w:t>
            </w:r>
          </w:p>
        </w:tc>
      </w:tr>
    </w:tbl>
    <w:p>
      <w:pPr>
        <w:sectPr>
          <w:headerReference w:type="default" r:id="rId39"/>
          <w:footerReference w:type="default" r:id="rId40"/>
          <w:pgSz w:w="12240" w:h="15840" w:orient="portrait"/>
          <w:pgMar w:top="1300" w:right="1100" w:bottom="1200" w:left="1100" w:header="708" w:footer="708" w:gutter="0"/>
          <w:pgNumType/>
          <w:docGrid w:linePitch="360"/>
        </w:sectPr>
      </w:pPr>
    </w:p>
    <w:p>
      <w:pPr>
        <w:pStyle w:val="Heading1"/>
        <w:pBdr>
          <w:bottom w:val="single" w:color="C9A227" w:sz="12" w:space="4"/>
        </w:pBdr>
        <w:spacing w:after="200" w:before="400"/>
      </w:pPr>
      <w:r>
        <w:rPr>
          <w:rFonts w:ascii="Calibri" w:cs="Calibri" w:eastAsia="Calibri" w:hAnsi="Calibri"/>
          <w:b/>
          <w:bCs/>
          <w:color w:val="0B1F3A"/>
          <w:sz w:val="32"/>
          <w:szCs w:val="32"/>
        </w:rPr>
        <w:t xml:space="preserve">Key Takeaways</w:t>
      </w:r>
    </w:p>
    <w:tbl>
      <w:tblPr>
        <w:tblW w:type="pct" w:w="100%"/>
        <w:tblBorders>
          <w:top w:val="single" w:color="C9A227" w:sz="6"/>
          <w:left w:val="single" w:color="C9A227" w:sz="6"/>
          <w:bottom w:val="single" w:color="C9A227" w:sz="6"/>
          <w:right w:val="single" w:color="C9A227" w:sz="6"/>
          <w:insideH w:val="none" w:color="FFFFFF" w:sz="0"/>
          <w:insideV w:val="none" w:color="FFFFFF" w:sz="0"/>
        </w:tblBorders>
      </w:tblPr>
      <w:tblGrid>
        <w:gridCol w:w="100"/>
      </w:tblGrid>
      <w:tr>
        <w:tc>
          <w:tcPr>
            <w:shd w:fill="F4ECD8" w:val="clear"/>
            <w:tcMar>
              <w:top w:type="dxa" w:w="150"/>
              <w:left w:type="dxa" w:w="200"/>
              <w:bottom w:type="dxa" w:w="150"/>
              <w:right w:type="dxa" w:w="200"/>
            </w:tcMar>
          </w:tcPr>
          <w:p>
            <w:pPr>
              <w:spacing w:after="80"/>
            </w:pPr>
            <w:r>
              <w:rPr>
                <w:rFonts w:ascii="Calibri" w:cs="Calibri" w:eastAsia="Calibri" w:hAnsi="Calibri"/>
                <w:b/>
                <w:bCs/>
                <w:color w:val="0B1F3A"/>
                <w:sz w:val="22"/>
                <w:szCs w:val="22"/>
              </w:rPr>
              <w:t xml:space="preserve">The Big Picture</w:t>
            </w:r>
          </w:p>
          <w:p>
            <w:pPr>
              <w:pStyle w:val="ListParagraph"/>
              <w:numPr>
                <w:ilvl w:val="0"/>
                <w:numId w:val="1"/>
              </w:numPr>
              <w:spacing w:after="60"/>
            </w:pPr>
            <w:r>
              <w:rPr>
                <w:rFonts w:ascii="Calibri" w:cs="Calibri" w:eastAsia="Calibri" w:hAnsi="Calibri"/>
                <w:color w:val="1A1A1A"/>
                <w:sz w:val="20"/>
                <w:szCs w:val="20"/>
              </w:rPr>
              <w:t xml:space="preserve">watsonx Orchestrate's value is increasingly about governance and observability of agents built anywhere — not just building agents natively.</w:t>
            </w:r>
          </w:p>
          <w:p>
            <w:pPr>
              <w:pStyle w:val="ListParagraph"/>
              <w:numPr>
                <w:ilvl w:val="0"/>
                <w:numId w:val="1"/>
              </w:numPr>
              <w:spacing w:after="60"/>
            </w:pPr>
            <w:r>
              <w:rPr>
                <w:rFonts w:ascii="Calibri" w:cs="Calibri" w:eastAsia="Calibri" w:hAnsi="Calibri"/>
                <w:color w:val="1A1A1A"/>
                <w:sz w:val="20"/>
                <w:szCs w:val="20"/>
              </w:rPr>
              <w:t xml:space="preserve">IBM Bob turns business specifications (BRDs, BPMN diagrams) into working, tested watsonx Orchestrate solutions through repeatable 'skills'.</w:t>
            </w:r>
          </w:p>
          <w:p>
            <w:pPr>
              <w:pStyle w:val="ListParagraph"/>
              <w:numPr>
                <w:ilvl w:val="0"/>
                <w:numId w:val="1"/>
              </w:numPr>
              <w:spacing w:after="60"/>
            </w:pPr>
            <w:r>
              <w:rPr>
                <w:rFonts w:ascii="Calibri" w:cs="Calibri" w:eastAsia="Calibri" w:hAnsi="Calibri"/>
                <w:color w:val="1A1A1A"/>
                <w:sz w:val="20"/>
                <w:szCs w:val="20"/>
              </w:rPr>
              <w:t xml:space="preserve">Security is architectural, not bolt-on: identity separation, token exchange, and short-lived credentials prevent agents from becoming 'confused deputies'.</w:t>
            </w:r>
          </w:p>
          <w:p>
            <w:pPr>
              <w:pStyle w:val="ListParagraph"/>
              <w:numPr>
                <w:ilvl w:val="0"/>
                <w:numId w:val="1"/>
              </w:numPr>
              <w:spacing w:after="60"/>
            </w:pPr>
            <w:r>
              <w:rPr>
                <w:rFonts w:ascii="Calibri" w:cs="Calibri" w:eastAsia="Calibri" w:hAnsi="Calibri"/>
                <w:color w:val="1A1A1A"/>
                <w:sz w:val="20"/>
                <w:szCs w:val="20"/>
              </w:rPr>
              <w:t xml:space="preserve">The right construct — agent vs. deterministic workflow vs. hybrid — depends on whether the task needs flexible reasoning or strict, auditable sequencing.</w:t>
            </w:r>
          </w:p>
        </w:tc>
      </w:tr>
    </w:tbl>
    <w:p>
      <w:pPr>
        <w:pStyle w:val="Heading2"/>
        <w:spacing w:after="150" w:before="300"/>
      </w:pPr>
      <w:r>
        <w:rPr>
          <w:rFonts w:ascii="Calibri" w:cs="Calibri" w:eastAsia="Calibri" w:hAnsi="Calibri"/>
          <w:b/>
          <w:bCs/>
          <w:color w:val="0B1F3A"/>
          <w:sz w:val="26"/>
          <w:szCs w:val="26"/>
        </w:rPr>
        <w:t xml:space="preserve">Recommended Next Steps</w:t>
      </w:r>
    </w:p>
    <w:p>
      <w:pPr>
        <w:pStyle w:val="ListParagraph"/>
        <w:numPr>
          <w:ilvl w:val="0"/>
          <w:numId w:val="1"/>
        </w:numPr>
        <w:spacing w:after="80"/>
      </w:pPr>
      <w:r>
        <w:rPr>
          <w:rFonts w:ascii="Calibri" w:cs="Calibri" w:eastAsia="Calibri" w:hAnsi="Calibri"/>
          <w:color w:val="1A1A1A"/>
          <w:sz w:val="22"/>
          <w:szCs w:val="22"/>
        </w:rPr>
        <w:t xml:space="preserve">Pick one topic closest to an active i3 Technologies engagement (e.g. ServiceNow integration, secure agents, or Bob-driven agent building) and reproduce its walkthrough in a sandbox watsonx Orchestrate instance.</w:t>
      </w:r>
    </w:p>
    <w:p>
      <w:pPr>
        <w:pStyle w:val="ListParagraph"/>
        <w:numPr>
          <w:ilvl w:val="0"/>
          <w:numId w:val="1"/>
        </w:numPr>
        <w:spacing w:after="80"/>
      </w:pPr>
      <w:r>
        <w:rPr>
          <w:rFonts w:ascii="Calibri" w:cs="Calibri" w:eastAsia="Calibri" w:hAnsi="Calibri"/>
          <w:color w:val="1A1A1A"/>
          <w:sz w:val="22"/>
          <w:szCs w:val="22"/>
        </w:rPr>
        <w:t xml:space="preserve">Use the Decision Table in Topic 12 as a starting checklist whenever scoping a new agentic solution for a client.</w:t>
      </w:r>
    </w:p>
    <w:p>
      <w:pPr>
        <w:pStyle w:val="ListParagraph"/>
        <w:numPr>
          <w:ilvl w:val="0"/>
          <w:numId w:val="1"/>
        </w:numPr>
        <w:spacing w:after="80"/>
      </w:pPr>
      <w:r>
        <w:rPr>
          <w:rFonts w:ascii="Calibri" w:cs="Calibri" w:eastAsia="Calibri" w:hAnsi="Calibri"/>
          <w:color w:val="1A1A1A"/>
          <w:sz w:val="22"/>
          <w:szCs w:val="22"/>
        </w:rPr>
        <w:t xml:space="preserve">Reference the Glossary section as a shared vocabulary when briefing engineers or clients on watsonx Orchestrate capabilities.</w:t>
      </w:r>
    </w:p>
    <w:p>
      <w:pPr>
        <w:spacing w:after="300"/>
      </w:pPr>
    </w:p>
    <w:p>
      <w:pPr>
        <w:spacing w:after="160" w:line="276"/>
      </w:pPr>
      <w:r>
        <w:rPr>
          <w:rFonts w:ascii="Calibri" w:cs="Calibri" w:eastAsia="Calibri" w:hAnsi="Calibri"/>
          <w:i/>
          <w:iCs/>
          <w:color w:val="5A5A5A"/>
          <w:sz w:val="20"/>
          <w:szCs w:val="20"/>
        </w:rPr>
        <w:t xml:space="preserve">Prepared for i3 Technologies Ltd — Agentic AI Solutions pillar.</w:t>
      </w:r>
    </w:p>
    <w:sectPr>
      <w:headerReference w:type="default" r:id="rId41"/>
      <w:footerReference w:type="default" r:id="rId42"/>
      <w:pgSz w:w="12240" w:h="15840" w:orient="portrait"/>
      <w:pgMar w:top="13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rFonts w:ascii="Calibri" w:cs="Calibri" w:eastAsia="Calibri" w:hAnsi="Calibri"/>
        <w:b/>
        <w:bCs/>
        <w:color w:val="0B1F3A"/>
        <w:sz w:val="16"/>
        <w:szCs w:val="16"/>
      </w:rPr>
      <w:t xml:space="preserve">i3 Technologies</w:t>
    </w:r>
    <w:r>
      <w:rPr>
        <w:rFonts w:ascii="Calibri" w:cs="Calibri" w:eastAsia="Calibri" w:hAnsi="Calibri"/>
        <w:color w:val="5A5A5A"/>
        <w:sz w:val="16"/>
        <w:szCs w:val="16"/>
      </w:rPr>
      <w:t xml:space="preserve">	IBM watsonx Orchestrate — Study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rFonts w:ascii="Calibri" w:cs="Calibri" w:eastAsia="Calibri" w:hAnsi="Calibri"/>
        <w:b/>
        <w:bCs/>
        <w:color w:val="0B1F3A"/>
        <w:sz w:val="16"/>
        <w:szCs w:val="16"/>
      </w:rPr>
      <w:t xml:space="preserve">i3 Technologies</w:t>
    </w:r>
    <w:r>
      <w:rPr>
        <w:rFonts w:ascii="Calibri" w:cs="Calibri" w:eastAsia="Calibri" w:hAnsi="Calibri"/>
        <w:color w:val="5A5A5A"/>
        <w:sz w:val="16"/>
        <w:szCs w:val="16"/>
      </w:rPr>
      <w:t xml:space="preserve">	IBM watsonx Orchestrate — Study Guide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rFonts w:ascii="Calibri" w:cs="Calibri" w:eastAsia="Calibri" w:hAnsi="Calibri"/>
        <w:b/>
        <w:bCs/>
        <w:color w:val="0B1F3A"/>
        <w:sz w:val="16"/>
        <w:szCs w:val="16"/>
      </w:rPr>
      <w:t xml:space="preserve">i3 Technologies</w:t>
    </w:r>
    <w:r>
      <w:rPr>
        <w:rFonts w:ascii="Calibri" w:cs="Calibri" w:eastAsia="Calibri" w:hAnsi="Calibri"/>
        <w:color w:val="5A5A5A"/>
        <w:sz w:val="16"/>
        <w:szCs w:val="16"/>
      </w:rPr>
      <w:t xml:space="preserve">	IBM watsonx Orchestrate — Study Guide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rFonts w:ascii="Calibri" w:cs="Calibri" w:eastAsia="Calibri" w:hAnsi="Calibri"/>
        <w:b/>
        <w:bCs/>
        <w:color w:val="0B1F3A"/>
        <w:sz w:val="16"/>
        <w:szCs w:val="16"/>
      </w:rPr>
      <w:t xml:space="preserve">i3 Technologies</w:t>
    </w:r>
    <w:r>
      <w:rPr>
        <w:rFonts w:ascii="Calibri" w:cs="Calibri" w:eastAsia="Calibri" w:hAnsi="Calibri"/>
        <w:color w:val="5A5A5A"/>
        <w:sz w:val="16"/>
        <w:szCs w:val="16"/>
      </w:rPr>
      <w:t xml:space="preserve">	IBM watsonx Orchestrate — Study Guide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rFonts w:ascii="Calibri" w:cs="Calibri" w:eastAsia="Calibri" w:hAnsi="Calibri"/>
        <w:b/>
        <w:bCs/>
        <w:color w:val="0B1F3A"/>
        <w:sz w:val="16"/>
        <w:szCs w:val="16"/>
      </w:rPr>
      <w:t xml:space="preserve">i3 Technologies</w:t>
    </w:r>
    <w:r>
      <w:rPr>
        <w:rFonts w:ascii="Calibri" w:cs="Calibri" w:eastAsia="Calibri" w:hAnsi="Calibri"/>
        <w:color w:val="5A5A5A"/>
        <w:sz w:val="16"/>
        <w:szCs w:val="16"/>
      </w:rPr>
      <w:t xml:space="preserve">	IBM watsonx Orchestrate — Study Guide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rFonts w:ascii="Calibri" w:cs="Calibri" w:eastAsia="Calibri" w:hAnsi="Calibri"/>
        <w:b/>
        <w:bCs/>
        <w:color w:val="0B1F3A"/>
        <w:sz w:val="16"/>
        <w:szCs w:val="16"/>
      </w:rPr>
      <w:t xml:space="preserve">i3 Technologies</w:t>
    </w:r>
    <w:r>
      <w:rPr>
        <w:rFonts w:ascii="Calibri" w:cs="Calibri" w:eastAsia="Calibri" w:hAnsi="Calibri"/>
        <w:color w:val="5A5A5A"/>
        <w:sz w:val="16"/>
        <w:szCs w:val="16"/>
      </w:rPr>
      <w:t xml:space="preserve">	IBM watsonx Orchestrate — Study Guide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rFonts w:ascii="Calibri" w:cs="Calibri" w:eastAsia="Calibri" w:hAnsi="Calibri"/>
        <w:b/>
        <w:bCs/>
        <w:color w:val="0B1F3A"/>
        <w:sz w:val="16"/>
        <w:szCs w:val="16"/>
      </w:rPr>
      <w:t xml:space="preserve">i3 Technologies</w:t>
    </w:r>
    <w:r>
      <w:rPr>
        <w:rFonts w:ascii="Calibri" w:cs="Calibri" w:eastAsia="Calibri" w:hAnsi="Calibri"/>
        <w:color w:val="5A5A5A"/>
        <w:sz w:val="16"/>
        <w:szCs w:val="16"/>
      </w:rPr>
      <w:t xml:space="preserve">	IBM watsonx Orchestrate — Study Guide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rFonts w:ascii="Calibri" w:cs="Calibri" w:eastAsia="Calibri" w:hAnsi="Calibri"/>
        <w:b/>
        <w:bCs/>
        <w:color w:val="0B1F3A"/>
        <w:sz w:val="16"/>
        <w:szCs w:val="16"/>
      </w:rPr>
      <w:t xml:space="preserve">i3 Technologies</w:t>
    </w:r>
    <w:r>
      <w:rPr>
        <w:rFonts w:ascii="Calibri" w:cs="Calibri" w:eastAsia="Calibri" w:hAnsi="Calibri"/>
        <w:color w:val="5A5A5A"/>
        <w:sz w:val="16"/>
        <w:szCs w:val="16"/>
      </w:rPr>
      <w:t xml:space="preserve">	IBM watsonx Orchestrate — Study Guide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rFonts w:ascii="Calibri" w:cs="Calibri" w:eastAsia="Calibri" w:hAnsi="Calibri"/>
        <w:b/>
        <w:bCs/>
        <w:color w:val="0B1F3A"/>
        <w:sz w:val="16"/>
        <w:szCs w:val="16"/>
      </w:rPr>
      <w:t xml:space="preserve">i3 Technologies</w:t>
    </w:r>
    <w:r>
      <w:rPr>
        <w:rFonts w:ascii="Calibri" w:cs="Calibri" w:eastAsia="Calibri" w:hAnsi="Calibri"/>
        <w:color w:val="5A5A5A"/>
        <w:sz w:val="16"/>
        <w:szCs w:val="16"/>
      </w:rPr>
      <w:t xml:space="preserve">	IBM watsonx Orchestrate — Study Guide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rFonts w:ascii="Calibri" w:cs="Calibri" w:eastAsia="Calibri" w:hAnsi="Calibri"/>
        <w:b/>
        <w:bCs/>
        <w:color w:val="0B1F3A"/>
        <w:sz w:val="16"/>
        <w:szCs w:val="16"/>
      </w:rPr>
      <w:t xml:space="preserve">i3 Technologies</w:t>
    </w:r>
    <w:r>
      <w:rPr>
        <w:rFonts w:ascii="Calibri" w:cs="Calibri" w:eastAsia="Calibri" w:hAnsi="Calibri"/>
        <w:color w:val="5A5A5A"/>
        <w:sz w:val="16"/>
        <w:szCs w:val="16"/>
      </w:rPr>
      <w:t xml:space="preserve">	IBM watsonx Orchestrate — Study Guide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rFonts w:ascii="Calibri" w:cs="Calibri" w:eastAsia="Calibri" w:hAnsi="Calibri"/>
        <w:b/>
        <w:bCs/>
        <w:color w:val="0B1F3A"/>
        <w:sz w:val="16"/>
        <w:szCs w:val="16"/>
      </w:rPr>
      <w:t xml:space="preserve">i3 Technologies</w:t>
    </w:r>
    <w:r>
      <w:rPr>
        <w:rFonts w:ascii="Calibri" w:cs="Calibri" w:eastAsia="Calibri" w:hAnsi="Calibri"/>
        <w:color w:val="5A5A5A"/>
        <w:sz w:val="16"/>
        <w:szCs w:val="16"/>
      </w:rPr>
      <w:t xml:space="preserve">	IBM watsonx Orchestrate — Study Guide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rFonts w:ascii="Calibri" w:cs="Calibri" w:eastAsia="Calibri" w:hAnsi="Calibri"/>
        <w:b/>
        <w:bCs/>
        <w:color w:val="0B1F3A"/>
        <w:sz w:val="16"/>
        <w:szCs w:val="16"/>
      </w:rPr>
      <w:t xml:space="preserve">i3 Technologies</w:t>
    </w:r>
    <w:r>
      <w:rPr>
        <w:rFonts w:ascii="Calibri" w:cs="Calibri" w:eastAsia="Calibri" w:hAnsi="Calibri"/>
        <w:color w:val="5A5A5A"/>
        <w:sz w:val="16"/>
        <w:szCs w:val="16"/>
      </w:rPr>
      <w:t xml:space="preserve">	IBM watsonx Orchestrate — Study Guide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rFonts w:ascii="Calibri" w:cs="Calibri" w:eastAsia="Calibri" w:hAnsi="Calibri"/>
        <w:b/>
        <w:bCs/>
        <w:color w:val="0B1F3A"/>
        <w:sz w:val="16"/>
        <w:szCs w:val="16"/>
      </w:rPr>
      <w:t xml:space="preserve">i3 Technologies</w:t>
    </w:r>
    <w:r>
      <w:rPr>
        <w:rFonts w:ascii="Calibri" w:cs="Calibri" w:eastAsia="Calibri" w:hAnsi="Calibri"/>
        <w:color w:val="5A5A5A"/>
        <w:sz w:val="16"/>
        <w:szCs w:val="16"/>
      </w:rPr>
      <w:t xml:space="preserve">	IBM watsonx Orchestrate — Study Guide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rFonts w:ascii="Calibri" w:cs="Calibri" w:eastAsia="Calibri" w:hAnsi="Calibri"/>
        <w:b/>
        <w:bCs/>
        <w:color w:val="0B1F3A"/>
        <w:sz w:val="16"/>
        <w:szCs w:val="16"/>
      </w:rPr>
      <w:t xml:space="preserve">i3 Technologies</w:t>
    </w:r>
    <w:r>
      <w:rPr>
        <w:rFonts w:ascii="Calibri" w:cs="Calibri" w:eastAsia="Calibri" w:hAnsi="Calibri"/>
        <w:color w:val="5A5A5A"/>
        <w:sz w:val="16"/>
        <w:szCs w:val="16"/>
      </w:rPr>
      <w:t xml:space="preserve">	IBM watsonx Orchestrate — Study Guide</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rFonts w:ascii="Calibri" w:cs="Calibri" w:eastAsia="Calibri" w:hAnsi="Calibri"/>
        <w:b/>
        <w:bCs/>
        <w:color w:val="0B1F3A"/>
        <w:sz w:val="16"/>
        <w:szCs w:val="16"/>
      </w:rPr>
      <w:t xml:space="preserve">i3 Technologies</w:t>
    </w:r>
    <w:r>
      <w:rPr>
        <w:rFonts w:ascii="Calibri" w:cs="Calibri" w:eastAsia="Calibri" w:hAnsi="Calibri"/>
        <w:color w:val="5A5A5A"/>
        <w:sz w:val="16"/>
        <w:szCs w:val="16"/>
      </w:rPr>
      <w:t xml:space="preserve">	IBM watsonx Orchestrate — Study Guide</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rFonts w:ascii="Calibri" w:cs="Calibri" w:eastAsia="Calibri" w:hAnsi="Calibri"/>
        <w:b/>
        <w:bCs/>
        <w:color w:val="0B1F3A"/>
        <w:sz w:val="16"/>
        <w:szCs w:val="16"/>
      </w:rPr>
      <w:t xml:space="preserve">i3 Technologies</w:t>
    </w:r>
    <w:r>
      <w:rPr>
        <w:rFonts w:ascii="Calibri" w:cs="Calibri" w:eastAsia="Calibri" w:hAnsi="Calibri"/>
        <w:color w:val="5A5A5A"/>
        <w:sz w:val="16"/>
        <w:szCs w:val="16"/>
      </w:rPr>
      <w:t xml:space="preserve">	IBM watsonx Orchestrate — Study Guide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rFonts w:ascii="Calibri" w:cs="Calibri" w:eastAsia="Calibri" w:hAnsi="Calibri"/>
        <w:b/>
        <w:bCs/>
        <w:color w:val="0B1F3A"/>
        <w:sz w:val="16"/>
        <w:szCs w:val="16"/>
      </w:rPr>
      <w:t xml:space="preserve">i3 Technologies</w:t>
    </w:r>
    <w:r>
      <w:rPr>
        <w:rFonts w:ascii="Calibri" w:cs="Calibri" w:eastAsia="Calibri" w:hAnsi="Calibri"/>
        <w:color w:val="5A5A5A"/>
        <w:sz w:val="16"/>
        <w:szCs w:val="16"/>
      </w:rPr>
      <w:t xml:space="preserve">	IBM watsonx Orchestrate — Study Guide</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rFonts w:ascii="Calibri" w:cs="Calibri" w:eastAsia="Calibri" w:hAnsi="Calibri"/>
        <w:b/>
        <w:bCs/>
        <w:color w:val="0B1F3A"/>
        <w:sz w:val="16"/>
        <w:szCs w:val="16"/>
      </w:rPr>
      <w:t xml:space="preserve">i3 Technologies</w:t>
    </w:r>
    <w:r>
      <w:rPr>
        <w:rFonts w:ascii="Calibri" w:cs="Calibri" w:eastAsia="Calibri" w:hAnsi="Calibri"/>
        <w:color w:val="5A5A5A"/>
        <w:sz w:val="16"/>
        <w:szCs w:val="16"/>
      </w:rPr>
      <w:t xml:space="preserve">	IBM watsonx Orchestrate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watsonx Orchestrate — Comprehensive Study Guide</dc:title>
  <dc:creator>i3 Technologies Ltd</dc:creator>
  <dc:description>Comprehensive study guide covering IBM watsonx Orchestrate developer articles and tutorials</dc:description>
  <cp:lastModifiedBy>Un-named</cp:lastModifiedBy>
  <cp:revision>1</cp:revision>
  <dcterms:created xsi:type="dcterms:W3CDTF">2026-09-10T18:33:26.323Z</dcterms:created>
  <dcterms:modified xsi:type="dcterms:W3CDTF">2026-09-10T18:33:26.323Z</dcterms:modified>
</cp:coreProperties>
</file>

<file path=docProps/custom.xml><?xml version="1.0" encoding="utf-8"?>
<Properties xmlns="http://schemas.openxmlformats.org/officeDocument/2006/custom-properties" xmlns:vt="http://schemas.openxmlformats.org/officeDocument/2006/docPropsVTypes"/>
</file>