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74B1" w14:textId="77777777" w:rsidR="00FC40E8" w:rsidRDefault="00FC40E8">
      <w:pPr>
        <w:spacing w:before="1400"/>
      </w:pPr>
    </w:p>
    <w:p w14:paraId="694F5BAD" w14:textId="77777777" w:rsidR="00FC40E8" w:rsidRDefault="00000000">
      <w:pPr>
        <w:jc w:val="center"/>
      </w:pPr>
      <w:r>
        <w:rPr>
          <w:b/>
          <w:bCs/>
          <w:color w:val="14213D"/>
          <w:spacing w:val="20"/>
          <w:sz w:val="30"/>
          <w:szCs w:val="30"/>
        </w:rPr>
        <w:t>i3 TECHNOLOGIES</w:t>
      </w:r>
    </w:p>
    <w:p w14:paraId="247CF097" w14:textId="77777777" w:rsidR="00FC40E8" w:rsidRDefault="00000000">
      <w:pPr>
        <w:spacing w:before="80"/>
        <w:jc w:val="center"/>
      </w:pPr>
      <w:r>
        <w:rPr>
          <w:i/>
          <w:iCs/>
          <w:color w:val="444444"/>
          <w:sz w:val="18"/>
          <w:szCs w:val="18"/>
        </w:rPr>
        <w:t>Instrumented Interconnected &amp; Intelligent Technologies Limited</w:t>
      </w:r>
    </w:p>
    <w:p w14:paraId="6826842E" w14:textId="77777777" w:rsidR="00FC40E8" w:rsidRDefault="00FC40E8">
      <w:pPr>
        <w:spacing w:before="900"/>
      </w:pPr>
    </w:p>
    <w:p w14:paraId="28A9C2D0" w14:textId="77777777" w:rsidR="00FC40E8" w:rsidRDefault="00000000">
      <w:pPr>
        <w:jc w:val="center"/>
      </w:pPr>
      <w:r>
        <w:rPr>
          <w:b/>
          <w:bCs/>
          <w:color w:val="14213D"/>
          <w:sz w:val="44"/>
          <w:szCs w:val="44"/>
        </w:rPr>
        <w:t>TECHNICAL BUILD DOCUMENT</w:t>
      </w:r>
    </w:p>
    <w:p w14:paraId="13A360D5" w14:textId="77777777" w:rsidR="00FC40E8" w:rsidRDefault="00000000">
      <w:pPr>
        <w:spacing w:before="200"/>
        <w:jc w:val="center"/>
      </w:pPr>
      <w:r>
        <w:rPr>
          <w:b/>
          <w:bCs/>
          <w:color w:val="2EC4B6"/>
          <w:sz w:val="32"/>
          <w:szCs w:val="32"/>
        </w:rPr>
        <w:t>i3 Precision Marketing Cloud (i3 PMC)</w:t>
      </w:r>
    </w:p>
    <w:p w14:paraId="7DC698DA" w14:textId="77777777" w:rsidR="00FC40E8" w:rsidRDefault="00000000">
      <w:pPr>
        <w:spacing w:before="100"/>
        <w:jc w:val="center"/>
      </w:pPr>
      <w:r>
        <w:rPr>
          <w:color w:val="444444"/>
        </w:rPr>
        <w:t>An Enterprise Marketing Automation &amp; Customer Engagement Platform — working title, built on i3's IBM Cloud &amp; Red Hat OpenShift estate</w:t>
      </w:r>
    </w:p>
    <w:p w14:paraId="46E2DC5B" w14:textId="77777777" w:rsidR="00FC40E8" w:rsidRDefault="00FC40E8">
      <w:pPr>
        <w:spacing w:before="1400"/>
      </w:pPr>
    </w:p>
    <w:p w14:paraId="082C5DF6" w14:textId="77777777" w:rsidR="00FC40E8" w:rsidRDefault="00000000">
      <w:pPr>
        <w:jc w:val="center"/>
      </w:pPr>
      <w:r>
        <w:rPr>
          <w:color w:val="444444"/>
          <w:sz w:val="20"/>
          <w:szCs w:val="20"/>
        </w:rPr>
        <w:t>Prepared for: Executive Leadership &amp; Solutions Architecture Review</w:t>
      </w:r>
    </w:p>
    <w:p w14:paraId="291D641C" w14:textId="77777777" w:rsidR="00FC40E8" w:rsidRDefault="00000000">
      <w:pPr>
        <w:spacing w:before="80"/>
        <w:jc w:val="center"/>
      </w:pPr>
      <w:r>
        <w:rPr>
          <w:color w:val="444444"/>
          <w:sz w:val="20"/>
          <w:szCs w:val="20"/>
        </w:rPr>
        <w:t>Prepared by: Philip Mukiti, CEO &amp; Solutions Architect, i3 Technologies</w:t>
      </w:r>
    </w:p>
    <w:p w14:paraId="6796536C" w14:textId="77777777" w:rsidR="00FC40E8" w:rsidRDefault="00000000">
      <w:pPr>
        <w:spacing w:before="80"/>
        <w:jc w:val="center"/>
      </w:pPr>
      <w:r>
        <w:rPr>
          <w:color w:val="444444"/>
          <w:sz w:val="20"/>
          <w:szCs w:val="20"/>
        </w:rPr>
        <w:t>Classification: Internal — Strategy &amp; Architecture</w:t>
      </w:r>
    </w:p>
    <w:p w14:paraId="0D0B3A7E" w14:textId="77777777" w:rsidR="00FC40E8" w:rsidRDefault="00000000">
      <w:pPr>
        <w:spacing w:before="80"/>
        <w:jc w:val="center"/>
      </w:pPr>
      <w:r>
        <w:rPr>
          <w:color w:val="444444"/>
          <w:sz w:val="20"/>
          <w:szCs w:val="20"/>
        </w:rPr>
        <w:t>September 2026 · Version 0.1 (Draft for Review)</w:t>
      </w:r>
    </w:p>
    <w:p w14:paraId="02CFA89A" w14:textId="77777777" w:rsidR="00FC40E8" w:rsidRDefault="00000000">
      <w:r>
        <w:br w:type="page"/>
      </w:r>
    </w:p>
    <w:p w14:paraId="7383D197" w14:textId="77777777" w:rsidR="00FC40E8" w:rsidRDefault="00000000">
      <w:pPr>
        <w:pStyle w:val="Heading1"/>
        <w:pBdr>
          <w:bottom w:val="single" w:sz="12" w:space="4" w:color="FCA311"/>
        </w:pBdr>
      </w:pPr>
      <w:bookmarkStart w:id="0" w:name="_Toc240719823"/>
      <w:r>
        <w:lastRenderedPageBreak/>
        <w:t>Table of Contents</w:t>
      </w:r>
      <w:bookmarkEnd w:id="0"/>
    </w:p>
    <w:sdt>
      <w:sdtPr>
        <w:alias w:val="Table of Contents"/>
        <w:id w:val="-93867843"/>
      </w:sdtPr>
      <w:sdtContent>
        <w:p w14:paraId="230C9029" w14:textId="77777777" w:rsidR="00FD3A96" w:rsidRDefault="00000000">
          <w:pPr>
            <w:pStyle w:val="TOC1"/>
            <w:tabs>
              <w:tab w:val="right" w:leader="dot" w:pos="10070"/>
            </w:tabs>
            <w:rPr>
              <w:noProof/>
            </w:rPr>
          </w:pPr>
          <w:r>
            <w:fldChar w:fldCharType="begin"/>
          </w:r>
          <w:r>
            <w:instrText>TOC \h \o "1-3"</w:instrText>
          </w:r>
          <w:r>
            <w:fldChar w:fldCharType="separate"/>
          </w:r>
          <w:hyperlink w:anchor="_Toc240719823" w:history="1">
            <w:r w:rsidR="00FD3A96" w:rsidRPr="00C17AC4">
              <w:rPr>
                <w:rStyle w:val="Hyperlink"/>
                <w:noProof/>
              </w:rPr>
              <w:t>Table of Contents</w:t>
            </w:r>
            <w:r w:rsidR="00FD3A96">
              <w:rPr>
                <w:noProof/>
              </w:rPr>
              <w:tab/>
            </w:r>
            <w:r w:rsidR="00FD3A96">
              <w:rPr>
                <w:noProof/>
              </w:rPr>
              <w:fldChar w:fldCharType="begin"/>
            </w:r>
            <w:r w:rsidR="00FD3A96">
              <w:rPr>
                <w:noProof/>
              </w:rPr>
              <w:instrText xml:space="preserve"> PAGEREF _Toc240719823 \h </w:instrText>
            </w:r>
            <w:r w:rsidR="00FD3A96">
              <w:rPr>
                <w:noProof/>
              </w:rPr>
            </w:r>
            <w:r w:rsidR="00FD3A96">
              <w:rPr>
                <w:noProof/>
              </w:rPr>
              <w:fldChar w:fldCharType="separate"/>
            </w:r>
            <w:r w:rsidR="00FD3A96">
              <w:rPr>
                <w:noProof/>
              </w:rPr>
              <w:t>1</w:t>
            </w:r>
            <w:r w:rsidR="00FD3A96">
              <w:rPr>
                <w:noProof/>
              </w:rPr>
              <w:fldChar w:fldCharType="end"/>
            </w:r>
          </w:hyperlink>
        </w:p>
        <w:p w14:paraId="34033A81" w14:textId="77777777" w:rsidR="00FD3A96" w:rsidRDefault="00FD3A96">
          <w:pPr>
            <w:pStyle w:val="TOC1"/>
            <w:tabs>
              <w:tab w:val="right" w:leader="dot" w:pos="10070"/>
            </w:tabs>
            <w:rPr>
              <w:noProof/>
            </w:rPr>
          </w:pPr>
          <w:hyperlink w:anchor="_Toc240719824" w:history="1">
            <w:r w:rsidRPr="00C17AC4">
              <w:rPr>
                <w:rStyle w:val="Hyperlink"/>
                <w:noProof/>
              </w:rPr>
              <w:t>1. Executive Summary</w:t>
            </w:r>
            <w:r>
              <w:rPr>
                <w:noProof/>
              </w:rPr>
              <w:tab/>
            </w:r>
            <w:r>
              <w:rPr>
                <w:noProof/>
              </w:rPr>
              <w:fldChar w:fldCharType="begin"/>
            </w:r>
            <w:r>
              <w:rPr>
                <w:noProof/>
              </w:rPr>
              <w:instrText xml:space="preserve"> PAGEREF _Toc240719824 \h </w:instrText>
            </w:r>
            <w:r>
              <w:rPr>
                <w:noProof/>
              </w:rPr>
            </w:r>
            <w:r>
              <w:rPr>
                <w:noProof/>
              </w:rPr>
              <w:fldChar w:fldCharType="separate"/>
            </w:r>
            <w:r>
              <w:rPr>
                <w:noProof/>
              </w:rPr>
              <w:t>1</w:t>
            </w:r>
            <w:r>
              <w:rPr>
                <w:noProof/>
              </w:rPr>
              <w:fldChar w:fldCharType="end"/>
            </w:r>
          </w:hyperlink>
        </w:p>
        <w:p w14:paraId="7AE836E2" w14:textId="77777777" w:rsidR="00FD3A96" w:rsidRDefault="00FD3A96">
          <w:pPr>
            <w:pStyle w:val="TOC1"/>
            <w:tabs>
              <w:tab w:val="right" w:leader="dot" w:pos="10070"/>
            </w:tabs>
            <w:rPr>
              <w:noProof/>
            </w:rPr>
          </w:pPr>
          <w:hyperlink w:anchor="_Toc240719825" w:history="1">
            <w:r w:rsidRPr="00C17AC4">
              <w:rPr>
                <w:rStyle w:val="Hyperlink"/>
                <w:noProof/>
              </w:rPr>
              <w:t>2. Competitive Landscape Review</w:t>
            </w:r>
            <w:r>
              <w:rPr>
                <w:noProof/>
              </w:rPr>
              <w:tab/>
            </w:r>
            <w:r>
              <w:rPr>
                <w:noProof/>
              </w:rPr>
              <w:fldChar w:fldCharType="begin"/>
            </w:r>
            <w:r>
              <w:rPr>
                <w:noProof/>
              </w:rPr>
              <w:instrText xml:space="preserve"> PAGEREF _Toc240719825 \h </w:instrText>
            </w:r>
            <w:r>
              <w:rPr>
                <w:noProof/>
              </w:rPr>
            </w:r>
            <w:r>
              <w:rPr>
                <w:noProof/>
              </w:rPr>
              <w:fldChar w:fldCharType="separate"/>
            </w:r>
            <w:r>
              <w:rPr>
                <w:noProof/>
              </w:rPr>
              <w:t>1</w:t>
            </w:r>
            <w:r>
              <w:rPr>
                <w:noProof/>
              </w:rPr>
              <w:fldChar w:fldCharType="end"/>
            </w:r>
          </w:hyperlink>
        </w:p>
        <w:p w14:paraId="398E7C01" w14:textId="77777777" w:rsidR="00FD3A96" w:rsidRDefault="00FD3A96">
          <w:pPr>
            <w:pStyle w:val="TOC2"/>
            <w:tabs>
              <w:tab w:val="right" w:leader="dot" w:pos="10070"/>
            </w:tabs>
            <w:rPr>
              <w:noProof/>
            </w:rPr>
          </w:pPr>
          <w:hyperlink w:anchor="_Toc240719826" w:history="1">
            <w:r w:rsidRPr="00C17AC4">
              <w:rPr>
                <w:rStyle w:val="Hyperlink"/>
                <w:noProof/>
              </w:rPr>
              <w:t>2.1 HCL Unica — Reference Platform</w:t>
            </w:r>
            <w:r>
              <w:rPr>
                <w:noProof/>
              </w:rPr>
              <w:tab/>
            </w:r>
            <w:r>
              <w:rPr>
                <w:noProof/>
              </w:rPr>
              <w:fldChar w:fldCharType="begin"/>
            </w:r>
            <w:r>
              <w:rPr>
                <w:noProof/>
              </w:rPr>
              <w:instrText xml:space="preserve"> PAGEREF _Toc240719826 \h </w:instrText>
            </w:r>
            <w:r>
              <w:rPr>
                <w:noProof/>
              </w:rPr>
            </w:r>
            <w:r>
              <w:rPr>
                <w:noProof/>
              </w:rPr>
              <w:fldChar w:fldCharType="separate"/>
            </w:r>
            <w:r>
              <w:rPr>
                <w:noProof/>
              </w:rPr>
              <w:t>1</w:t>
            </w:r>
            <w:r>
              <w:rPr>
                <w:noProof/>
              </w:rPr>
              <w:fldChar w:fldCharType="end"/>
            </w:r>
          </w:hyperlink>
        </w:p>
        <w:p w14:paraId="2A380E9A" w14:textId="77777777" w:rsidR="00FD3A96" w:rsidRDefault="00FD3A96">
          <w:pPr>
            <w:pStyle w:val="TOC2"/>
            <w:tabs>
              <w:tab w:val="right" w:leader="dot" w:pos="10070"/>
            </w:tabs>
            <w:rPr>
              <w:noProof/>
            </w:rPr>
          </w:pPr>
          <w:hyperlink w:anchor="_Toc240719827" w:history="1">
            <w:r w:rsidRPr="00C17AC4">
              <w:rPr>
                <w:rStyle w:val="Hyperlink"/>
                <w:noProof/>
              </w:rPr>
              <w:t>2.2 Comparative Matrix</w:t>
            </w:r>
            <w:r>
              <w:rPr>
                <w:noProof/>
              </w:rPr>
              <w:tab/>
            </w:r>
            <w:r>
              <w:rPr>
                <w:noProof/>
              </w:rPr>
              <w:fldChar w:fldCharType="begin"/>
            </w:r>
            <w:r>
              <w:rPr>
                <w:noProof/>
              </w:rPr>
              <w:instrText xml:space="preserve"> PAGEREF _Toc240719827 \h </w:instrText>
            </w:r>
            <w:r>
              <w:rPr>
                <w:noProof/>
              </w:rPr>
            </w:r>
            <w:r>
              <w:rPr>
                <w:noProof/>
              </w:rPr>
              <w:fldChar w:fldCharType="separate"/>
            </w:r>
            <w:r>
              <w:rPr>
                <w:noProof/>
              </w:rPr>
              <w:t>1</w:t>
            </w:r>
            <w:r>
              <w:rPr>
                <w:noProof/>
              </w:rPr>
              <w:fldChar w:fldCharType="end"/>
            </w:r>
          </w:hyperlink>
        </w:p>
        <w:p w14:paraId="4394F46D" w14:textId="77777777" w:rsidR="00FD3A96" w:rsidRDefault="00FD3A96">
          <w:pPr>
            <w:pStyle w:val="TOC2"/>
            <w:tabs>
              <w:tab w:val="right" w:leader="dot" w:pos="10070"/>
            </w:tabs>
            <w:rPr>
              <w:noProof/>
            </w:rPr>
          </w:pPr>
          <w:hyperlink w:anchor="_Toc240719828" w:history="1">
            <w:r w:rsidRPr="00C17AC4">
              <w:rPr>
                <w:rStyle w:val="Hyperlink"/>
                <w:noProof/>
              </w:rPr>
              <w:t>2.3 Strategic Takeaway</w:t>
            </w:r>
            <w:r>
              <w:rPr>
                <w:noProof/>
              </w:rPr>
              <w:tab/>
            </w:r>
            <w:r>
              <w:rPr>
                <w:noProof/>
              </w:rPr>
              <w:fldChar w:fldCharType="begin"/>
            </w:r>
            <w:r>
              <w:rPr>
                <w:noProof/>
              </w:rPr>
              <w:instrText xml:space="preserve"> PAGEREF _Toc240719828 \h </w:instrText>
            </w:r>
            <w:r>
              <w:rPr>
                <w:noProof/>
              </w:rPr>
            </w:r>
            <w:r>
              <w:rPr>
                <w:noProof/>
              </w:rPr>
              <w:fldChar w:fldCharType="separate"/>
            </w:r>
            <w:r>
              <w:rPr>
                <w:noProof/>
              </w:rPr>
              <w:t>1</w:t>
            </w:r>
            <w:r>
              <w:rPr>
                <w:noProof/>
              </w:rPr>
              <w:fldChar w:fldCharType="end"/>
            </w:r>
          </w:hyperlink>
        </w:p>
        <w:p w14:paraId="4471C234" w14:textId="77777777" w:rsidR="00FD3A96" w:rsidRDefault="00FD3A96">
          <w:pPr>
            <w:pStyle w:val="TOC1"/>
            <w:tabs>
              <w:tab w:val="right" w:leader="dot" w:pos="10070"/>
            </w:tabs>
            <w:rPr>
              <w:noProof/>
            </w:rPr>
          </w:pPr>
          <w:hyperlink w:anchor="_Toc240719829" w:history="1">
            <w:r w:rsidRPr="00C17AC4">
              <w:rPr>
                <w:rStyle w:val="Hyperlink"/>
                <w:noProof/>
              </w:rPr>
              <w:t>3. Product Vision &amp; Scope</w:t>
            </w:r>
            <w:r>
              <w:rPr>
                <w:noProof/>
              </w:rPr>
              <w:tab/>
            </w:r>
            <w:r>
              <w:rPr>
                <w:noProof/>
              </w:rPr>
              <w:fldChar w:fldCharType="begin"/>
            </w:r>
            <w:r>
              <w:rPr>
                <w:noProof/>
              </w:rPr>
              <w:instrText xml:space="preserve"> PAGEREF _Toc240719829 \h </w:instrText>
            </w:r>
            <w:r>
              <w:rPr>
                <w:noProof/>
              </w:rPr>
            </w:r>
            <w:r>
              <w:rPr>
                <w:noProof/>
              </w:rPr>
              <w:fldChar w:fldCharType="separate"/>
            </w:r>
            <w:r>
              <w:rPr>
                <w:noProof/>
              </w:rPr>
              <w:t>1</w:t>
            </w:r>
            <w:r>
              <w:rPr>
                <w:noProof/>
              </w:rPr>
              <w:fldChar w:fldCharType="end"/>
            </w:r>
          </w:hyperlink>
        </w:p>
        <w:p w14:paraId="5B341F1A" w14:textId="77777777" w:rsidR="00FD3A96" w:rsidRDefault="00FD3A96">
          <w:pPr>
            <w:pStyle w:val="TOC2"/>
            <w:tabs>
              <w:tab w:val="right" w:leader="dot" w:pos="10070"/>
            </w:tabs>
            <w:rPr>
              <w:noProof/>
            </w:rPr>
          </w:pPr>
          <w:hyperlink w:anchor="_Toc240719830" w:history="1">
            <w:r w:rsidRPr="00C17AC4">
              <w:rPr>
                <w:rStyle w:val="Hyperlink"/>
                <w:noProof/>
              </w:rPr>
              <w:t>3.1 Vision</w:t>
            </w:r>
            <w:r>
              <w:rPr>
                <w:noProof/>
              </w:rPr>
              <w:tab/>
            </w:r>
            <w:r>
              <w:rPr>
                <w:noProof/>
              </w:rPr>
              <w:fldChar w:fldCharType="begin"/>
            </w:r>
            <w:r>
              <w:rPr>
                <w:noProof/>
              </w:rPr>
              <w:instrText xml:space="preserve"> PAGEREF _Toc240719830 \h </w:instrText>
            </w:r>
            <w:r>
              <w:rPr>
                <w:noProof/>
              </w:rPr>
            </w:r>
            <w:r>
              <w:rPr>
                <w:noProof/>
              </w:rPr>
              <w:fldChar w:fldCharType="separate"/>
            </w:r>
            <w:r>
              <w:rPr>
                <w:noProof/>
              </w:rPr>
              <w:t>1</w:t>
            </w:r>
            <w:r>
              <w:rPr>
                <w:noProof/>
              </w:rPr>
              <w:fldChar w:fldCharType="end"/>
            </w:r>
          </w:hyperlink>
        </w:p>
        <w:p w14:paraId="799A1CF5" w14:textId="77777777" w:rsidR="00FD3A96" w:rsidRDefault="00FD3A96">
          <w:pPr>
            <w:pStyle w:val="TOC2"/>
            <w:tabs>
              <w:tab w:val="right" w:leader="dot" w:pos="10070"/>
            </w:tabs>
            <w:rPr>
              <w:noProof/>
            </w:rPr>
          </w:pPr>
          <w:hyperlink w:anchor="_Toc240719831" w:history="1">
            <w:r w:rsidRPr="00C17AC4">
              <w:rPr>
                <w:rStyle w:val="Hyperlink"/>
                <w:noProof/>
              </w:rPr>
              <w:t>3.2 In-Scope Modules (Release 1.0 target parity)</w:t>
            </w:r>
            <w:r>
              <w:rPr>
                <w:noProof/>
              </w:rPr>
              <w:tab/>
            </w:r>
            <w:r>
              <w:rPr>
                <w:noProof/>
              </w:rPr>
              <w:fldChar w:fldCharType="begin"/>
            </w:r>
            <w:r>
              <w:rPr>
                <w:noProof/>
              </w:rPr>
              <w:instrText xml:space="preserve"> PAGEREF _Toc240719831 \h </w:instrText>
            </w:r>
            <w:r>
              <w:rPr>
                <w:noProof/>
              </w:rPr>
            </w:r>
            <w:r>
              <w:rPr>
                <w:noProof/>
              </w:rPr>
              <w:fldChar w:fldCharType="separate"/>
            </w:r>
            <w:r>
              <w:rPr>
                <w:noProof/>
              </w:rPr>
              <w:t>1</w:t>
            </w:r>
            <w:r>
              <w:rPr>
                <w:noProof/>
              </w:rPr>
              <w:fldChar w:fldCharType="end"/>
            </w:r>
          </w:hyperlink>
        </w:p>
        <w:p w14:paraId="2855CE27" w14:textId="77777777" w:rsidR="00FD3A96" w:rsidRDefault="00FD3A96">
          <w:pPr>
            <w:pStyle w:val="TOC2"/>
            <w:tabs>
              <w:tab w:val="right" w:leader="dot" w:pos="10070"/>
            </w:tabs>
            <w:rPr>
              <w:noProof/>
            </w:rPr>
          </w:pPr>
          <w:hyperlink w:anchor="_Toc240719832" w:history="1">
            <w:r w:rsidRPr="00C17AC4">
              <w:rPr>
                <w:rStyle w:val="Hyperlink"/>
                <w:noProof/>
              </w:rPr>
              <w:t>3.3 Out of Scope (Release 1.0)</w:t>
            </w:r>
            <w:r>
              <w:rPr>
                <w:noProof/>
              </w:rPr>
              <w:tab/>
            </w:r>
            <w:r>
              <w:rPr>
                <w:noProof/>
              </w:rPr>
              <w:fldChar w:fldCharType="begin"/>
            </w:r>
            <w:r>
              <w:rPr>
                <w:noProof/>
              </w:rPr>
              <w:instrText xml:space="preserve"> PAGEREF _Toc240719832 \h </w:instrText>
            </w:r>
            <w:r>
              <w:rPr>
                <w:noProof/>
              </w:rPr>
            </w:r>
            <w:r>
              <w:rPr>
                <w:noProof/>
              </w:rPr>
              <w:fldChar w:fldCharType="separate"/>
            </w:r>
            <w:r>
              <w:rPr>
                <w:noProof/>
              </w:rPr>
              <w:t>1</w:t>
            </w:r>
            <w:r>
              <w:rPr>
                <w:noProof/>
              </w:rPr>
              <w:fldChar w:fldCharType="end"/>
            </w:r>
          </w:hyperlink>
        </w:p>
        <w:p w14:paraId="7ED27E6A" w14:textId="77777777" w:rsidR="00FD3A96" w:rsidRDefault="00FD3A96">
          <w:pPr>
            <w:pStyle w:val="TOC1"/>
            <w:tabs>
              <w:tab w:val="right" w:leader="dot" w:pos="10070"/>
            </w:tabs>
            <w:rPr>
              <w:noProof/>
            </w:rPr>
          </w:pPr>
          <w:hyperlink w:anchor="_Toc240719833" w:history="1">
            <w:r w:rsidRPr="00C17AC4">
              <w:rPr>
                <w:rStyle w:val="Hyperlink"/>
                <w:noProof/>
              </w:rPr>
              <w:t>4. Technical Architecture</w:t>
            </w:r>
            <w:r>
              <w:rPr>
                <w:noProof/>
              </w:rPr>
              <w:tab/>
            </w:r>
            <w:r>
              <w:rPr>
                <w:noProof/>
              </w:rPr>
              <w:fldChar w:fldCharType="begin"/>
            </w:r>
            <w:r>
              <w:rPr>
                <w:noProof/>
              </w:rPr>
              <w:instrText xml:space="preserve"> PAGEREF _Toc240719833 \h </w:instrText>
            </w:r>
            <w:r>
              <w:rPr>
                <w:noProof/>
              </w:rPr>
            </w:r>
            <w:r>
              <w:rPr>
                <w:noProof/>
              </w:rPr>
              <w:fldChar w:fldCharType="separate"/>
            </w:r>
            <w:r>
              <w:rPr>
                <w:noProof/>
              </w:rPr>
              <w:t>1</w:t>
            </w:r>
            <w:r>
              <w:rPr>
                <w:noProof/>
              </w:rPr>
              <w:fldChar w:fldCharType="end"/>
            </w:r>
          </w:hyperlink>
        </w:p>
        <w:p w14:paraId="6C4896F3" w14:textId="77777777" w:rsidR="00FD3A96" w:rsidRDefault="00FD3A96">
          <w:pPr>
            <w:pStyle w:val="TOC2"/>
            <w:tabs>
              <w:tab w:val="right" w:leader="dot" w:pos="10070"/>
            </w:tabs>
            <w:rPr>
              <w:noProof/>
            </w:rPr>
          </w:pPr>
          <w:hyperlink w:anchor="_Toc240719834" w:history="1">
            <w:r w:rsidRPr="00C17AC4">
              <w:rPr>
                <w:rStyle w:val="Hyperlink"/>
                <w:noProof/>
              </w:rPr>
              <w:t>4.1 Architecture Principles</w:t>
            </w:r>
            <w:r>
              <w:rPr>
                <w:noProof/>
              </w:rPr>
              <w:tab/>
            </w:r>
            <w:r>
              <w:rPr>
                <w:noProof/>
              </w:rPr>
              <w:fldChar w:fldCharType="begin"/>
            </w:r>
            <w:r>
              <w:rPr>
                <w:noProof/>
              </w:rPr>
              <w:instrText xml:space="preserve"> PAGEREF _Toc240719834 \h </w:instrText>
            </w:r>
            <w:r>
              <w:rPr>
                <w:noProof/>
              </w:rPr>
            </w:r>
            <w:r>
              <w:rPr>
                <w:noProof/>
              </w:rPr>
              <w:fldChar w:fldCharType="separate"/>
            </w:r>
            <w:r>
              <w:rPr>
                <w:noProof/>
              </w:rPr>
              <w:t>1</w:t>
            </w:r>
            <w:r>
              <w:rPr>
                <w:noProof/>
              </w:rPr>
              <w:fldChar w:fldCharType="end"/>
            </w:r>
          </w:hyperlink>
        </w:p>
        <w:p w14:paraId="37D3DE97" w14:textId="77777777" w:rsidR="00FD3A96" w:rsidRDefault="00FD3A96">
          <w:pPr>
            <w:pStyle w:val="TOC2"/>
            <w:tabs>
              <w:tab w:val="right" w:leader="dot" w:pos="10070"/>
            </w:tabs>
            <w:rPr>
              <w:noProof/>
            </w:rPr>
          </w:pPr>
          <w:hyperlink w:anchor="_Toc240719835" w:history="1">
            <w:r w:rsidRPr="00C17AC4">
              <w:rPr>
                <w:rStyle w:val="Hyperlink"/>
                <w:noProof/>
              </w:rPr>
              <w:t>4.2 Logical Architecture Layers</w:t>
            </w:r>
            <w:r>
              <w:rPr>
                <w:noProof/>
              </w:rPr>
              <w:tab/>
            </w:r>
            <w:r>
              <w:rPr>
                <w:noProof/>
              </w:rPr>
              <w:fldChar w:fldCharType="begin"/>
            </w:r>
            <w:r>
              <w:rPr>
                <w:noProof/>
              </w:rPr>
              <w:instrText xml:space="preserve"> PAGEREF _Toc240719835 \h </w:instrText>
            </w:r>
            <w:r>
              <w:rPr>
                <w:noProof/>
              </w:rPr>
            </w:r>
            <w:r>
              <w:rPr>
                <w:noProof/>
              </w:rPr>
              <w:fldChar w:fldCharType="separate"/>
            </w:r>
            <w:r>
              <w:rPr>
                <w:noProof/>
              </w:rPr>
              <w:t>1</w:t>
            </w:r>
            <w:r>
              <w:rPr>
                <w:noProof/>
              </w:rPr>
              <w:fldChar w:fldCharType="end"/>
            </w:r>
          </w:hyperlink>
        </w:p>
        <w:p w14:paraId="560F1980" w14:textId="77777777" w:rsidR="00FD3A96" w:rsidRDefault="00FD3A96">
          <w:pPr>
            <w:pStyle w:val="TOC2"/>
            <w:tabs>
              <w:tab w:val="right" w:leader="dot" w:pos="10070"/>
            </w:tabs>
            <w:rPr>
              <w:noProof/>
            </w:rPr>
          </w:pPr>
          <w:hyperlink w:anchor="_Toc240719836" w:history="1">
            <w:r w:rsidRPr="00C17AC4">
              <w:rPr>
                <w:rStyle w:val="Hyperlink"/>
                <w:noProof/>
              </w:rPr>
              <w:t>4.3 Deployment Topology</w:t>
            </w:r>
            <w:r>
              <w:rPr>
                <w:noProof/>
              </w:rPr>
              <w:tab/>
            </w:r>
            <w:r>
              <w:rPr>
                <w:noProof/>
              </w:rPr>
              <w:fldChar w:fldCharType="begin"/>
            </w:r>
            <w:r>
              <w:rPr>
                <w:noProof/>
              </w:rPr>
              <w:instrText xml:space="preserve"> PAGEREF _Toc240719836 \h </w:instrText>
            </w:r>
            <w:r>
              <w:rPr>
                <w:noProof/>
              </w:rPr>
            </w:r>
            <w:r>
              <w:rPr>
                <w:noProof/>
              </w:rPr>
              <w:fldChar w:fldCharType="separate"/>
            </w:r>
            <w:r>
              <w:rPr>
                <w:noProof/>
              </w:rPr>
              <w:t>1</w:t>
            </w:r>
            <w:r>
              <w:rPr>
                <w:noProof/>
              </w:rPr>
              <w:fldChar w:fldCharType="end"/>
            </w:r>
          </w:hyperlink>
        </w:p>
        <w:p w14:paraId="1C522AC1" w14:textId="77777777" w:rsidR="00FD3A96" w:rsidRDefault="00FD3A96">
          <w:pPr>
            <w:pStyle w:val="TOC2"/>
            <w:tabs>
              <w:tab w:val="right" w:leader="dot" w:pos="10070"/>
            </w:tabs>
            <w:rPr>
              <w:noProof/>
            </w:rPr>
          </w:pPr>
          <w:hyperlink w:anchor="_Toc240719837" w:history="1">
            <w:r w:rsidRPr="00C17AC4">
              <w:rPr>
                <w:rStyle w:val="Hyperlink"/>
                <w:noProof/>
              </w:rPr>
              <w:t>4.4 Agentic AI Layer</w:t>
            </w:r>
            <w:r>
              <w:rPr>
                <w:noProof/>
              </w:rPr>
              <w:tab/>
            </w:r>
            <w:r>
              <w:rPr>
                <w:noProof/>
              </w:rPr>
              <w:fldChar w:fldCharType="begin"/>
            </w:r>
            <w:r>
              <w:rPr>
                <w:noProof/>
              </w:rPr>
              <w:instrText xml:space="preserve"> PAGEREF _Toc240719837 \h </w:instrText>
            </w:r>
            <w:r>
              <w:rPr>
                <w:noProof/>
              </w:rPr>
            </w:r>
            <w:r>
              <w:rPr>
                <w:noProof/>
              </w:rPr>
              <w:fldChar w:fldCharType="separate"/>
            </w:r>
            <w:r>
              <w:rPr>
                <w:noProof/>
              </w:rPr>
              <w:t>1</w:t>
            </w:r>
            <w:r>
              <w:rPr>
                <w:noProof/>
              </w:rPr>
              <w:fldChar w:fldCharType="end"/>
            </w:r>
          </w:hyperlink>
        </w:p>
        <w:p w14:paraId="173EED21" w14:textId="77777777" w:rsidR="00FD3A96" w:rsidRDefault="00FD3A96">
          <w:pPr>
            <w:pStyle w:val="TOC1"/>
            <w:tabs>
              <w:tab w:val="right" w:leader="dot" w:pos="10070"/>
            </w:tabs>
            <w:rPr>
              <w:noProof/>
            </w:rPr>
          </w:pPr>
          <w:hyperlink w:anchor="_Toc240719838" w:history="1">
            <w:r w:rsidRPr="00C17AC4">
              <w:rPr>
                <w:rStyle w:val="Hyperlink"/>
                <w:noProof/>
              </w:rPr>
              <w:t>5. Core Data Model</w:t>
            </w:r>
            <w:r>
              <w:rPr>
                <w:noProof/>
              </w:rPr>
              <w:tab/>
            </w:r>
            <w:r>
              <w:rPr>
                <w:noProof/>
              </w:rPr>
              <w:fldChar w:fldCharType="begin"/>
            </w:r>
            <w:r>
              <w:rPr>
                <w:noProof/>
              </w:rPr>
              <w:instrText xml:space="preserve"> PAGEREF _Toc240719838 \h </w:instrText>
            </w:r>
            <w:r>
              <w:rPr>
                <w:noProof/>
              </w:rPr>
            </w:r>
            <w:r>
              <w:rPr>
                <w:noProof/>
              </w:rPr>
              <w:fldChar w:fldCharType="separate"/>
            </w:r>
            <w:r>
              <w:rPr>
                <w:noProof/>
              </w:rPr>
              <w:t>1</w:t>
            </w:r>
            <w:r>
              <w:rPr>
                <w:noProof/>
              </w:rPr>
              <w:fldChar w:fldCharType="end"/>
            </w:r>
          </w:hyperlink>
        </w:p>
        <w:p w14:paraId="641BDB9C" w14:textId="77777777" w:rsidR="00FD3A96" w:rsidRDefault="00FD3A96">
          <w:pPr>
            <w:pStyle w:val="TOC1"/>
            <w:tabs>
              <w:tab w:val="right" w:leader="dot" w:pos="10070"/>
            </w:tabs>
            <w:rPr>
              <w:noProof/>
            </w:rPr>
          </w:pPr>
          <w:hyperlink w:anchor="_Toc240719839" w:history="1">
            <w:r w:rsidRPr="00C17AC4">
              <w:rPr>
                <w:rStyle w:val="Hyperlink"/>
                <w:noProof/>
              </w:rPr>
              <w:t>6. Integration Layer (Connect Hub)</w:t>
            </w:r>
            <w:r>
              <w:rPr>
                <w:noProof/>
              </w:rPr>
              <w:tab/>
            </w:r>
            <w:r>
              <w:rPr>
                <w:noProof/>
              </w:rPr>
              <w:fldChar w:fldCharType="begin"/>
            </w:r>
            <w:r>
              <w:rPr>
                <w:noProof/>
              </w:rPr>
              <w:instrText xml:space="preserve"> PAGEREF _Toc240719839 \h </w:instrText>
            </w:r>
            <w:r>
              <w:rPr>
                <w:noProof/>
              </w:rPr>
            </w:r>
            <w:r>
              <w:rPr>
                <w:noProof/>
              </w:rPr>
              <w:fldChar w:fldCharType="separate"/>
            </w:r>
            <w:r>
              <w:rPr>
                <w:noProof/>
              </w:rPr>
              <w:t>1</w:t>
            </w:r>
            <w:r>
              <w:rPr>
                <w:noProof/>
              </w:rPr>
              <w:fldChar w:fldCharType="end"/>
            </w:r>
          </w:hyperlink>
        </w:p>
        <w:p w14:paraId="1BC4DA99" w14:textId="77777777" w:rsidR="00FD3A96" w:rsidRDefault="00FD3A96">
          <w:pPr>
            <w:pStyle w:val="TOC3"/>
            <w:tabs>
              <w:tab w:val="right" w:leader="dot" w:pos="10070"/>
            </w:tabs>
            <w:rPr>
              <w:noProof/>
            </w:rPr>
          </w:pPr>
          <w:hyperlink w:anchor="_Toc240719840" w:history="1">
            <w:r w:rsidRPr="00C17AC4">
              <w:rPr>
                <w:rStyle w:val="Hyperlink"/>
                <w:noProof/>
              </w:rPr>
              <w:t>6.1 Priority Connector Catalog</w:t>
            </w:r>
            <w:r>
              <w:rPr>
                <w:noProof/>
              </w:rPr>
              <w:tab/>
            </w:r>
            <w:r>
              <w:rPr>
                <w:noProof/>
              </w:rPr>
              <w:fldChar w:fldCharType="begin"/>
            </w:r>
            <w:r>
              <w:rPr>
                <w:noProof/>
              </w:rPr>
              <w:instrText xml:space="preserve"> PAGEREF _Toc240719840 \h </w:instrText>
            </w:r>
            <w:r>
              <w:rPr>
                <w:noProof/>
              </w:rPr>
            </w:r>
            <w:r>
              <w:rPr>
                <w:noProof/>
              </w:rPr>
              <w:fldChar w:fldCharType="separate"/>
            </w:r>
            <w:r>
              <w:rPr>
                <w:noProof/>
              </w:rPr>
              <w:t>1</w:t>
            </w:r>
            <w:r>
              <w:rPr>
                <w:noProof/>
              </w:rPr>
              <w:fldChar w:fldCharType="end"/>
            </w:r>
          </w:hyperlink>
        </w:p>
        <w:p w14:paraId="6A02DAC6" w14:textId="77777777" w:rsidR="00FD3A96" w:rsidRDefault="00FD3A96">
          <w:pPr>
            <w:pStyle w:val="TOC3"/>
            <w:tabs>
              <w:tab w:val="right" w:leader="dot" w:pos="10070"/>
            </w:tabs>
            <w:rPr>
              <w:noProof/>
            </w:rPr>
          </w:pPr>
          <w:hyperlink w:anchor="_Toc240719841" w:history="1">
            <w:r w:rsidRPr="00C17AC4">
              <w:rPr>
                <w:rStyle w:val="Hyperlink"/>
                <w:noProof/>
              </w:rPr>
              <w:t>6.2 Integration Pattern</w:t>
            </w:r>
            <w:r>
              <w:rPr>
                <w:noProof/>
              </w:rPr>
              <w:tab/>
            </w:r>
            <w:r>
              <w:rPr>
                <w:noProof/>
              </w:rPr>
              <w:fldChar w:fldCharType="begin"/>
            </w:r>
            <w:r>
              <w:rPr>
                <w:noProof/>
              </w:rPr>
              <w:instrText xml:space="preserve"> PAGEREF _Toc240719841 \h </w:instrText>
            </w:r>
            <w:r>
              <w:rPr>
                <w:noProof/>
              </w:rPr>
            </w:r>
            <w:r>
              <w:rPr>
                <w:noProof/>
              </w:rPr>
              <w:fldChar w:fldCharType="separate"/>
            </w:r>
            <w:r>
              <w:rPr>
                <w:noProof/>
              </w:rPr>
              <w:t>1</w:t>
            </w:r>
            <w:r>
              <w:rPr>
                <w:noProof/>
              </w:rPr>
              <w:fldChar w:fldCharType="end"/>
            </w:r>
          </w:hyperlink>
        </w:p>
        <w:p w14:paraId="0A8FCACE" w14:textId="77777777" w:rsidR="00FD3A96" w:rsidRDefault="00FD3A96">
          <w:pPr>
            <w:pStyle w:val="TOC1"/>
            <w:tabs>
              <w:tab w:val="right" w:leader="dot" w:pos="10070"/>
            </w:tabs>
            <w:rPr>
              <w:noProof/>
            </w:rPr>
          </w:pPr>
          <w:hyperlink w:anchor="_Toc240719842" w:history="1">
            <w:r w:rsidRPr="00C17AC4">
              <w:rPr>
                <w:rStyle w:val="Hyperlink"/>
                <w:noProof/>
              </w:rPr>
              <w:t>7. Security, Privacy &amp; Compliance</w:t>
            </w:r>
            <w:r>
              <w:rPr>
                <w:noProof/>
              </w:rPr>
              <w:tab/>
            </w:r>
            <w:r>
              <w:rPr>
                <w:noProof/>
              </w:rPr>
              <w:fldChar w:fldCharType="begin"/>
            </w:r>
            <w:r>
              <w:rPr>
                <w:noProof/>
              </w:rPr>
              <w:instrText xml:space="preserve"> PAGEREF _Toc240719842 \h </w:instrText>
            </w:r>
            <w:r>
              <w:rPr>
                <w:noProof/>
              </w:rPr>
            </w:r>
            <w:r>
              <w:rPr>
                <w:noProof/>
              </w:rPr>
              <w:fldChar w:fldCharType="separate"/>
            </w:r>
            <w:r>
              <w:rPr>
                <w:noProof/>
              </w:rPr>
              <w:t>1</w:t>
            </w:r>
            <w:r>
              <w:rPr>
                <w:noProof/>
              </w:rPr>
              <w:fldChar w:fldCharType="end"/>
            </w:r>
          </w:hyperlink>
        </w:p>
        <w:p w14:paraId="4963F164" w14:textId="77777777" w:rsidR="00FD3A96" w:rsidRDefault="00FD3A96">
          <w:pPr>
            <w:pStyle w:val="TOC1"/>
            <w:tabs>
              <w:tab w:val="right" w:leader="dot" w:pos="10070"/>
            </w:tabs>
            <w:rPr>
              <w:noProof/>
            </w:rPr>
          </w:pPr>
          <w:hyperlink w:anchor="_Toc240719843" w:history="1">
            <w:r w:rsidRPr="00C17AC4">
              <w:rPr>
                <w:rStyle w:val="Hyperlink"/>
                <w:noProof/>
              </w:rPr>
              <w:t>8. Non-Functional Requirements</w:t>
            </w:r>
            <w:r>
              <w:rPr>
                <w:noProof/>
              </w:rPr>
              <w:tab/>
            </w:r>
            <w:r>
              <w:rPr>
                <w:noProof/>
              </w:rPr>
              <w:fldChar w:fldCharType="begin"/>
            </w:r>
            <w:r>
              <w:rPr>
                <w:noProof/>
              </w:rPr>
              <w:instrText xml:space="preserve"> PAGEREF _Toc240719843 \h </w:instrText>
            </w:r>
            <w:r>
              <w:rPr>
                <w:noProof/>
              </w:rPr>
            </w:r>
            <w:r>
              <w:rPr>
                <w:noProof/>
              </w:rPr>
              <w:fldChar w:fldCharType="separate"/>
            </w:r>
            <w:r>
              <w:rPr>
                <w:noProof/>
              </w:rPr>
              <w:t>1</w:t>
            </w:r>
            <w:r>
              <w:rPr>
                <w:noProof/>
              </w:rPr>
              <w:fldChar w:fldCharType="end"/>
            </w:r>
          </w:hyperlink>
        </w:p>
        <w:p w14:paraId="1A3057C8" w14:textId="77777777" w:rsidR="00FD3A96" w:rsidRDefault="00FD3A96">
          <w:pPr>
            <w:pStyle w:val="TOC1"/>
            <w:tabs>
              <w:tab w:val="right" w:leader="dot" w:pos="10070"/>
            </w:tabs>
            <w:rPr>
              <w:noProof/>
            </w:rPr>
          </w:pPr>
          <w:hyperlink w:anchor="_Toc240719844" w:history="1">
            <w:r w:rsidRPr="00C17AC4">
              <w:rPr>
                <w:rStyle w:val="Hyperlink"/>
                <w:noProof/>
              </w:rPr>
              <w:t>9. Implementation Roadmap</w:t>
            </w:r>
            <w:r>
              <w:rPr>
                <w:noProof/>
              </w:rPr>
              <w:tab/>
            </w:r>
            <w:r>
              <w:rPr>
                <w:noProof/>
              </w:rPr>
              <w:fldChar w:fldCharType="begin"/>
            </w:r>
            <w:r>
              <w:rPr>
                <w:noProof/>
              </w:rPr>
              <w:instrText xml:space="preserve"> PAGEREF _Toc240719844 \h </w:instrText>
            </w:r>
            <w:r>
              <w:rPr>
                <w:noProof/>
              </w:rPr>
            </w:r>
            <w:r>
              <w:rPr>
                <w:noProof/>
              </w:rPr>
              <w:fldChar w:fldCharType="separate"/>
            </w:r>
            <w:r>
              <w:rPr>
                <w:noProof/>
              </w:rPr>
              <w:t>1</w:t>
            </w:r>
            <w:r>
              <w:rPr>
                <w:noProof/>
              </w:rPr>
              <w:fldChar w:fldCharType="end"/>
            </w:r>
          </w:hyperlink>
        </w:p>
        <w:p w14:paraId="4BA44DF3" w14:textId="77777777" w:rsidR="00FD3A96" w:rsidRDefault="00FD3A96">
          <w:pPr>
            <w:pStyle w:val="TOC2"/>
            <w:tabs>
              <w:tab w:val="right" w:leader="dot" w:pos="10070"/>
            </w:tabs>
            <w:rPr>
              <w:noProof/>
            </w:rPr>
          </w:pPr>
          <w:hyperlink w:anchor="_Toc240719845" w:history="1">
            <w:r w:rsidRPr="00C17AC4">
              <w:rPr>
                <w:rStyle w:val="Hyperlink"/>
                <w:noProof/>
              </w:rPr>
              <w:t>Phase 1 — Foundation (Months 1–3)</w:t>
            </w:r>
            <w:r>
              <w:rPr>
                <w:noProof/>
              </w:rPr>
              <w:tab/>
            </w:r>
            <w:r>
              <w:rPr>
                <w:noProof/>
              </w:rPr>
              <w:fldChar w:fldCharType="begin"/>
            </w:r>
            <w:r>
              <w:rPr>
                <w:noProof/>
              </w:rPr>
              <w:instrText xml:space="preserve"> PAGEREF _Toc240719845 \h </w:instrText>
            </w:r>
            <w:r>
              <w:rPr>
                <w:noProof/>
              </w:rPr>
            </w:r>
            <w:r>
              <w:rPr>
                <w:noProof/>
              </w:rPr>
              <w:fldChar w:fldCharType="separate"/>
            </w:r>
            <w:r>
              <w:rPr>
                <w:noProof/>
              </w:rPr>
              <w:t>1</w:t>
            </w:r>
            <w:r>
              <w:rPr>
                <w:noProof/>
              </w:rPr>
              <w:fldChar w:fldCharType="end"/>
            </w:r>
          </w:hyperlink>
        </w:p>
        <w:p w14:paraId="794F4940" w14:textId="77777777" w:rsidR="00FD3A96" w:rsidRDefault="00FD3A96">
          <w:pPr>
            <w:pStyle w:val="TOC2"/>
            <w:tabs>
              <w:tab w:val="right" w:leader="dot" w:pos="10070"/>
            </w:tabs>
            <w:rPr>
              <w:noProof/>
            </w:rPr>
          </w:pPr>
          <w:hyperlink w:anchor="_Toc240719846" w:history="1">
            <w:r w:rsidRPr="00C17AC4">
              <w:rPr>
                <w:rStyle w:val="Hyperlink"/>
                <w:noProof/>
              </w:rPr>
              <w:t>Phase 2 — Orchestration &amp; Resource Management (Months 4–6)</w:t>
            </w:r>
            <w:r>
              <w:rPr>
                <w:noProof/>
              </w:rPr>
              <w:tab/>
            </w:r>
            <w:r>
              <w:rPr>
                <w:noProof/>
              </w:rPr>
              <w:fldChar w:fldCharType="begin"/>
            </w:r>
            <w:r>
              <w:rPr>
                <w:noProof/>
              </w:rPr>
              <w:instrText xml:space="preserve"> PAGEREF _Toc240719846 \h </w:instrText>
            </w:r>
            <w:r>
              <w:rPr>
                <w:noProof/>
              </w:rPr>
            </w:r>
            <w:r>
              <w:rPr>
                <w:noProof/>
              </w:rPr>
              <w:fldChar w:fldCharType="separate"/>
            </w:r>
            <w:r>
              <w:rPr>
                <w:noProof/>
              </w:rPr>
              <w:t>1</w:t>
            </w:r>
            <w:r>
              <w:rPr>
                <w:noProof/>
              </w:rPr>
              <w:fldChar w:fldCharType="end"/>
            </w:r>
          </w:hyperlink>
        </w:p>
        <w:p w14:paraId="71BA249E" w14:textId="77777777" w:rsidR="00FD3A96" w:rsidRDefault="00FD3A96">
          <w:pPr>
            <w:pStyle w:val="TOC2"/>
            <w:tabs>
              <w:tab w:val="right" w:leader="dot" w:pos="10070"/>
            </w:tabs>
            <w:rPr>
              <w:noProof/>
            </w:rPr>
          </w:pPr>
          <w:hyperlink w:anchor="_Toc240719847" w:history="1">
            <w:r w:rsidRPr="00C17AC4">
              <w:rPr>
                <w:rStyle w:val="Hyperlink"/>
                <w:noProof/>
              </w:rPr>
              <w:t>Phase 3 — Real-Time &amp; Optimization (Months 7–9)</w:t>
            </w:r>
            <w:r>
              <w:rPr>
                <w:noProof/>
              </w:rPr>
              <w:tab/>
            </w:r>
            <w:r>
              <w:rPr>
                <w:noProof/>
              </w:rPr>
              <w:fldChar w:fldCharType="begin"/>
            </w:r>
            <w:r>
              <w:rPr>
                <w:noProof/>
              </w:rPr>
              <w:instrText xml:space="preserve"> PAGEREF _Toc240719847 \h </w:instrText>
            </w:r>
            <w:r>
              <w:rPr>
                <w:noProof/>
              </w:rPr>
            </w:r>
            <w:r>
              <w:rPr>
                <w:noProof/>
              </w:rPr>
              <w:fldChar w:fldCharType="separate"/>
            </w:r>
            <w:r>
              <w:rPr>
                <w:noProof/>
              </w:rPr>
              <w:t>1</w:t>
            </w:r>
            <w:r>
              <w:rPr>
                <w:noProof/>
              </w:rPr>
              <w:fldChar w:fldCharType="end"/>
            </w:r>
          </w:hyperlink>
        </w:p>
        <w:p w14:paraId="0D1BB1B8" w14:textId="77777777" w:rsidR="00FD3A96" w:rsidRDefault="00FD3A96">
          <w:pPr>
            <w:pStyle w:val="TOC2"/>
            <w:tabs>
              <w:tab w:val="right" w:leader="dot" w:pos="10070"/>
            </w:tabs>
            <w:rPr>
              <w:noProof/>
            </w:rPr>
          </w:pPr>
          <w:hyperlink w:anchor="_Toc240719848" w:history="1">
            <w:r w:rsidRPr="00C17AC4">
              <w:rPr>
                <w:rStyle w:val="Hyperlink"/>
                <w:noProof/>
              </w:rPr>
              <w:t>Phase 4 — Analytics &amp; Agentic AI (Months 10–12)</w:t>
            </w:r>
            <w:r>
              <w:rPr>
                <w:noProof/>
              </w:rPr>
              <w:tab/>
            </w:r>
            <w:r>
              <w:rPr>
                <w:noProof/>
              </w:rPr>
              <w:fldChar w:fldCharType="begin"/>
            </w:r>
            <w:r>
              <w:rPr>
                <w:noProof/>
              </w:rPr>
              <w:instrText xml:space="preserve"> PAGEREF _Toc240719848 \h </w:instrText>
            </w:r>
            <w:r>
              <w:rPr>
                <w:noProof/>
              </w:rPr>
            </w:r>
            <w:r>
              <w:rPr>
                <w:noProof/>
              </w:rPr>
              <w:fldChar w:fldCharType="separate"/>
            </w:r>
            <w:r>
              <w:rPr>
                <w:noProof/>
              </w:rPr>
              <w:t>1</w:t>
            </w:r>
            <w:r>
              <w:rPr>
                <w:noProof/>
              </w:rPr>
              <w:fldChar w:fldCharType="end"/>
            </w:r>
          </w:hyperlink>
        </w:p>
        <w:p w14:paraId="7A7D9E1B" w14:textId="77777777" w:rsidR="00FD3A96" w:rsidRDefault="00FD3A96">
          <w:pPr>
            <w:pStyle w:val="TOC1"/>
            <w:tabs>
              <w:tab w:val="right" w:leader="dot" w:pos="10070"/>
            </w:tabs>
            <w:rPr>
              <w:noProof/>
            </w:rPr>
          </w:pPr>
          <w:hyperlink w:anchor="_Toc240719849" w:history="1">
            <w:r w:rsidRPr="00C17AC4">
              <w:rPr>
                <w:rStyle w:val="Hyperlink"/>
                <w:noProof/>
              </w:rPr>
              <w:t>10. Team Structure &amp; Delivery Model</w:t>
            </w:r>
            <w:r>
              <w:rPr>
                <w:noProof/>
              </w:rPr>
              <w:tab/>
            </w:r>
            <w:r>
              <w:rPr>
                <w:noProof/>
              </w:rPr>
              <w:fldChar w:fldCharType="begin"/>
            </w:r>
            <w:r>
              <w:rPr>
                <w:noProof/>
              </w:rPr>
              <w:instrText xml:space="preserve"> PAGEREF _Toc240719849 \h </w:instrText>
            </w:r>
            <w:r>
              <w:rPr>
                <w:noProof/>
              </w:rPr>
            </w:r>
            <w:r>
              <w:rPr>
                <w:noProof/>
              </w:rPr>
              <w:fldChar w:fldCharType="separate"/>
            </w:r>
            <w:r>
              <w:rPr>
                <w:noProof/>
              </w:rPr>
              <w:t>1</w:t>
            </w:r>
            <w:r>
              <w:rPr>
                <w:noProof/>
              </w:rPr>
              <w:fldChar w:fldCharType="end"/>
            </w:r>
          </w:hyperlink>
        </w:p>
        <w:p w14:paraId="40276FD7" w14:textId="77777777" w:rsidR="00FD3A96" w:rsidRDefault="00FD3A96">
          <w:pPr>
            <w:pStyle w:val="TOC1"/>
            <w:tabs>
              <w:tab w:val="right" w:leader="dot" w:pos="10070"/>
            </w:tabs>
            <w:rPr>
              <w:noProof/>
            </w:rPr>
          </w:pPr>
          <w:hyperlink w:anchor="_Toc240719850" w:history="1">
            <w:r w:rsidRPr="00C17AC4">
              <w:rPr>
                <w:rStyle w:val="Hyperlink"/>
                <w:noProof/>
              </w:rPr>
              <w:t>11. Infrastructure Considerations</w:t>
            </w:r>
            <w:r>
              <w:rPr>
                <w:noProof/>
              </w:rPr>
              <w:tab/>
            </w:r>
            <w:r>
              <w:rPr>
                <w:noProof/>
              </w:rPr>
              <w:fldChar w:fldCharType="begin"/>
            </w:r>
            <w:r>
              <w:rPr>
                <w:noProof/>
              </w:rPr>
              <w:instrText xml:space="preserve"> PAGEREF _Toc240719850 \h </w:instrText>
            </w:r>
            <w:r>
              <w:rPr>
                <w:noProof/>
              </w:rPr>
            </w:r>
            <w:r>
              <w:rPr>
                <w:noProof/>
              </w:rPr>
              <w:fldChar w:fldCharType="separate"/>
            </w:r>
            <w:r>
              <w:rPr>
                <w:noProof/>
              </w:rPr>
              <w:t>1</w:t>
            </w:r>
            <w:r>
              <w:rPr>
                <w:noProof/>
              </w:rPr>
              <w:fldChar w:fldCharType="end"/>
            </w:r>
          </w:hyperlink>
        </w:p>
        <w:p w14:paraId="43FA52A9" w14:textId="77777777" w:rsidR="00FD3A96" w:rsidRDefault="00FD3A96">
          <w:pPr>
            <w:pStyle w:val="TOC1"/>
            <w:tabs>
              <w:tab w:val="right" w:leader="dot" w:pos="10070"/>
            </w:tabs>
            <w:rPr>
              <w:noProof/>
            </w:rPr>
          </w:pPr>
          <w:hyperlink w:anchor="_Toc240719851" w:history="1">
            <w:r w:rsidRPr="00C17AC4">
              <w:rPr>
                <w:rStyle w:val="Hyperlink"/>
                <w:noProof/>
              </w:rPr>
              <w:t>12. Risks &amp; Mitigations</w:t>
            </w:r>
            <w:r>
              <w:rPr>
                <w:noProof/>
              </w:rPr>
              <w:tab/>
            </w:r>
            <w:r>
              <w:rPr>
                <w:noProof/>
              </w:rPr>
              <w:fldChar w:fldCharType="begin"/>
            </w:r>
            <w:r>
              <w:rPr>
                <w:noProof/>
              </w:rPr>
              <w:instrText xml:space="preserve"> PAGEREF _Toc240719851 \h </w:instrText>
            </w:r>
            <w:r>
              <w:rPr>
                <w:noProof/>
              </w:rPr>
            </w:r>
            <w:r>
              <w:rPr>
                <w:noProof/>
              </w:rPr>
              <w:fldChar w:fldCharType="separate"/>
            </w:r>
            <w:r>
              <w:rPr>
                <w:noProof/>
              </w:rPr>
              <w:t>1</w:t>
            </w:r>
            <w:r>
              <w:rPr>
                <w:noProof/>
              </w:rPr>
              <w:fldChar w:fldCharType="end"/>
            </w:r>
          </w:hyperlink>
        </w:p>
        <w:p w14:paraId="75420923" w14:textId="77777777" w:rsidR="00FD3A96" w:rsidRDefault="00FD3A96">
          <w:pPr>
            <w:pStyle w:val="TOC1"/>
            <w:tabs>
              <w:tab w:val="right" w:leader="dot" w:pos="10070"/>
            </w:tabs>
            <w:rPr>
              <w:noProof/>
            </w:rPr>
          </w:pPr>
          <w:hyperlink w:anchor="_Toc240719852" w:history="1">
            <w:r w:rsidRPr="00C17AC4">
              <w:rPr>
                <w:rStyle w:val="Hyperlink"/>
                <w:noProof/>
              </w:rPr>
              <w:t>13. Appendix</w:t>
            </w:r>
            <w:r>
              <w:rPr>
                <w:noProof/>
              </w:rPr>
              <w:tab/>
            </w:r>
            <w:r>
              <w:rPr>
                <w:noProof/>
              </w:rPr>
              <w:fldChar w:fldCharType="begin"/>
            </w:r>
            <w:r>
              <w:rPr>
                <w:noProof/>
              </w:rPr>
              <w:instrText xml:space="preserve"> PAGEREF _Toc240719852 \h </w:instrText>
            </w:r>
            <w:r>
              <w:rPr>
                <w:noProof/>
              </w:rPr>
            </w:r>
            <w:r>
              <w:rPr>
                <w:noProof/>
              </w:rPr>
              <w:fldChar w:fldCharType="separate"/>
            </w:r>
            <w:r>
              <w:rPr>
                <w:noProof/>
              </w:rPr>
              <w:t>1</w:t>
            </w:r>
            <w:r>
              <w:rPr>
                <w:noProof/>
              </w:rPr>
              <w:fldChar w:fldCharType="end"/>
            </w:r>
          </w:hyperlink>
        </w:p>
        <w:p w14:paraId="01658B90" w14:textId="77777777" w:rsidR="00FD3A96" w:rsidRDefault="00FD3A96">
          <w:pPr>
            <w:pStyle w:val="TOC2"/>
            <w:tabs>
              <w:tab w:val="right" w:leader="dot" w:pos="10070"/>
            </w:tabs>
            <w:rPr>
              <w:noProof/>
            </w:rPr>
          </w:pPr>
          <w:hyperlink w:anchor="_Toc240719853" w:history="1">
            <w:r w:rsidRPr="00C17AC4">
              <w:rPr>
                <w:rStyle w:val="Hyperlink"/>
                <w:noProof/>
              </w:rPr>
              <w:t>13.1 Glossary</w:t>
            </w:r>
            <w:r>
              <w:rPr>
                <w:noProof/>
              </w:rPr>
              <w:tab/>
            </w:r>
            <w:r>
              <w:rPr>
                <w:noProof/>
              </w:rPr>
              <w:fldChar w:fldCharType="begin"/>
            </w:r>
            <w:r>
              <w:rPr>
                <w:noProof/>
              </w:rPr>
              <w:instrText xml:space="preserve"> PAGEREF _Toc240719853 \h </w:instrText>
            </w:r>
            <w:r>
              <w:rPr>
                <w:noProof/>
              </w:rPr>
            </w:r>
            <w:r>
              <w:rPr>
                <w:noProof/>
              </w:rPr>
              <w:fldChar w:fldCharType="separate"/>
            </w:r>
            <w:r>
              <w:rPr>
                <w:noProof/>
              </w:rPr>
              <w:t>1</w:t>
            </w:r>
            <w:r>
              <w:rPr>
                <w:noProof/>
              </w:rPr>
              <w:fldChar w:fldCharType="end"/>
            </w:r>
          </w:hyperlink>
        </w:p>
        <w:p w14:paraId="2FA7D2EE" w14:textId="77777777" w:rsidR="00FD3A96" w:rsidRDefault="00FD3A96">
          <w:pPr>
            <w:pStyle w:val="TOC2"/>
            <w:tabs>
              <w:tab w:val="right" w:leader="dot" w:pos="10070"/>
            </w:tabs>
            <w:rPr>
              <w:noProof/>
            </w:rPr>
          </w:pPr>
          <w:hyperlink w:anchor="_Toc240719854" w:history="1">
            <w:r w:rsidRPr="00C17AC4">
              <w:rPr>
                <w:rStyle w:val="Hyperlink"/>
                <w:noProof/>
              </w:rPr>
              <w:t>13.2 Sources</w:t>
            </w:r>
            <w:r>
              <w:rPr>
                <w:noProof/>
              </w:rPr>
              <w:tab/>
            </w:r>
            <w:r>
              <w:rPr>
                <w:noProof/>
              </w:rPr>
              <w:fldChar w:fldCharType="begin"/>
            </w:r>
            <w:r>
              <w:rPr>
                <w:noProof/>
              </w:rPr>
              <w:instrText xml:space="preserve"> PAGEREF _Toc240719854 \h </w:instrText>
            </w:r>
            <w:r>
              <w:rPr>
                <w:noProof/>
              </w:rPr>
            </w:r>
            <w:r>
              <w:rPr>
                <w:noProof/>
              </w:rPr>
              <w:fldChar w:fldCharType="separate"/>
            </w:r>
            <w:r>
              <w:rPr>
                <w:noProof/>
              </w:rPr>
              <w:t>1</w:t>
            </w:r>
            <w:r>
              <w:rPr>
                <w:noProof/>
              </w:rPr>
              <w:fldChar w:fldCharType="end"/>
            </w:r>
          </w:hyperlink>
        </w:p>
        <w:p w14:paraId="5453B01B" w14:textId="77777777" w:rsidR="00FC40E8" w:rsidRDefault="00000000">
          <w:r>
            <w:fldChar w:fldCharType="end"/>
          </w:r>
        </w:p>
      </w:sdtContent>
    </w:sdt>
    <w:p w14:paraId="2997D144" w14:textId="77777777" w:rsidR="00FC40E8" w:rsidRDefault="00000000">
      <w:r>
        <w:br w:type="page"/>
      </w:r>
    </w:p>
    <w:p w14:paraId="4043EA94" w14:textId="77777777" w:rsidR="00FC40E8" w:rsidRDefault="00000000">
      <w:pPr>
        <w:pStyle w:val="Heading1"/>
        <w:pBdr>
          <w:bottom w:val="single" w:sz="12" w:space="4" w:color="FCA311"/>
        </w:pBdr>
      </w:pPr>
      <w:bookmarkStart w:id="1" w:name="_Toc240719824"/>
      <w:r>
        <w:lastRenderedPageBreak/>
        <w:t>1. Executive Summary</w:t>
      </w:r>
      <w:bookmarkEnd w:id="1"/>
    </w:p>
    <w:p w14:paraId="088B178C" w14:textId="77777777" w:rsidR="00FC40E8" w:rsidRDefault="00000000">
      <w:pPr>
        <w:spacing w:after="160" w:line="276" w:lineRule="auto"/>
      </w:pPr>
      <w:r>
        <w:t xml:space="preserve">This document sets out the technical build plan for i3 Precision Marketing Cloud (i3 PMC), a proposed enterprise marketing automation and customer engagement platform to be designed, built and operated by i3 Technologies for large East African enterprises — banks, telecoms, utilities, insurers and public-sector institutions — </w:t>
      </w:r>
      <w:proofErr w:type="gramStart"/>
      <w:r>
        <w:t>whose</w:t>
      </w:r>
      <w:proofErr w:type="gramEnd"/>
      <w:r>
        <w:t xml:space="preserve"> regulatory and data-sovereignty requirements are not well served by offshore SaaS suites.</w:t>
      </w:r>
    </w:p>
    <w:p w14:paraId="5B12F8ED" w14:textId="77777777" w:rsidR="00FC40E8" w:rsidRDefault="00000000">
      <w:pPr>
        <w:spacing w:after="160" w:line="276" w:lineRule="auto"/>
      </w:pPr>
      <w:r>
        <w:t>The platform is scoped as a functional equivalent to HCL Unica's module set (Campaign, Journey, Interact, Deliver, Plan, Optimize, Discover, Link), differentiated on three axes: (1) sovereign, in-region hosting on i3's existing IBM Cloud and Red Hat OpenShift (ROKS) estate rather than an offshore private cloud; (2) a single consumption-based commercial model rather than the fragmented per-module pricing seen across Salesforce Marketing Cloud and Adobe's suite; and (3) native integration with i3's Agentic AI Lab, so campaign design, next-best-action and content generation are AI-assisted from day one rather than bolted on.</w:t>
      </w:r>
    </w:p>
    <w:p w14:paraId="01E4763E" w14:textId="77777777" w:rsidR="00FC40E8" w:rsidRDefault="00000000">
      <w:pPr>
        <w:spacing w:after="160" w:line="276" w:lineRule="auto"/>
      </w:pPr>
      <w:r>
        <w:t>i3 PMC is designed to slot alongside i3's existing portfolio of eleven proprietary ROKS solutions (</w:t>
      </w:r>
      <w:proofErr w:type="spellStart"/>
      <w:r>
        <w:t>GridSentinel</w:t>
      </w:r>
      <w:proofErr w:type="spellEnd"/>
      <w:r>
        <w:t xml:space="preserve">, </w:t>
      </w:r>
      <w:proofErr w:type="spellStart"/>
      <w:r>
        <w:t>OTShield</w:t>
      </w:r>
      <w:proofErr w:type="spellEnd"/>
      <w:r>
        <w:t xml:space="preserve">, </w:t>
      </w:r>
      <w:proofErr w:type="spellStart"/>
      <w:r>
        <w:t>MaxAR</w:t>
      </w:r>
      <w:proofErr w:type="spellEnd"/>
      <w:r>
        <w:t xml:space="preserve">, </w:t>
      </w:r>
      <w:proofErr w:type="spellStart"/>
      <w:r>
        <w:t>AssetChain</w:t>
      </w:r>
      <w:proofErr w:type="spellEnd"/>
      <w:r>
        <w:t xml:space="preserve">, OT Digital Twin, </w:t>
      </w:r>
      <w:proofErr w:type="spellStart"/>
      <w:r>
        <w:t>AirportOS</w:t>
      </w:r>
      <w:proofErr w:type="spellEnd"/>
      <w:r>
        <w:t xml:space="preserve">, </w:t>
      </w:r>
      <w:proofErr w:type="spellStart"/>
      <w:r>
        <w:t>AquaSense</w:t>
      </w:r>
      <w:proofErr w:type="spellEnd"/>
      <w:r>
        <w:t xml:space="preserve">, </w:t>
      </w:r>
      <w:proofErr w:type="spellStart"/>
      <w:r>
        <w:t>RailMind</w:t>
      </w:r>
      <w:proofErr w:type="spellEnd"/>
      <w:r>
        <w:t xml:space="preserve">, </w:t>
      </w:r>
      <w:proofErr w:type="spellStart"/>
      <w:r>
        <w:t>EvalOS</w:t>
      </w:r>
      <w:proofErr w:type="spellEnd"/>
      <w:r>
        <w:t>, Admissions AI and Research Lab Dashboard) as a twelfth, reusing the same Kubernetes-native delivery pattern, the same 750+ VM lab infrastructure, and the same IBM/Red Hat partner relationship that underwrites i3's Silver Business Partner status.</w:t>
      </w:r>
    </w:p>
    <w:p w14:paraId="3498C958" w14:textId="77777777" w:rsidR="00FC40E8" w:rsidRDefault="00000000">
      <w:pPr>
        <w:spacing w:after="160" w:line="276" w:lineRule="auto"/>
      </w:pPr>
      <w:r>
        <w:t>The remainder of this document covers the competitive landscape that motivates the build, the functional and technical architecture, data model, integration surface, security posture, phased delivery roadmap, delivery team, and risk register.</w:t>
      </w:r>
    </w:p>
    <w:p w14:paraId="6470FDE0" w14:textId="77777777" w:rsidR="00FC40E8" w:rsidRDefault="00000000">
      <w:pPr>
        <w:pStyle w:val="Heading1"/>
        <w:pBdr>
          <w:bottom w:val="single" w:sz="12" w:space="4" w:color="FCA311"/>
        </w:pBdr>
      </w:pPr>
      <w:bookmarkStart w:id="2" w:name="_Toc240719825"/>
      <w:r>
        <w:t>2. Competitive Landscape Review</w:t>
      </w:r>
      <w:bookmarkEnd w:id="2"/>
    </w:p>
    <w:p w14:paraId="5DC8611A" w14:textId="77777777" w:rsidR="00FC40E8" w:rsidRDefault="00000000">
      <w:pPr>
        <w:pStyle w:val="Heading2"/>
      </w:pPr>
      <w:bookmarkStart w:id="3" w:name="_Toc240719826"/>
      <w:r>
        <w:t>2.1 HCL Unica — Reference Platform</w:t>
      </w:r>
      <w:bookmarkEnd w:id="3"/>
    </w:p>
    <w:p w14:paraId="6B41FD68" w14:textId="77777777" w:rsidR="00FC40E8" w:rsidRDefault="00000000">
      <w:pPr>
        <w:spacing w:after="160" w:line="276" w:lineRule="auto"/>
      </w:pPr>
      <w:r>
        <w:t>HCL Unica (</w:t>
      </w:r>
      <w:proofErr w:type="spellStart"/>
      <w:r>
        <w:t>HCLSoftware</w:t>
      </w:r>
      <w:proofErr w:type="spellEnd"/>
      <w:r>
        <w:t>, formerly IBM Unica) is the closest commercial analogue for this build and is treated as the functional baseline. It ships as a modular suite rather than a monolith:</w:t>
      </w:r>
    </w:p>
    <w:p w14:paraId="5DA36C40" w14:textId="77777777" w:rsidR="00FC40E8" w:rsidRDefault="00000000">
      <w:pPr>
        <w:pStyle w:val="ListParagraph"/>
        <w:numPr>
          <w:ilvl w:val="0"/>
          <w:numId w:val="2"/>
        </w:numPr>
        <w:spacing w:after="80"/>
      </w:pPr>
      <w:r>
        <w:t>Campaign — web-based direct-marketing design, segmentation, suppression and multi-wave batch execution</w:t>
      </w:r>
    </w:p>
    <w:p w14:paraId="617CBBA0" w14:textId="77777777" w:rsidR="00FC40E8" w:rsidRDefault="00000000">
      <w:pPr>
        <w:pStyle w:val="ListParagraph"/>
        <w:numPr>
          <w:ilvl w:val="0"/>
          <w:numId w:val="2"/>
        </w:numPr>
        <w:spacing w:after="80"/>
      </w:pPr>
      <w:r>
        <w:t>Plan — Marketing Resource Management (MRM): collaborative planning, budgeting, workflow and asset management</w:t>
      </w:r>
    </w:p>
    <w:p w14:paraId="0936C3F1" w14:textId="77777777" w:rsidR="00FC40E8" w:rsidRDefault="00000000">
      <w:pPr>
        <w:pStyle w:val="ListParagraph"/>
        <w:numPr>
          <w:ilvl w:val="0"/>
          <w:numId w:val="2"/>
        </w:numPr>
        <w:spacing w:after="80"/>
      </w:pPr>
      <w:r>
        <w:t>Optimize — contact-strategy and offer arbitration across channels and time</w:t>
      </w:r>
    </w:p>
    <w:p w14:paraId="1507ADB9" w14:textId="77777777" w:rsidR="00FC40E8" w:rsidRDefault="00000000">
      <w:pPr>
        <w:pStyle w:val="ListParagraph"/>
        <w:numPr>
          <w:ilvl w:val="0"/>
          <w:numId w:val="2"/>
        </w:numPr>
        <w:spacing w:after="80"/>
      </w:pPr>
      <w:r>
        <w:t xml:space="preserve">Interact — real-time, sub-second personalization and next-best-action across web, call </w:t>
      </w:r>
      <w:proofErr w:type="spellStart"/>
      <w:r>
        <w:t>centre</w:t>
      </w:r>
      <w:proofErr w:type="spellEnd"/>
      <w:r>
        <w:t>, POS, ATM and kiosk</w:t>
      </w:r>
    </w:p>
    <w:p w14:paraId="62A05C62" w14:textId="77777777" w:rsidR="00FC40E8" w:rsidRDefault="00000000">
      <w:pPr>
        <w:pStyle w:val="ListParagraph"/>
        <w:numPr>
          <w:ilvl w:val="0"/>
          <w:numId w:val="2"/>
        </w:numPr>
        <w:spacing w:after="80"/>
      </w:pPr>
      <w:r>
        <w:t>Journey — goal-based, self-service orchestration of multi-step omnichannel customer journeys</w:t>
      </w:r>
    </w:p>
    <w:p w14:paraId="3D051510" w14:textId="77777777" w:rsidR="00FC40E8" w:rsidRDefault="00000000">
      <w:pPr>
        <w:pStyle w:val="ListParagraph"/>
        <w:numPr>
          <w:ilvl w:val="0"/>
          <w:numId w:val="2"/>
        </w:numPr>
        <w:spacing w:after="80"/>
      </w:pPr>
      <w:r>
        <w:t>Deliver — large-scale digital messaging across email, SMS, push and WhatsApp</w:t>
      </w:r>
    </w:p>
    <w:p w14:paraId="0705CB27" w14:textId="77777777" w:rsidR="00FC40E8" w:rsidRDefault="00000000">
      <w:pPr>
        <w:pStyle w:val="ListParagraph"/>
        <w:numPr>
          <w:ilvl w:val="0"/>
          <w:numId w:val="2"/>
        </w:numPr>
        <w:spacing w:after="80"/>
      </w:pPr>
      <w:r>
        <w:t xml:space="preserve">Discover — </w:t>
      </w:r>
      <w:proofErr w:type="spellStart"/>
      <w:r>
        <w:t>behavioural</w:t>
      </w:r>
      <w:proofErr w:type="spellEnd"/>
      <w:r>
        <w:t xml:space="preserve"> analytics on digital customer journeys</w:t>
      </w:r>
    </w:p>
    <w:p w14:paraId="044F3D76" w14:textId="77777777" w:rsidR="00FC40E8" w:rsidRDefault="00000000">
      <w:pPr>
        <w:pStyle w:val="ListParagraph"/>
        <w:numPr>
          <w:ilvl w:val="0"/>
          <w:numId w:val="2"/>
        </w:numPr>
        <w:spacing w:after="80"/>
      </w:pPr>
      <w:r>
        <w:t xml:space="preserve">Link — no-code integration of third-party </w:t>
      </w:r>
      <w:proofErr w:type="spellStart"/>
      <w:r>
        <w:t>MarTech</w:t>
      </w:r>
      <w:proofErr w:type="spellEnd"/>
      <w:r>
        <w:t xml:space="preserve"> and touchpoints</w:t>
      </w:r>
    </w:p>
    <w:p w14:paraId="6EF5845F" w14:textId="77777777" w:rsidR="00FC40E8" w:rsidRDefault="00000000">
      <w:pPr>
        <w:pStyle w:val="ListParagraph"/>
        <w:numPr>
          <w:ilvl w:val="0"/>
          <w:numId w:val="2"/>
        </w:numPr>
        <w:spacing w:after="80"/>
      </w:pPr>
      <w:r>
        <w:t>Platform / Centralized Offer Management / Director / Insights — the shared administrative, offer-management, monitoring and reporting backbone</w:t>
      </w:r>
    </w:p>
    <w:p w14:paraId="5BE42CAB" w14:textId="77777777" w:rsidR="00FC40E8" w:rsidRDefault="00000000">
      <w:pPr>
        <w:spacing w:after="160" w:line="276" w:lineRule="auto"/>
      </w:pPr>
      <w:r>
        <w:lastRenderedPageBreak/>
        <w:t xml:space="preserve">Unica </w:t>
      </w:r>
      <w:proofErr w:type="gramStart"/>
      <w:r>
        <w:t>is</w:t>
      </w:r>
      <w:proofErr w:type="gramEnd"/>
      <w:r>
        <w:t xml:space="preserve"> cloud-native, deployable via Docker or natively to any cloud, and is positioned as a private-cloud solution giving customers full control of data governance and ownership — a message aimed squarely at regulated industries. The 2026 refresh, Unica+ 26.1, merges the classic suite with an AI layer ("</w:t>
      </w:r>
      <w:proofErr w:type="spellStart"/>
      <w:r>
        <w:t>MaxAI</w:t>
      </w:r>
      <w:proofErr w:type="spellEnd"/>
      <w:r>
        <w:t>") that interprets natural-language prompts into campaign flowcharts, unifying what were previously two separate environments. Pricing is not published; it is modular and usage-based, scoped per implementation.</w:t>
      </w:r>
    </w:p>
    <w:p w14:paraId="5B927536" w14:textId="77777777" w:rsidR="00FC40E8" w:rsidRDefault="00000000">
      <w:pPr>
        <w:pStyle w:val="Heading2"/>
      </w:pPr>
      <w:bookmarkStart w:id="4" w:name="_Toc240719827"/>
      <w:r>
        <w:t>2.2 Comparative Matrix</w:t>
      </w:r>
      <w:bookmarkEnd w:id="4"/>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2400"/>
        <w:gridCol w:w="3200"/>
      </w:tblGrid>
      <w:tr w:rsidR="00FC40E8" w14:paraId="01C934B0" w14:textId="77777777">
        <w:tblPrEx>
          <w:tblCellMar>
            <w:top w:w="0" w:type="dxa"/>
            <w:bottom w:w="0" w:type="dxa"/>
          </w:tblCellMar>
        </w:tblPrEx>
        <w:trPr>
          <w:tblHeader/>
        </w:trPr>
        <w:tc>
          <w:tcPr>
            <w:tcW w:w="2400" w:type="dxa"/>
            <w:shd w:val="clear" w:color="auto" w:fill="14213D"/>
            <w:tcMar>
              <w:top w:w="80" w:type="dxa"/>
              <w:left w:w="100" w:type="dxa"/>
              <w:bottom w:w="80" w:type="dxa"/>
              <w:right w:w="100" w:type="dxa"/>
            </w:tcMar>
            <w:vAlign w:val="center"/>
          </w:tcPr>
          <w:p w14:paraId="1CA77156" w14:textId="77777777" w:rsidR="00FC40E8" w:rsidRDefault="00000000">
            <w:r>
              <w:rPr>
                <w:b/>
                <w:bCs/>
                <w:color w:val="FFFFFF"/>
                <w:sz w:val="20"/>
                <w:szCs w:val="20"/>
              </w:rPr>
              <w:t>Platform</w:t>
            </w:r>
          </w:p>
        </w:tc>
        <w:tc>
          <w:tcPr>
            <w:tcW w:w="3200" w:type="dxa"/>
            <w:shd w:val="clear" w:color="auto" w:fill="14213D"/>
            <w:tcMar>
              <w:top w:w="80" w:type="dxa"/>
              <w:left w:w="100" w:type="dxa"/>
              <w:bottom w:w="80" w:type="dxa"/>
              <w:right w:w="100" w:type="dxa"/>
            </w:tcMar>
            <w:vAlign w:val="center"/>
          </w:tcPr>
          <w:p w14:paraId="5EB3A61D" w14:textId="77777777" w:rsidR="00FC40E8" w:rsidRDefault="00000000">
            <w:r>
              <w:rPr>
                <w:b/>
                <w:bCs/>
                <w:color w:val="FFFFFF"/>
                <w:sz w:val="20"/>
                <w:szCs w:val="20"/>
              </w:rPr>
              <w:t>Category leadership</w:t>
            </w:r>
          </w:p>
        </w:tc>
        <w:tc>
          <w:tcPr>
            <w:tcW w:w="2400" w:type="dxa"/>
            <w:shd w:val="clear" w:color="auto" w:fill="14213D"/>
            <w:tcMar>
              <w:top w:w="80" w:type="dxa"/>
              <w:left w:w="100" w:type="dxa"/>
              <w:bottom w:w="80" w:type="dxa"/>
              <w:right w:w="100" w:type="dxa"/>
            </w:tcMar>
            <w:vAlign w:val="center"/>
          </w:tcPr>
          <w:p w14:paraId="2CF89761" w14:textId="77777777" w:rsidR="00FC40E8" w:rsidRDefault="00000000">
            <w:r>
              <w:rPr>
                <w:b/>
                <w:bCs/>
                <w:color w:val="FFFFFF"/>
                <w:sz w:val="20"/>
                <w:szCs w:val="20"/>
              </w:rPr>
              <w:t>Deployment model</w:t>
            </w:r>
          </w:p>
        </w:tc>
        <w:tc>
          <w:tcPr>
            <w:tcW w:w="3200" w:type="dxa"/>
            <w:shd w:val="clear" w:color="auto" w:fill="14213D"/>
            <w:tcMar>
              <w:top w:w="80" w:type="dxa"/>
              <w:left w:w="100" w:type="dxa"/>
              <w:bottom w:w="80" w:type="dxa"/>
              <w:right w:w="100" w:type="dxa"/>
            </w:tcMar>
            <w:vAlign w:val="center"/>
          </w:tcPr>
          <w:p w14:paraId="57D42CD8" w14:textId="77777777" w:rsidR="00FC40E8" w:rsidRDefault="00000000">
            <w:r>
              <w:rPr>
                <w:b/>
                <w:bCs/>
                <w:color w:val="FFFFFF"/>
                <w:sz w:val="20"/>
                <w:szCs w:val="20"/>
              </w:rPr>
              <w:t>Key limitation vs. i3 PMC target</w:t>
            </w:r>
          </w:p>
        </w:tc>
      </w:tr>
      <w:tr w:rsidR="00FC40E8" w14:paraId="0C2DC81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EF6EBBA" w14:textId="77777777" w:rsidR="00FC40E8" w:rsidRDefault="00000000">
            <w:r>
              <w:rPr>
                <w:color w:val="000000"/>
                <w:sz w:val="20"/>
                <w:szCs w:val="20"/>
              </w:rPr>
              <w:t>HCL Unica / Unica+</w:t>
            </w:r>
          </w:p>
        </w:tc>
        <w:tc>
          <w:tcPr>
            <w:tcW w:w="3200" w:type="dxa"/>
            <w:shd w:val="clear" w:color="auto" w:fill="FFFFFF"/>
            <w:tcMar>
              <w:top w:w="80" w:type="dxa"/>
              <w:left w:w="100" w:type="dxa"/>
              <w:bottom w:w="80" w:type="dxa"/>
              <w:right w:w="100" w:type="dxa"/>
            </w:tcMar>
            <w:vAlign w:val="center"/>
          </w:tcPr>
          <w:p w14:paraId="01BE035C" w14:textId="77777777" w:rsidR="00FC40E8" w:rsidRDefault="00000000">
            <w:r>
              <w:rPr>
                <w:color w:val="000000"/>
                <w:sz w:val="20"/>
                <w:szCs w:val="20"/>
              </w:rPr>
              <w:t>Full-suite breadth; private-cloud, sovereignty-friendly positioning</w:t>
            </w:r>
          </w:p>
        </w:tc>
        <w:tc>
          <w:tcPr>
            <w:tcW w:w="2400" w:type="dxa"/>
            <w:shd w:val="clear" w:color="auto" w:fill="FFFFFF"/>
            <w:tcMar>
              <w:top w:w="80" w:type="dxa"/>
              <w:left w:w="100" w:type="dxa"/>
              <w:bottom w:w="80" w:type="dxa"/>
              <w:right w:w="100" w:type="dxa"/>
            </w:tcMar>
            <w:vAlign w:val="center"/>
          </w:tcPr>
          <w:p w14:paraId="7193A128" w14:textId="77777777" w:rsidR="00FC40E8" w:rsidRDefault="00000000">
            <w:r>
              <w:rPr>
                <w:color w:val="000000"/>
                <w:sz w:val="20"/>
                <w:szCs w:val="20"/>
              </w:rPr>
              <w:t>Any cloud, Docker or native; on-prem option</w:t>
            </w:r>
          </w:p>
        </w:tc>
        <w:tc>
          <w:tcPr>
            <w:tcW w:w="3200" w:type="dxa"/>
            <w:shd w:val="clear" w:color="auto" w:fill="FFFFFF"/>
            <w:tcMar>
              <w:top w:w="80" w:type="dxa"/>
              <w:left w:w="100" w:type="dxa"/>
              <w:bottom w:w="80" w:type="dxa"/>
              <w:right w:w="100" w:type="dxa"/>
            </w:tcMar>
            <w:vAlign w:val="center"/>
          </w:tcPr>
          <w:p w14:paraId="479A7957" w14:textId="77777777" w:rsidR="00FC40E8" w:rsidRDefault="00000000">
            <w:r>
              <w:rPr>
                <w:color w:val="000000"/>
                <w:sz w:val="20"/>
                <w:szCs w:val="20"/>
              </w:rPr>
              <w:t>No African data-</w:t>
            </w:r>
            <w:proofErr w:type="spellStart"/>
            <w:r>
              <w:rPr>
                <w:color w:val="000000"/>
                <w:sz w:val="20"/>
                <w:szCs w:val="20"/>
              </w:rPr>
              <w:t>centre</w:t>
            </w:r>
            <w:proofErr w:type="spellEnd"/>
            <w:r>
              <w:rPr>
                <w:color w:val="000000"/>
                <w:sz w:val="20"/>
                <w:szCs w:val="20"/>
              </w:rPr>
              <w:t xml:space="preserve"> presence; suite licensing still priced offshore in USD/EUR</w:t>
            </w:r>
          </w:p>
        </w:tc>
      </w:tr>
      <w:tr w:rsidR="00FC40E8" w14:paraId="372814F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362BB47" w14:textId="77777777" w:rsidR="00FC40E8" w:rsidRDefault="00000000">
            <w:r>
              <w:rPr>
                <w:color w:val="000000"/>
                <w:sz w:val="20"/>
                <w:szCs w:val="20"/>
              </w:rPr>
              <w:t>Salesforce Marketing Cloud</w:t>
            </w:r>
          </w:p>
        </w:tc>
        <w:tc>
          <w:tcPr>
            <w:tcW w:w="3200" w:type="dxa"/>
            <w:shd w:val="clear" w:color="auto" w:fill="F2F2F2"/>
            <w:tcMar>
              <w:top w:w="80" w:type="dxa"/>
              <w:left w:w="100" w:type="dxa"/>
              <w:bottom w:w="80" w:type="dxa"/>
              <w:right w:w="100" w:type="dxa"/>
            </w:tcMar>
            <w:vAlign w:val="center"/>
          </w:tcPr>
          <w:p w14:paraId="0DB77C38" w14:textId="77777777" w:rsidR="00FC40E8" w:rsidRDefault="00000000">
            <w:r>
              <w:rPr>
                <w:color w:val="000000"/>
                <w:sz w:val="20"/>
                <w:szCs w:val="20"/>
              </w:rPr>
              <w:t>Real-time engagement inside the Customer 360 / CRM ecosystem</w:t>
            </w:r>
          </w:p>
        </w:tc>
        <w:tc>
          <w:tcPr>
            <w:tcW w:w="2400" w:type="dxa"/>
            <w:shd w:val="clear" w:color="auto" w:fill="F2F2F2"/>
            <w:tcMar>
              <w:top w:w="80" w:type="dxa"/>
              <w:left w:w="100" w:type="dxa"/>
              <w:bottom w:w="80" w:type="dxa"/>
              <w:right w:w="100" w:type="dxa"/>
            </w:tcMar>
            <w:vAlign w:val="center"/>
          </w:tcPr>
          <w:p w14:paraId="5325399F" w14:textId="77777777" w:rsidR="00FC40E8" w:rsidRDefault="00000000">
            <w:r>
              <w:rPr>
                <w:color w:val="000000"/>
                <w:sz w:val="20"/>
                <w:szCs w:val="20"/>
              </w:rPr>
              <w:t>Salesforce public multi-tenant cloud</w:t>
            </w:r>
          </w:p>
        </w:tc>
        <w:tc>
          <w:tcPr>
            <w:tcW w:w="3200" w:type="dxa"/>
            <w:shd w:val="clear" w:color="auto" w:fill="F2F2F2"/>
            <w:tcMar>
              <w:top w:w="80" w:type="dxa"/>
              <w:left w:w="100" w:type="dxa"/>
              <w:bottom w:w="80" w:type="dxa"/>
              <w:right w:w="100" w:type="dxa"/>
            </w:tcMar>
            <w:vAlign w:val="center"/>
          </w:tcPr>
          <w:p w14:paraId="56207B53" w14:textId="77777777" w:rsidR="00FC40E8" w:rsidRDefault="00000000">
            <w:r>
              <w:rPr>
                <w:color w:val="000000"/>
                <w:sz w:val="20"/>
                <w:szCs w:val="20"/>
              </w:rPr>
              <w:t>Fragmented per-module pricing (Engagement, Intelligence, Personalization, Data Cloud each billed separately); no regional hosting</w:t>
            </w:r>
          </w:p>
        </w:tc>
      </w:tr>
      <w:tr w:rsidR="00FC40E8" w14:paraId="7FDB7C4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7B829B6" w14:textId="77777777" w:rsidR="00FC40E8" w:rsidRDefault="00000000">
            <w:r>
              <w:rPr>
                <w:color w:val="000000"/>
                <w:sz w:val="20"/>
                <w:szCs w:val="20"/>
              </w:rPr>
              <w:t>Adobe Campaign</w:t>
            </w:r>
          </w:p>
        </w:tc>
        <w:tc>
          <w:tcPr>
            <w:tcW w:w="3200" w:type="dxa"/>
            <w:shd w:val="clear" w:color="auto" w:fill="FFFFFF"/>
            <w:tcMar>
              <w:top w:w="80" w:type="dxa"/>
              <w:left w:w="100" w:type="dxa"/>
              <w:bottom w:w="80" w:type="dxa"/>
              <w:right w:w="100" w:type="dxa"/>
            </w:tcMar>
            <w:vAlign w:val="center"/>
          </w:tcPr>
          <w:p w14:paraId="0F24DB86" w14:textId="77777777" w:rsidR="00FC40E8" w:rsidRDefault="00000000">
            <w:r>
              <w:rPr>
                <w:color w:val="000000"/>
                <w:sz w:val="20"/>
                <w:szCs w:val="20"/>
              </w:rPr>
              <w:t xml:space="preserve">Cross-channel segmentation plus MRM inherited from </w:t>
            </w:r>
            <w:proofErr w:type="spellStart"/>
            <w:r>
              <w:rPr>
                <w:color w:val="000000"/>
                <w:sz w:val="20"/>
                <w:szCs w:val="20"/>
              </w:rPr>
              <w:t>Neolane</w:t>
            </w:r>
            <w:proofErr w:type="spellEnd"/>
          </w:p>
        </w:tc>
        <w:tc>
          <w:tcPr>
            <w:tcW w:w="2400" w:type="dxa"/>
            <w:shd w:val="clear" w:color="auto" w:fill="FFFFFF"/>
            <w:tcMar>
              <w:top w:w="80" w:type="dxa"/>
              <w:left w:w="100" w:type="dxa"/>
              <w:bottom w:w="80" w:type="dxa"/>
              <w:right w:w="100" w:type="dxa"/>
            </w:tcMar>
            <w:vAlign w:val="center"/>
          </w:tcPr>
          <w:p w14:paraId="14066432" w14:textId="77777777" w:rsidR="00FC40E8" w:rsidRDefault="00000000">
            <w:r>
              <w:rPr>
                <w:color w:val="000000"/>
                <w:sz w:val="20"/>
                <w:szCs w:val="20"/>
              </w:rPr>
              <w:t>Adobe cloud / on-prem (Campaign Classic)</w:t>
            </w:r>
          </w:p>
        </w:tc>
        <w:tc>
          <w:tcPr>
            <w:tcW w:w="3200" w:type="dxa"/>
            <w:shd w:val="clear" w:color="auto" w:fill="FFFFFF"/>
            <w:tcMar>
              <w:top w:w="80" w:type="dxa"/>
              <w:left w:w="100" w:type="dxa"/>
              <w:bottom w:w="80" w:type="dxa"/>
              <w:right w:w="100" w:type="dxa"/>
            </w:tcMar>
            <w:vAlign w:val="center"/>
          </w:tcPr>
          <w:p w14:paraId="543E94B3" w14:textId="77777777" w:rsidR="00FC40E8" w:rsidRDefault="00000000">
            <w:r>
              <w:rPr>
                <w:color w:val="000000"/>
                <w:sz w:val="20"/>
                <w:szCs w:val="20"/>
              </w:rPr>
              <w:t>Weaker scalability and post-sale support ratings than Salesforce; ageing core architecture in places</w:t>
            </w:r>
          </w:p>
        </w:tc>
      </w:tr>
      <w:tr w:rsidR="00FC40E8" w14:paraId="7A9AD4B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23AB2AA" w14:textId="77777777" w:rsidR="00FC40E8" w:rsidRDefault="00000000">
            <w:r>
              <w:rPr>
                <w:color w:val="000000"/>
                <w:sz w:val="20"/>
                <w:szCs w:val="20"/>
              </w:rPr>
              <w:t>Adobe Marketo Engage</w:t>
            </w:r>
          </w:p>
        </w:tc>
        <w:tc>
          <w:tcPr>
            <w:tcW w:w="3200" w:type="dxa"/>
            <w:shd w:val="clear" w:color="auto" w:fill="F2F2F2"/>
            <w:tcMar>
              <w:top w:w="80" w:type="dxa"/>
              <w:left w:w="100" w:type="dxa"/>
              <w:bottom w:w="80" w:type="dxa"/>
              <w:right w:w="100" w:type="dxa"/>
            </w:tcMar>
            <w:vAlign w:val="center"/>
          </w:tcPr>
          <w:p w14:paraId="40E4F0B6" w14:textId="77777777" w:rsidR="00FC40E8" w:rsidRDefault="00000000">
            <w:r>
              <w:rPr>
                <w:color w:val="000000"/>
                <w:sz w:val="20"/>
                <w:szCs w:val="20"/>
              </w:rPr>
              <w:t>B2B lead management and scaled nurture</w:t>
            </w:r>
          </w:p>
        </w:tc>
        <w:tc>
          <w:tcPr>
            <w:tcW w:w="2400" w:type="dxa"/>
            <w:shd w:val="clear" w:color="auto" w:fill="F2F2F2"/>
            <w:tcMar>
              <w:top w:w="80" w:type="dxa"/>
              <w:left w:w="100" w:type="dxa"/>
              <w:bottom w:w="80" w:type="dxa"/>
              <w:right w:w="100" w:type="dxa"/>
            </w:tcMar>
            <w:vAlign w:val="center"/>
          </w:tcPr>
          <w:p w14:paraId="29F33E80" w14:textId="77777777" w:rsidR="00FC40E8" w:rsidRDefault="00000000">
            <w:r>
              <w:rPr>
                <w:color w:val="000000"/>
                <w:sz w:val="20"/>
                <w:szCs w:val="20"/>
              </w:rPr>
              <w:t>Adobe cloud</w:t>
            </w:r>
          </w:p>
        </w:tc>
        <w:tc>
          <w:tcPr>
            <w:tcW w:w="3200" w:type="dxa"/>
            <w:shd w:val="clear" w:color="auto" w:fill="F2F2F2"/>
            <w:tcMar>
              <w:top w:w="80" w:type="dxa"/>
              <w:left w:w="100" w:type="dxa"/>
              <w:bottom w:w="80" w:type="dxa"/>
              <w:right w:w="100" w:type="dxa"/>
            </w:tcMar>
            <w:vAlign w:val="center"/>
          </w:tcPr>
          <w:p w14:paraId="73B179CE" w14:textId="77777777" w:rsidR="00FC40E8" w:rsidRDefault="00000000">
            <w:r>
              <w:rPr>
                <w:color w:val="000000"/>
                <w:sz w:val="20"/>
                <w:szCs w:val="20"/>
              </w:rPr>
              <w:t>Optimized for B2B lead-gen, not B2C/telco/bank transactional-scale omnichannel</w:t>
            </w:r>
          </w:p>
        </w:tc>
      </w:tr>
      <w:tr w:rsidR="00FC40E8" w14:paraId="4A1A449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0DF3425" w14:textId="77777777" w:rsidR="00FC40E8" w:rsidRDefault="00000000">
            <w:r>
              <w:rPr>
                <w:color w:val="000000"/>
                <w:sz w:val="20"/>
                <w:szCs w:val="20"/>
              </w:rPr>
              <w:t>SAS Customer Intelligence 360</w:t>
            </w:r>
          </w:p>
        </w:tc>
        <w:tc>
          <w:tcPr>
            <w:tcW w:w="3200" w:type="dxa"/>
            <w:shd w:val="clear" w:color="auto" w:fill="FFFFFF"/>
            <w:tcMar>
              <w:top w:w="80" w:type="dxa"/>
              <w:left w:w="100" w:type="dxa"/>
              <w:bottom w:w="80" w:type="dxa"/>
              <w:right w:w="100" w:type="dxa"/>
            </w:tcMar>
            <w:vAlign w:val="center"/>
          </w:tcPr>
          <w:p w14:paraId="2DE023D1" w14:textId="77777777" w:rsidR="00FC40E8" w:rsidRDefault="00000000">
            <w:r>
              <w:rPr>
                <w:color w:val="000000"/>
                <w:sz w:val="20"/>
                <w:szCs w:val="20"/>
              </w:rPr>
              <w:t>AI-powered decisioning and advanced audience modelling</w:t>
            </w:r>
          </w:p>
        </w:tc>
        <w:tc>
          <w:tcPr>
            <w:tcW w:w="2400" w:type="dxa"/>
            <w:shd w:val="clear" w:color="auto" w:fill="FFFFFF"/>
            <w:tcMar>
              <w:top w:w="80" w:type="dxa"/>
              <w:left w:w="100" w:type="dxa"/>
              <w:bottom w:w="80" w:type="dxa"/>
              <w:right w:w="100" w:type="dxa"/>
            </w:tcMar>
            <w:vAlign w:val="center"/>
          </w:tcPr>
          <w:p w14:paraId="0ACAE17F" w14:textId="77777777" w:rsidR="00FC40E8" w:rsidRDefault="00000000">
            <w:r>
              <w:rPr>
                <w:color w:val="000000"/>
                <w:sz w:val="20"/>
                <w:szCs w:val="20"/>
              </w:rPr>
              <w:t>SAS Viya cloud/hybrid</w:t>
            </w:r>
          </w:p>
        </w:tc>
        <w:tc>
          <w:tcPr>
            <w:tcW w:w="3200" w:type="dxa"/>
            <w:shd w:val="clear" w:color="auto" w:fill="FFFFFF"/>
            <w:tcMar>
              <w:top w:w="80" w:type="dxa"/>
              <w:left w:w="100" w:type="dxa"/>
              <w:bottom w:w="80" w:type="dxa"/>
              <w:right w:w="100" w:type="dxa"/>
            </w:tcMar>
            <w:vAlign w:val="center"/>
          </w:tcPr>
          <w:p w14:paraId="24396D13" w14:textId="77777777" w:rsidR="00FC40E8" w:rsidRDefault="00000000">
            <w:r>
              <w:rPr>
                <w:color w:val="000000"/>
                <w:sz w:val="20"/>
                <w:szCs w:val="20"/>
              </w:rPr>
              <w:t>Analytics/CDP-centric; thinner execution layer (Deliver/Interact equivalents) than a full suite</w:t>
            </w:r>
          </w:p>
        </w:tc>
      </w:tr>
      <w:tr w:rsidR="00FC40E8" w14:paraId="7F119BB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CC775FB" w14:textId="77777777" w:rsidR="00FC40E8" w:rsidRDefault="00000000">
            <w:r>
              <w:rPr>
                <w:color w:val="000000"/>
                <w:sz w:val="20"/>
                <w:szCs w:val="20"/>
              </w:rPr>
              <w:t>Redpoint Interaction</w:t>
            </w:r>
          </w:p>
        </w:tc>
        <w:tc>
          <w:tcPr>
            <w:tcW w:w="3200" w:type="dxa"/>
            <w:shd w:val="clear" w:color="auto" w:fill="F2F2F2"/>
            <w:tcMar>
              <w:top w:w="80" w:type="dxa"/>
              <w:left w:w="100" w:type="dxa"/>
              <w:bottom w:w="80" w:type="dxa"/>
              <w:right w:w="100" w:type="dxa"/>
            </w:tcMar>
            <w:vAlign w:val="center"/>
          </w:tcPr>
          <w:p w14:paraId="3B05FF71" w14:textId="77777777" w:rsidR="00FC40E8" w:rsidRDefault="00000000">
            <w:r>
              <w:rPr>
                <w:color w:val="000000"/>
                <w:sz w:val="20"/>
                <w:szCs w:val="20"/>
              </w:rPr>
              <w:t>Agile CDP, real-time personalization, fast data unification</w:t>
            </w:r>
          </w:p>
        </w:tc>
        <w:tc>
          <w:tcPr>
            <w:tcW w:w="2400" w:type="dxa"/>
            <w:shd w:val="clear" w:color="auto" w:fill="F2F2F2"/>
            <w:tcMar>
              <w:top w:w="80" w:type="dxa"/>
              <w:left w:w="100" w:type="dxa"/>
              <w:bottom w:w="80" w:type="dxa"/>
              <w:right w:w="100" w:type="dxa"/>
            </w:tcMar>
            <w:vAlign w:val="center"/>
          </w:tcPr>
          <w:p w14:paraId="70256332" w14:textId="77777777" w:rsidR="00FC40E8" w:rsidRDefault="00000000">
            <w:r>
              <w:rPr>
                <w:color w:val="000000"/>
                <w:sz w:val="20"/>
                <w:szCs w:val="20"/>
              </w:rPr>
              <w:t>Cloud/hybrid</w:t>
            </w:r>
          </w:p>
        </w:tc>
        <w:tc>
          <w:tcPr>
            <w:tcW w:w="3200" w:type="dxa"/>
            <w:shd w:val="clear" w:color="auto" w:fill="F2F2F2"/>
            <w:tcMar>
              <w:top w:w="80" w:type="dxa"/>
              <w:left w:w="100" w:type="dxa"/>
              <w:bottom w:w="80" w:type="dxa"/>
              <w:right w:w="100" w:type="dxa"/>
            </w:tcMar>
            <w:vAlign w:val="center"/>
          </w:tcPr>
          <w:p w14:paraId="655B6A80" w14:textId="77777777" w:rsidR="00FC40E8" w:rsidRDefault="00000000">
            <w:r>
              <w:rPr>
                <w:color w:val="000000"/>
                <w:sz w:val="20"/>
                <w:szCs w:val="20"/>
              </w:rPr>
              <w:t>Narrower MRM and multi-wave batch-campaign depth</w:t>
            </w:r>
          </w:p>
        </w:tc>
      </w:tr>
      <w:tr w:rsidR="00FC40E8" w14:paraId="23982E4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18FDF46" w14:textId="77777777" w:rsidR="00FC40E8" w:rsidRDefault="00000000">
            <w:proofErr w:type="spellStart"/>
            <w:r>
              <w:rPr>
                <w:color w:val="000000"/>
                <w:sz w:val="20"/>
                <w:szCs w:val="20"/>
              </w:rPr>
              <w:t>ActionIQ</w:t>
            </w:r>
            <w:proofErr w:type="spellEnd"/>
          </w:p>
        </w:tc>
        <w:tc>
          <w:tcPr>
            <w:tcW w:w="3200" w:type="dxa"/>
            <w:shd w:val="clear" w:color="auto" w:fill="FFFFFF"/>
            <w:tcMar>
              <w:top w:w="80" w:type="dxa"/>
              <w:left w:w="100" w:type="dxa"/>
              <w:bottom w:w="80" w:type="dxa"/>
              <w:right w:w="100" w:type="dxa"/>
            </w:tcMar>
            <w:vAlign w:val="center"/>
          </w:tcPr>
          <w:p w14:paraId="67755CF7" w14:textId="77777777" w:rsidR="00FC40E8" w:rsidRDefault="00000000">
            <w:r>
              <w:rPr>
                <w:color w:val="000000"/>
                <w:sz w:val="20"/>
                <w:szCs w:val="20"/>
              </w:rPr>
              <w:t>Self-service CDP usability for marketer-led segmentation</w:t>
            </w:r>
          </w:p>
        </w:tc>
        <w:tc>
          <w:tcPr>
            <w:tcW w:w="2400" w:type="dxa"/>
            <w:shd w:val="clear" w:color="auto" w:fill="FFFFFF"/>
            <w:tcMar>
              <w:top w:w="80" w:type="dxa"/>
              <w:left w:w="100" w:type="dxa"/>
              <w:bottom w:w="80" w:type="dxa"/>
              <w:right w:w="100" w:type="dxa"/>
            </w:tcMar>
            <w:vAlign w:val="center"/>
          </w:tcPr>
          <w:p w14:paraId="1C7C5616" w14:textId="77777777" w:rsidR="00FC40E8" w:rsidRDefault="00000000">
            <w:r>
              <w:rPr>
                <w:color w:val="000000"/>
                <w:sz w:val="20"/>
                <w:szCs w:val="20"/>
              </w:rPr>
              <w:t>Cloud</w:t>
            </w:r>
          </w:p>
        </w:tc>
        <w:tc>
          <w:tcPr>
            <w:tcW w:w="3200" w:type="dxa"/>
            <w:shd w:val="clear" w:color="auto" w:fill="FFFFFF"/>
            <w:tcMar>
              <w:top w:w="80" w:type="dxa"/>
              <w:left w:w="100" w:type="dxa"/>
              <w:bottom w:w="80" w:type="dxa"/>
              <w:right w:w="100" w:type="dxa"/>
            </w:tcMar>
            <w:vAlign w:val="center"/>
          </w:tcPr>
          <w:p w14:paraId="68FF421C" w14:textId="77777777" w:rsidR="00FC40E8" w:rsidRDefault="00000000">
            <w:r>
              <w:rPr>
                <w:color w:val="000000"/>
                <w:sz w:val="20"/>
                <w:szCs w:val="20"/>
              </w:rPr>
              <w:t>CDP-only — needs a Campaign/Deliver/Interact layer added</w:t>
            </w:r>
          </w:p>
        </w:tc>
      </w:tr>
      <w:tr w:rsidR="00FC40E8" w14:paraId="2D10128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0330D51" w14:textId="77777777" w:rsidR="00FC40E8" w:rsidRDefault="00000000">
            <w:r>
              <w:rPr>
                <w:color w:val="000000"/>
                <w:sz w:val="20"/>
                <w:szCs w:val="20"/>
              </w:rPr>
              <w:t>HubSpot Marketing Hub</w:t>
            </w:r>
          </w:p>
        </w:tc>
        <w:tc>
          <w:tcPr>
            <w:tcW w:w="3200" w:type="dxa"/>
            <w:shd w:val="clear" w:color="auto" w:fill="F2F2F2"/>
            <w:tcMar>
              <w:top w:w="80" w:type="dxa"/>
              <w:left w:w="100" w:type="dxa"/>
              <w:bottom w:w="80" w:type="dxa"/>
              <w:right w:w="100" w:type="dxa"/>
            </w:tcMar>
            <w:vAlign w:val="center"/>
          </w:tcPr>
          <w:p w14:paraId="61929B84" w14:textId="77777777" w:rsidR="00FC40E8" w:rsidRDefault="00000000">
            <w:r>
              <w:rPr>
                <w:color w:val="000000"/>
                <w:sz w:val="20"/>
                <w:szCs w:val="20"/>
              </w:rPr>
              <w:t>Ease of use, fast time-to-value, inbound marketing</w:t>
            </w:r>
          </w:p>
        </w:tc>
        <w:tc>
          <w:tcPr>
            <w:tcW w:w="2400" w:type="dxa"/>
            <w:shd w:val="clear" w:color="auto" w:fill="F2F2F2"/>
            <w:tcMar>
              <w:top w:w="80" w:type="dxa"/>
              <w:left w:w="100" w:type="dxa"/>
              <w:bottom w:w="80" w:type="dxa"/>
              <w:right w:w="100" w:type="dxa"/>
            </w:tcMar>
            <w:vAlign w:val="center"/>
          </w:tcPr>
          <w:p w14:paraId="5064EE8B" w14:textId="77777777" w:rsidR="00FC40E8" w:rsidRDefault="00000000">
            <w:r>
              <w:rPr>
                <w:color w:val="000000"/>
                <w:sz w:val="20"/>
                <w:szCs w:val="20"/>
              </w:rPr>
              <w:t>Cloud (multi-tenant SaaS)</w:t>
            </w:r>
          </w:p>
        </w:tc>
        <w:tc>
          <w:tcPr>
            <w:tcW w:w="3200" w:type="dxa"/>
            <w:shd w:val="clear" w:color="auto" w:fill="F2F2F2"/>
            <w:tcMar>
              <w:top w:w="80" w:type="dxa"/>
              <w:left w:w="100" w:type="dxa"/>
              <w:bottom w:w="80" w:type="dxa"/>
              <w:right w:w="100" w:type="dxa"/>
            </w:tcMar>
            <w:vAlign w:val="center"/>
          </w:tcPr>
          <w:p w14:paraId="4B20314C" w14:textId="77777777" w:rsidR="00FC40E8" w:rsidRDefault="00000000">
            <w:r>
              <w:rPr>
                <w:color w:val="000000"/>
                <w:sz w:val="20"/>
                <w:szCs w:val="20"/>
              </w:rPr>
              <w:t>Built for SMB/mid-market scale, not bank/telco batch and real-time volumes</w:t>
            </w:r>
          </w:p>
        </w:tc>
      </w:tr>
      <w:tr w:rsidR="00FC40E8" w14:paraId="35304F5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CA4217B" w14:textId="77777777" w:rsidR="00FC40E8" w:rsidRDefault="00000000">
            <w:proofErr w:type="spellStart"/>
            <w:r>
              <w:rPr>
                <w:color w:val="000000"/>
                <w:sz w:val="20"/>
                <w:szCs w:val="20"/>
              </w:rPr>
              <w:t>MoEngage</w:t>
            </w:r>
            <w:proofErr w:type="spellEnd"/>
          </w:p>
        </w:tc>
        <w:tc>
          <w:tcPr>
            <w:tcW w:w="3200" w:type="dxa"/>
            <w:shd w:val="clear" w:color="auto" w:fill="FFFFFF"/>
            <w:tcMar>
              <w:top w:w="80" w:type="dxa"/>
              <w:left w:w="100" w:type="dxa"/>
              <w:bottom w:w="80" w:type="dxa"/>
              <w:right w:w="100" w:type="dxa"/>
            </w:tcMar>
            <w:vAlign w:val="center"/>
          </w:tcPr>
          <w:p w14:paraId="1FA5545C" w14:textId="77777777" w:rsidR="00FC40E8" w:rsidRDefault="00000000">
            <w:proofErr w:type="spellStart"/>
            <w:r>
              <w:rPr>
                <w:color w:val="000000"/>
                <w:sz w:val="20"/>
                <w:szCs w:val="20"/>
              </w:rPr>
              <w:t>Behaviour</w:t>
            </w:r>
            <w:proofErr w:type="spellEnd"/>
            <w:r>
              <w:rPr>
                <w:color w:val="000000"/>
                <w:sz w:val="20"/>
                <w:szCs w:val="20"/>
              </w:rPr>
              <w:t>-triggered cross-channel lifecycle messaging</w:t>
            </w:r>
          </w:p>
        </w:tc>
        <w:tc>
          <w:tcPr>
            <w:tcW w:w="2400" w:type="dxa"/>
            <w:shd w:val="clear" w:color="auto" w:fill="FFFFFF"/>
            <w:tcMar>
              <w:top w:w="80" w:type="dxa"/>
              <w:left w:w="100" w:type="dxa"/>
              <w:bottom w:w="80" w:type="dxa"/>
              <w:right w:w="100" w:type="dxa"/>
            </w:tcMar>
            <w:vAlign w:val="center"/>
          </w:tcPr>
          <w:p w14:paraId="24A21DBF" w14:textId="77777777" w:rsidR="00FC40E8" w:rsidRDefault="00000000">
            <w:r>
              <w:rPr>
                <w:color w:val="000000"/>
                <w:sz w:val="20"/>
                <w:szCs w:val="20"/>
              </w:rPr>
              <w:t>Cloud</w:t>
            </w:r>
          </w:p>
        </w:tc>
        <w:tc>
          <w:tcPr>
            <w:tcW w:w="3200" w:type="dxa"/>
            <w:shd w:val="clear" w:color="auto" w:fill="FFFFFF"/>
            <w:tcMar>
              <w:top w:w="80" w:type="dxa"/>
              <w:left w:w="100" w:type="dxa"/>
              <w:bottom w:w="80" w:type="dxa"/>
              <w:right w:w="100" w:type="dxa"/>
            </w:tcMar>
            <w:vAlign w:val="center"/>
          </w:tcPr>
          <w:p w14:paraId="7A5BF76F" w14:textId="77777777" w:rsidR="00FC40E8" w:rsidRDefault="00000000">
            <w:r>
              <w:rPr>
                <w:color w:val="000000"/>
                <w:sz w:val="20"/>
                <w:szCs w:val="20"/>
              </w:rPr>
              <w:t>Lighter MRM and contact-optimization layers than a full suite</w:t>
            </w:r>
          </w:p>
        </w:tc>
      </w:tr>
    </w:tbl>
    <w:p w14:paraId="19618E4F" w14:textId="77777777" w:rsidR="00FC40E8" w:rsidRDefault="00000000">
      <w:pPr>
        <w:spacing w:before="60" w:after="240"/>
      </w:pPr>
      <w:r>
        <w:rPr>
          <w:i/>
          <w:iCs/>
          <w:color w:val="444444"/>
          <w:sz w:val="18"/>
          <w:szCs w:val="18"/>
        </w:rPr>
        <w:t xml:space="preserve">Sources: Gartner Peer Insights, </w:t>
      </w:r>
      <w:proofErr w:type="spellStart"/>
      <w:r>
        <w:rPr>
          <w:i/>
          <w:iCs/>
          <w:color w:val="444444"/>
          <w:sz w:val="18"/>
          <w:szCs w:val="18"/>
        </w:rPr>
        <w:t>HCLSoftware</w:t>
      </w:r>
      <w:proofErr w:type="spellEnd"/>
      <w:r>
        <w:rPr>
          <w:i/>
          <w:iCs/>
          <w:color w:val="444444"/>
          <w:sz w:val="18"/>
          <w:szCs w:val="18"/>
        </w:rPr>
        <w:t xml:space="preserve"> product documentation, </w:t>
      </w:r>
      <w:proofErr w:type="spellStart"/>
      <w:r>
        <w:rPr>
          <w:i/>
          <w:iCs/>
          <w:color w:val="444444"/>
          <w:sz w:val="18"/>
          <w:szCs w:val="18"/>
        </w:rPr>
        <w:t>TrustRadius</w:t>
      </w:r>
      <w:proofErr w:type="spellEnd"/>
      <w:r>
        <w:rPr>
          <w:i/>
          <w:iCs/>
          <w:color w:val="444444"/>
          <w:sz w:val="18"/>
          <w:szCs w:val="18"/>
        </w:rPr>
        <w:t>, Capterra/</w:t>
      </w:r>
      <w:proofErr w:type="spellStart"/>
      <w:r>
        <w:rPr>
          <w:i/>
          <w:iCs/>
          <w:color w:val="444444"/>
          <w:sz w:val="18"/>
          <w:szCs w:val="18"/>
        </w:rPr>
        <w:t>GetApp</w:t>
      </w:r>
      <w:proofErr w:type="spellEnd"/>
      <w:r>
        <w:rPr>
          <w:i/>
          <w:iCs/>
          <w:color w:val="444444"/>
          <w:sz w:val="18"/>
          <w:szCs w:val="18"/>
        </w:rPr>
        <w:t xml:space="preserve"> comparison data (2026).</w:t>
      </w:r>
    </w:p>
    <w:p w14:paraId="4E9D3946" w14:textId="77777777" w:rsidR="00FC40E8" w:rsidRDefault="00000000">
      <w:pPr>
        <w:pStyle w:val="Heading2"/>
      </w:pPr>
      <w:bookmarkStart w:id="5" w:name="_Toc240719828"/>
      <w:r>
        <w:t>2.3 Strategic Takeaway</w:t>
      </w:r>
      <w:bookmarkEnd w:id="5"/>
    </w:p>
    <w:p w14:paraId="00AB24B3" w14:textId="77777777" w:rsidR="00FC40E8" w:rsidRDefault="00000000">
      <w:pPr>
        <w:spacing w:after="160" w:line="276" w:lineRule="auto"/>
      </w:pPr>
      <w:r>
        <w:t>None of the reviewed platforms combine full-suite breadth with in-region, sovereign hosting and a single transparent commercial model. That gap — not a feature gap — is the commercial rationale for i3 PMC. The functional target is Unica-equivalent module coverage; the differentiation is delivery model, data residency, pricing simplicity, and native agentic AI.</w:t>
      </w:r>
    </w:p>
    <w:p w14:paraId="40AB9A94" w14:textId="77777777" w:rsidR="00FC40E8" w:rsidRDefault="00000000">
      <w:pPr>
        <w:pStyle w:val="Heading1"/>
        <w:pBdr>
          <w:bottom w:val="single" w:sz="12" w:space="4" w:color="FCA311"/>
        </w:pBdr>
      </w:pPr>
      <w:bookmarkStart w:id="6" w:name="_Toc240719829"/>
      <w:r>
        <w:lastRenderedPageBreak/>
        <w:t>3. Product Vision &amp; Scope</w:t>
      </w:r>
      <w:bookmarkEnd w:id="6"/>
    </w:p>
    <w:p w14:paraId="1255F869" w14:textId="77777777" w:rsidR="00FC40E8" w:rsidRDefault="00000000">
      <w:pPr>
        <w:pStyle w:val="Heading2"/>
      </w:pPr>
      <w:bookmarkStart w:id="7" w:name="_Toc240719830"/>
      <w:r>
        <w:t>3.1 Vision</w:t>
      </w:r>
      <w:bookmarkEnd w:id="7"/>
    </w:p>
    <w:p w14:paraId="07278E84" w14:textId="77777777" w:rsidR="00FC40E8" w:rsidRDefault="00000000">
      <w:pPr>
        <w:spacing w:after="160" w:line="276" w:lineRule="auto"/>
      </w:pPr>
      <w:r>
        <w:t xml:space="preserve">Give East African enterprises a single, regionally-hosted platform to plan, target, personalize and measure customer engagement across every channel their customers actually use — SMS, WhatsApp, USSD, email, push, web, call </w:t>
      </w:r>
      <w:proofErr w:type="spellStart"/>
      <w:r>
        <w:t>centre</w:t>
      </w:r>
      <w:proofErr w:type="spellEnd"/>
      <w:r>
        <w:t xml:space="preserve"> and branch/POS — without sending customer data outside the jurisdictions where it was collected.</w:t>
      </w:r>
    </w:p>
    <w:p w14:paraId="1393248A" w14:textId="77777777" w:rsidR="00FC40E8" w:rsidRDefault="00000000">
      <w:pPr>
        <w:pStyle w:val="Heading2"/>
      </w:pPr>
      <w:bookmarkStart w:id="8" w:name="_Toc240719831"/>
      <w:r>
        <w:t>3.2 In-Scope Modules (Release 1.0 target parity)</w:t>
      </w:r>
      <w:bookmarkEnd w:id="8"/>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6400"/>
      </w:tblGrid>
      <w:tr w:rsidR="00FC40E8" w14:paraId="165F5299" w14:textId="77777777">
        <w:tblPrEx>
          <w:tblCellMar>
            <w:top w:w="0" w:type="dxa"/>
            <w:bottom w:w="0" w:type="dxa"/>
          </w:tblCellMar>
        </w:tblPrEx>
        <w:trPr>
          <w:tblHeader/>
        </w:trPr>
        <w:tc>
          <w:tcPr>
            <w:tcW w:w="2600" w:type="dxa"/>
            <w:shd w:val="clear" w:color="auto" w:fill="14213D"/>
            <w:tcMar>
              <w:top w:w="80" w:type="dxa"/>
              <w:left w:w="100" w:type="dxa"/>
              <w:bottom w:w="80" w:type="dxa"/>
              <w:right w:w="100" w:type="dxa"/>
            </w:tcMar>
            <w:vAlign w:val="center"/>
          </w:tcPr>
          <w:p w14:paraId="0EED79A8" w14:textId="77777777" w:rsidR="00FC40E8" w:rsidRDefault="00000000">
            <w:r>
              <w:rPr>
                <w:b/>
                <w:bCs/>
                <w:color w:val="FFFFFF"/>
                <w:sz w:val="20"/>
                <w:szCs w:val="20"/>
              </w:rPr>
              <w:t>i3 PMC Module</w:t>
            </w:r>
          </w:p>
        </w:tc>
        <w:tc>
          <w:tcPr>
            <w:tcW w:w="2200" w:type="dxa"/>
            <w:shd w:val="clear" w:color="auto" w:fill="14213D"/>
            <w:tcMar>
              <w:top w:w="80" w:type="dxa"/>
              <w:left w:w="100" w:type="dxa"/>
              <w:bottom w:w="80" w:type="dxa"/>
              <w:right w:w="100" w:type="dxa"/>
            </w:tcMar>
            <w:vAlign w:val="center"/>
          </w:tcPr>
          <w:p w14:paraId="4760EC5C" w14:textId="77777777" w:rsidR="00FC40E8" w:rsidRDefault="00000000">
            <w:r>
              <w:rPr>
                <w:b/>
                <w:bCs/>
                <w:color w:val="FFFFFF"/>
                <w:sz w:val="20"/>
                <w:szCs w:val="20"/>
              </w:rPr>
              <w:t>Unica Equivalent</w:t>
            </w:r>
          </w:p>
        </w:tc>
        <w:tc>
          <w:tcPr>
            <w:tcW w:w="6400" w:type="dxa"/>
            <w:shd w:val="clear" w:color="auto" w:fill="14213D"/>
            <w:tcMar>
              <w:top w:w="80" w:type="dxa"/>
              <w:left w:w="100" w:type="dxa"/>
              <w:bottom w:w="80" w:type="dxa"/>
              <w:right w:w="100" w:type="dxa"/>
            </w:tcMar>
            <w:vAlign w:val="center"/>
          </w:tcPr>
          <w:p w14:paraId="6C586674" w14:textId="77777777" w:rsidR="00FC40E8" w:rsidRDefault="00000000">
            <w:r>
              <w:rPr>
                <w:b/>
                <w:bCs/>
                <w:color w:val="FFFFFF"/>
                <w:sz w:val="20"/>
                <w:szCs w:val="20"/>
              </w:rPr>
              <w:t>Function</w:t>
            </w:r>
          </w:p>
        </w:tc>
      </w:tr>
      <w:tr w:rsidR="00FC40E8" w14:paraId="009D117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1F08522" w14:textId="77777777" w:rsidR="00FC40E8" w:rsidRDefault="00000000">
            <w:r>
              <w:rPr>
                <w:color w:val="000000"/>
                <w:sz w:val="20"/>
                <w:szCs w:val="20"/>
              </w:rPr>
              <w:t>Audience Studio</w:t>
            </w:r>
          </w:p>
        </w:tc>
        <w:tc>
          <w:tcPr>
            <w:tcW w:w="2200" w:type="dxa"/>
            <w:shd w:val="clear" w:color="auto" w:fill="FFFFFF"/>
            <w:tcMar>
              <w:top w:w="80" w:type="dxa"/>
              <w:left w:w="100" w:type="dxa"/>
              <w:bottom w:w="80" w:type="dxa"/>
              <w:right w:w="100" w:type="dxa"/>
            </w:tcMar>
            <w:vAlign w:val="center"/>
          </w:tcPr>
          <w:p w14:paraId="6330431D" w14:textId="77777777" w:rsidR="00FC40E8" w:rsidRDefault="00000000">
            <w:r>
              <w:rPr>
                <w:color w:val="000000"/>
                <w:sz w:val="20"/>
                <w:szCs w:val="20"/>
              </w:rPr>
              <w:t>Campaign + Discover</w:t>
            </w:r>
          </w:p>
        </w:tc>
        <w:tc>
          <w:tcPr>
            <w:tcW w:w="6400" w:type="dxa"/>
            <w:shd w:val="clear" w:color="auto" w:fill="FFFFFF"/>
            <w:tcMar>
              <w:top w:w="80" w:type="dxa"/>
              <w:left w:w="100" w:type="dxa"/>
              <w:bottom w:w="80" w:type="dxa"/>
              <w:right w:w="100" w:type="dxa"/>
            </w:tcMar>
            <w:vAlign w:val="center"/>
          </w:tcPr>
          <w:p w14:paraId="4D8BA09A" w14:textId="77777777" w:rsidR="00FC40E8" w:rsidRDefault="00000000">
            <w:r>
              <w:rPr>
                <w:color w:val="000000"/>
                <w:sz w:val="20"/>
                <w:szCs w:val="20"/>
              </w:rPr>
              <w:t>Segmentation, targeting, suppression, multi-wave batch campaign design and execution</w:t>
            </w:r>
          </w:p>
        </w:tc>
      </w:tr>
      <w:tr w:rsidR="00FC40E8" w14:paraId="0D3AE40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4B3835B" w14:textId="77777777" w:rsidR="00FC40E8" w:rsidRDefault="00000000">
            <w:r>
              <w:rPr>
                <w:color w:val="000000"/>
                <w:sz w:val="20"/>
                <w:szCs w:val="20"/>
              </w:rPr>
              <w:t>Journey Orchestrator</w:t>
            </w:r>
          </w:p>
        </w:tc>
        <w:tc>
          <w:tcPr>
            <w:tcW w:w="2200" w:type="dxa"/>
            <w:shd w:val="clear" w:color="auto" w:fill="F2F2F2"/>
            <w:tcMar>
              <w:top w:w="80" w:type="dxa"/>
              <w:left w:w="100" w:type="dxa"/>
              <w:bottom w:w="80" w:type="dxa"/>
              <w:right w:w="100" w:type="dxa"/>
            </w:tcMar>
            <w:vAlign w:val="center"/>
          </w:tcPr>
          <w:p w14:paraId="15C30956" w14:textId="77777777" w:rsidR="00FC40E8" w:rsidRDefault="00000000">
            <w:r>
              <w:rPr>
                <w:color w:val="000000"/>
                <w:sz w:val="20"/>
                <w:szCs w:val="20"/>
              </w:rPr>
              <w:t>Journey</w:t>
            </w:r>
          </w:p>
        </w:tc>
        <w:tc>
          <w:tcPr>
            <w:tcW w:w="6400" w:type="dxa"/>
            <w:shd w:val="clear" w:color="auto" w:fill="F2F2F2"/>
            <w:tcMar>
              <w:top w:w="80" w:type="dxa"/>
              <w:left w:w="100" w:type="dxa"/>
              <w:bottom w:w="80" w:type="dxa"/>
              <w:right w:w="100" w:type="dxa"/>
            </w:tcMar>
            <w:vAlign w:val="center"/>
          </w:tcPr>
          <w:p w14:paraId="7649EDF6" w14:textId="77777777" w:rsidR="00FC40E8" w:rsidRDefault="00000000">
            <w:r>
              <w:rPr>
                <w:color w:val="000000"/>
                <w:sz w:val="20"/>
                <w:szCs w:val="20"/>
              </w:rPr>
              <w:t>Visual, goal-based multi-step customer journey builder with real-time state tracking</w:t>
            </w:r>
          </w:p>
        </w:tc>
      </w:tr>
      <w:tr w:rsidR="00FC40E8" w14:paraId="4B124A3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74AA0C2" w14:textId="77777777" w:rsidR="00FC40E8" w:rsidRDefault="00000000">
            <w:r>
              <w:rPr>
                <w:color w:val="000000"/>
                <w:sz w:val="20"/>
                <w:szCs w:val="20"/>
              </w:rPr>
              <w:t>Engage (Real-Time)</w:t>
            </w:r>
          </w:p>
        </w:tc>
        <w:tc>
          <w:tcPr>
            <w:tcW w:w="2200" w:type="dxa"/>
            <w:shd w:val="clear" w:color="auto" w:fill="FFFFFF"/>
            <w:tcMar>
              <w:top w:w="80" w:type="dxa"/>
              <w:left w:w="100" w:type="dxa"/>
              <w:bottom w:w="80" w:type="dxa"/>
              <w:right w:w="100" w:type="dxa"/>
            </w:tcMar>
            <w:vAlign w:val="center"/>
          </w:tcPr>
          <w:p w14:paraId="7505FF80" w14:textId="77777777" w:rsidR="00FC40E8" w:rsidRDefault="00000000">
            <w:r>
              <w:rPr>
                <w:color w:val="000000"/>
                <w:sz w:val="20"/>
                <w:szCs w:val="20"/>
              </w:rPr>
              <w:t>Interact</w:t>
            </w:r>
          </w:p>
        </w:tc>
        <w:tc>
          <w:tcPr>
            <w:tcW w:w="6400" w:type="dxa"/>
            <w:shd w:val="clear" w:color="auto" w:fill="FFFFFF"/>
            <w:tcMar>
              <w:top w:w="80" w:type="dxa"/>
              <w:left w:w="100" w:type="dxa"/>
              <w:bottom w:w="80" w:type="dxa"/>
              <w:right w:w="100" w:type="dxa"/>
            </w:tcMar>
            <w:vAlign w:val="center"/>
          </w:tcPr>
          <w:p w14:paraId="0227C737" w14:textId="77777777" w:rsidR="00FC40E8" w:rsidRDefault="00000000">
            <w:r>
              <w:rPr>
                <w:color w:val="000000"/>
                <w:sz w:val="20"/>
                <w:szCs w:val="20"/>
              </w:rPr>
              <w:t>Sub-second next-best-action and offer personalization at digital and physical touchpoints</w:t>
            </w:r>
          </w:p>
        </w:tc>
      </w:tr>
      <w:tr w:rsidR="00FC40E8" w14:paraId="03B6858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7B70E63" w14:textId="77777777" w:rsidR="00FC40E8" w:rsidRDefault="00000000">
            <w:r>
              <w:rPr>
                <w:color w:val="000000"/>
                <w:sz w:val="20"/>
                <w:szCs w:val="20"/>
              </w:rPr>
              <w:t>Messenger</w:t>
            </w:r>
          </w:p>
        </w:tc>
        <w:tc>
          <w:tcPr>
            <w:tcW w:w="2200" w:type="dxa"/>
            <w:shd w:val="clear" w:color="auto" w:fill="F2F2F2"/>
            <w:tcMar>
              <w:top w:w="80" w:type="dxa"/>
              <w:left w:w="100" w:type="dxa"/>
              <w:bottom w:w="80" w:type="dxa"/>
              <w:right w:w="100" w:type="dxa"/>
            </w:tcMar>
            <w:vAlign w:val="center"/>
          </w:tcPr>
          <w:p w14:paraId="64AF989F" w14:textId="77777777" w:rsidR="00FC40E8" w:rsidRDefault="00000000">
            <w:r>
              <w:rPr>
                <w:color w:val="000000"/>
                <w:sz w:val="20"/>
                <w:szCs w:val="20"/>
              </w:rPr>
              <w:t>Deliver</w:t>
            </w:r>
          </w:p>
        </w:tc>
        <w:tc>
          <w:tcPr>
            <w:tcW w:w="6400" w:type="dxa"/>
            <w:shd w:val="clear" w:color="auto" w:fill="F2F2F2"/>
            <w:tcMar>
              <w:top w:w="80" w:type="dxa"/>
              <w:left w:w="100" w:type="dxa"/>
              <w:bottom w:w="80" w:type="dxa"/>
              <w:right w:w="100" w:type="dxa"/>
            </w:tcMar>
            <w:vAlign w:val="center"/>
          </w:tcPr>
          <w:p w14:paraId="3F7EEF7E" w14:textId="77777777" w:rsidR="00FC40E8" w:rsidRDefault="00000000">
            <w:r>
              <w:rPr>
                <w:color w:val="000000"/>
                <w:sz w:val="20"/>
                <w:szCs w:val="20"/>
              </w:rPr>
              <w:t>Omnichannel message dispatch: SMS, WhatsApp Business API, email, push, USSD</w:t>
            </w:r>
          </w:p>
        </w:tc>
      </w:tr>
      <w:tr w:rsidR="00FC40E8" w14:paraId="53DA1C3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2E1E5C" w14:textId="77777777" w:rsidR="00FC40E8" w:rsidRDefault="00000000">
            <w:r>
              <w:rPr>
                <w:color w:val="000000"/>
                <w:sz w:val="20"/>
                <w:szCs w:val="20"/>
              </w:rPr>
              <w:t>Plan &amp; Resource Manager</w:t>
            </w:r>
          </w:p>
        </w:tc>
        <w:tc>
          <w:tcPr>
            <w:tcW w:w="2200" w:type="dxa"/>
            <w:shd w:val="clear" w:color="auto" w:fill="FFFFFF"/>
            <w:tcMar>
              <w:top w:w="80" w:type="dxa"/>
              <w:left w:w="100" w:type="dxa"/>
              <w:bottom w:w="80" w:type="dxa"/>
              <w:right w:w="100" w:type="dxa"/>
            </w:tcMar>
            <w:vAlign w:val="center"/>
          </w:tcPr>
          <w:p w14:paraId="604F625F" w14:textId="77777777" w:rsidR="00FC40E8" w:rsidRDefault="00000000">
            <w:r>
              <w:rPr>
                <w:color w:val="000000"/>
                <w:sz w:val="20"/>
                <w:szCs w:val="20"/>
              </w:rPr>
              <w:t>Plan</w:t>
            </w:r>
          </w:p>
        </w:tc>
        <w:tc>
          <w:tcPr>
            <w:tcW w:w="6400" w:type="dxa"/>
            <w:shd w:val="clear" w:color="auto" w:fill="FFFFFF"/>
            <w:tcMar>
              <w:top w:w="80" w:type="dxa"/>
              <w:left w:w="100" w:type="dxa"/>
              <w:bottom w:w="80" w:type="dxa"/>
              <w:right w:w="100" w:type="dxa"/>
            </w:tcMar>
            <w:vAlign w:val="center"/>
          </w:tcPr>
          <w:p w14:paraId="607DC421" w14:textId="77777777" w:rsidR="00FC40E8" w:rsidRDefault="00000000">
            <w:r>
              <w:rPr>
                <w:color w:val="000000"/>
                <w:sz w:val="20"/>
                <w:szCs w:val="20"/>
              </w:rPr>
              <w:t>Marketing calendar, budget, approval workflow and creative-asset management</w:t>
            </w:r>
          </w:p>
        </w:tc>
      </w:tr>
      <w:tr w:rsidR="00FC40E8" w14:paraId="5FDB4FA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179A8AC" w14:textId="77777777" w:rsidR="00FC40E8" w:rsidRDefault="00000000">
            <w:r>
              <w:rPr>
                <w:color w:val="000000"/>
                <w:sz w:val="20"/>
                <w:szCs w:val="20"/>
              </w:rPr>
              <w:t>Contact Optimizer</w:t>
            </w:r>
          </w:p>
        </w:tc>
        <w:tc>
          <w:tcPr>
            <w:tcW w:w="2200" w:type="dxa"/>
            <w:shd w:val="clear" w:color="auto" w:fill="F2F2F2"/>
            <w:tcMar>
              <w:top w:w="80" w:type="dxa"/>
              <w:left w:w="100" w:type="dxa"/>
              <w:bottom w:w="80" w:type="dxa"/>
              <w:right w:w="100" w:type="dxa"/>
            </w:tcMar>
            <w:vAlign w:val="center"/>
          </w:tcPr>
          <w:p w14:paraId="6348B2E3" w14:textId="77777777" w:rsidR="00FC40E8" w:rsidRDefault="00000000">
            <w:r>
              <w:rPr>
                <w:color w:val="000000"/>
                <w:sz w:val="20"/>
                <w:szCs w:val="20"/>
              </w:rPr>
              <w:t>Optimize</w:t>
            </w:r>
          </w:p>
        </w:tc>
        <w:tc>
          <w:tcPr>
            <w:tcW w:w="6400" w:type="dxa"/>
            <w:shd w:val="clear" w:color="auto" w:fill="F2F2F2"/>
            <w:tcMar>
              <w:top w:w="80" w:type="dxa"/>
              <w:left w:w="100" w:type="dxa"/>
              <w:bottom w:w="80" w:type="dxa"/>
              <w:right w:w="100" w:type="dxa"/>
            </w:tcMar>
            <w:vAlign w:val="center"/>
          </w:tcPr>
          <w:p w14:paraId="77039796" w14:textId="77777777" w:rsidR="00FC40E8" w:rsidRDefault="00000000">
            <w:r>
              <w:rPr>
                <w:color w:val="000000"/>
                <w:sz w:val="20"/>
                <w:szCs w:val="20"/>
              </w:rPr>
              <w:t>Cross-channel contact-frequency and offer-arbitration engine</w:t>
            </w:r>
          </w:p>
        </w:tc>
      </w:tr>
      <w:tr w:rsidR="00FC40E8" w14:paraId="4EDA1E4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B8A89F5" w14:textId="77777777" w:rsidR="00FC40E8" w:rsidRDefault="00000000">
            <w:r>
              <w:rPr>
                <w:color w:val="000000"/>
                <w:sz w:val="20"/>
                <w:szCs w:val="20"/>
              </w:rPr>
              <w:t>Insight Studio</w:t>
            </w:r>
          </w:p>
        </w:tc>
        <w:tc>
          <w:tcPr>
            <w:tcW w:w="2200" w:type="dxa"/>
            <w:shd w:val="clear" w:color="auto" w:fill="FFFFFF"/>
            <w:tcMar>
              <w:top w:w="80" w:type="dxa"/>
              <w:left w:w="100" w:type="dxa"/>
              <w:bottom w:w="80" w:type="dxa"/>
              <w:right w:w="100" w:type="dxa"/>
            </w:tcMar>
            <w:vAlign w:val="center"/>
          </w:tcPr>
          <w:p w14:paraId="0CDB7E3C" w14:textId="77777777" w:rsidR="00FC40E8" w:rsidRDefault="00000000">
            <w:r>
              <w:rPr>
                <w:color w:val="000000"/>
                <w:sz w:val="20"/>
                <w:szCs w:val="20"/>
              </w:rPr>
              <w:t>Insights / Discover</w:t>
            </w:r>
          </w:p>
        </w:tc>
        <w:tc>
          <w:tcPr>
            <w:tcW w:w="6400" w:type="dxa"/>
            <w:shd w:val="clear" w:color="auto" w:fill="FFFFFF"/>
            <w:tcMar>
              <w:top w:w="80" w:type="dxa"/>
              <w:left w:w="100" w:type="dxa"/>
              <w:bottom w:w="80" w:type="dxa"/>
              <w:right w:w="100" w:type="dxa"/>
            </w:tcMar>
            <w:vAlign w:val="center"/>
          </w:tcPr>
          <w:p w14:paraId="5B866B95" w14:textId="77777777" w:rsidR="00FC40E8" w:rsidRDefault="00000000">
            <w:r>
              <w:rPr>
                <w:color w:val="000000"/>
                <w:sz w:val="20"/>
                <w:szCs w:val="20"/>
              </w:rPr>
              <w:t xml:space="preserve">Pre-built and ad-hoc campaign performance and </w:t>
            </w:r>
            <w:proofErr w:type="spellStart"/>
            <w:r>
              <w:rPr>
                <w:color w:val="000000"/>
                <w:sz w:val="20"/>
                <w:szCs w:val="20"/>
              </w:rPr>
              <w:t>behavioural</w:t>
            </w:r>
            <w:proofErr w:type="spellEnd"/>
            <w:r>
              <w:rPr>
                <w:color w:val="000000"/>
                <w:sz w:val="20"/>
                <w:szCs w:val="20"/>
              </w:rPr>
              <w:t xml:space="preserve"> analytics</w:t>
            </w:r>
          </w:p>
        </w:tc>
      </w:tr>
      <w:tr w:rsidR="00FC40E8" w14:paraId="11B3036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C859E5" w14:textId="77777777" w:rsidR="00FC40E8" w:rsidRDefault="00000000">
            <w:r>
              <w:rPr>
                <w:color w:val="000000"/>
                <w:sz w:val="20"/>
                <w:szCs w:val="20"/>
              </w:rPr>
              <w:t>Connect Hub</w:t>
            </w:r>
          </w:p>
        </w:tc>
        <w:tc>
          <w:tcPr>
            <w:tcW w:w="2200" w:type="dxa"/>
            <w:shd w:val="clear" w:color="auto" w:fill="F2F2F2"/>
            <w:tcMar>
              <w:top w:w="80" w:type="dxa"/>
              <w:left w:w="100" w:type="dxa"/>
              <w:bottom w:w="80" w:type="dxa"/>
              <w:right w:w="100" w:type="dxa"/>
            </w:tcMar>
            <w:vAlign w:val="center"/>
          </w:tcPr>
          <w:p w14:paraId="412D6056" w14:textId="77777777" w:rsidR="00FC40E8" w:rsidRDefault="00000000">
            <w:r>
              <w:rPr>
                <w:color w:val="000000"/>
                <w:sz w:val="20"/>
                <w:szCs w:val="20"/>
              </w:rPr>
              <w:t>Link</w:t>
            </w:r>
          </w:p>
        </w:tc>
        <w:tc>
          <w:tcPr>
            <w:tcW w:w="6400" w:type="dxa"/>
            <w:shd w:val="clear" w:color="auto" w:fill="F2F2F2"/>
            <w:tcMar>
              <w:top w:w="80" w:type="dxa"/>
              <w:left w:w="100" w:type="dxa"/>
              <w:bottom w:w="80" w:type="dxa"/>
              <w:right w:w="100" w:type="dxa"/>
            </w:tcMar>
            <w:vAlign w:val="center"/>
          </w:tcPr>
          <w:p w14:paraId="04D59B49" w14:textId="77777777" w:rsidR="00FC40E8" w:rsidRDefault="00000000">
            <w:r>
              <w:rPr>
                <w:color w:val="000000"/>
                <w:sz w:val="20"/>
                <w:szCs w:val="20"/>
              </w:rPr>
              <w:t xml:space="preserve">Low-code connector framework for CRM, core banking/billing, POS and third-party </w:t>
            </w:r>
            <w:proofErr w:type="spellStart"/>
            <w:r>
              <w:rPr>
                <w:color w:val="000000"/>
                <w:sz w:val="20"/>
                <w:szCs w:val="20"/>
              </w:rPr>
              <w:t>MarTech</w:t>
            </w:r>
            <w:proofErr w:type="spellEnd"/>
          </w:p>
        </w:tc>
      </w:tr>
      <w:tr w:rsidR="00FC40E8" w14:paraId="062987C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B9675FD" w14:textId="77777777" w:rsidR="00FC40E8" w:rsidRDefault="00000000">
            <w:r>
              <w:rPr>
                <w:color w:val="000000"/>
                <w:sz w:val="20"/>
                <w:szCs w:val="20"/>
              </w:rPr>
              <w:t>Consent &amp; Profile Core</w:t>
            </w:r>
          </w:p>
        </w:tc>
        <w:tc>
          <w:tcPr>
            <w:tcW w:w="2200" w:type="dxa"/>
            <w:shd w:val="clear" w:color="auto" w:fill="FFFFFF"/>
            <w:tcMar>
              <w:top w:w="80" w:type="dxa"/>
              <w:left w:w="100" w:type="dxa"/>
              <w:bottom w:w="80" w:type="dxa"/>
              <w:right w:w="100" w:type="dxa"/>
            </w:tcMar>
            <w:vAlign w:val="center"/>
          </w:tcPr>
          <w:p w14:paraId="76393024" w14:textId="77777777" w:rsidR="00FC40E8" w:rsidRDefault="00000000">
            <w:r>
              <w:rPr>
                <w:color w:val="000000"/>
                <w:sz w:val="20"/>
                <w:szCs w:val="20"/>
              </w:rPr>
              <w:t>Platform / CDP</w:t>
            </w:r>
          </w:p>
        </w:tc>
        <w:tc>
          <w:tcPr>
            <w:tcW w:w="6400" w:type="dxa"/>
            <w:shd w:val="clear" w:color="auto" w:fill="FFFFFF"/>
            <w:tcMar>
              <w:top w:w="80" w:type="dxa"/>
              <w:left w:w="100" w:type="dxa"/>
              <w:bottom w:w="80" w:type="dxa"/>
              <w:right w:w="100" w:type="dxa"/>
            </w:tcMar>
            <w:vAlign w:val="center"/>
          </w:tcPr>
          <w:p w14:paraId="0AF8CEFD" w14:textId="77777777" w:rsidR="00FC40E8" w:rsidRDefault="00000000">
            <w:r>
              <w:rPr>
                <w:color w:val="000000"/>
                <w:sz w:val="20"/>
                <w:szCs w:val="20"/>
              </w:rPr>
              <w:t>Unified customer profile, consent ledger, identity resolution — the system of record all modules read from</w:t>
            </w:r>
          </w:p>
        </w:tc>
      </w:tr>
    </w:tbl>
    <w:p w14:paraId="024A4B77" w14:textId="77777777" w:rsidR="00FC40E8" w:rsidRDefault="00000000">
      <w:pPr>
        <w:pStyle w:val="Heading2"/>
      </w:pPr>
      <w:bookmarkStart w:id="9" w:name="_Toc240719832"/>
      <w:r>
        <w:t>3.3 Out of Scope (Release 1.0)</w:t>
      </w:r>
      <w:bookmarkEnd w:id="9"/>
    </w:p>
    <w:p w14:paraId="773DBEDD" w14:textId="77777777" w:rsidR="00FC40E8" w:rsidRDefault="00000000">
      <w:pPr>
        <w:pStyle w:val="ListParagraph"/>
        <w:numPr>
          <w:ilvl w:val="0"/>
          <w:numId w:val="2"/>
        </w:numPr>
        <w:spacing w:after="80"/>
      </w:pPr>
      <w:r>
        <w:t>Paid media / programmatic ad-buying integration (candidate for Release 2.0 via Connect Hub)</w:t>
      </w:r>
    </w:p>
    <w:p w14:paraId="16D00BB1" w14:textId="77777777" w:rsidR="00FC40E8" w:rsidRDefault="00000000">
      <w:pPr>
        <w:pStyle w:val="ListParagraph"/>
        <w:numPr>
          <w:ilvl w:val="0"/>
          <w:numId w:val="2"/>
        </w:numPr>
        <w:spacing w:after="80"/>
      </w:pPr>
      <w:r>
        <w:t>Native mobile SDKs for in-app messaging (Release 2.0)</w:t>
      </w:r>
    </w:p>
    <w:p w14:paraId="465D42F7" w14:textId="77777777" w:rsidR="00FC40E8" w:rsidRDefault="00000000">
      <w:pPr>
        <w:pStyle w:val="ListParagraph"/>
        <w:numPr>
          <w:ilvl w:val="0"/>
          <w:numId w:val="2"/>
        </w:numPr>
        <w:spacing w:after="80"/>
      </w:pPr>
      <w:r>
        <w:t>Full social-listening module (evaluate build-vs-partner in Release 2.0)</w:t>
      </w:r>
    </w:p>
    <w:p w14:paraId="02DEEA61" w14:textId="77777777" w:rsidR="00FC40E8" w:rsidRDefault="00000000">
      <w:pPr>
        <w:pStyle w:val="Heading1"/>
        <w:pBdr>
          <w:bottom w:val="single" w:sz="12" w:space="4" w:color="FCA311"/>
        </w:pBdr>
      </w:pPr>
      <w:bookmarkStart w:id="10" w:name="_Toc240719833"/>
      <w:r>
        <w:t>4. Technical Architecture</w:t>
      </w:r>
      <w:bookmarkEnd w:id="10"/>
    </w:p>
    <w:p w14:paraId="3CD24D40" w14:textId="77777777" w:rsidR="00FC40E8" w:rsidRDefault="00000000">
      <w:pPr>
        <w:pStyle w:val="Heading2"/>
      </w:pPr>
      <w:bookmarkStart w:id="11" w:name="_Toc240719834"/>
      <w:r>
        <w:t>4.1 Architecture Principles</w:t>
      </w:r>
      <w:bookmarkEnd w:id="11"/>
    </w:p>
    <w:p w14:paraId="6AEA6B10" w14:textId="77777777" w:rsidR="00FC40E8" w:rsidRDefault="00000000">
      <w:pPr>
        <w:pStyle w:val="ListParagraph"/>
        <w:numPr>
          <w:ilvl w:val="0"/>
          <w:numId w:val="2"/>
        </w:numPr>
        <w:spacing w:after="80"/>
      </w:pPr>
      <w:r>
        <w:t>Cloud-native, container-first: every service ships as an OCI image deployed to Red Hat OpenShift (ROKS), consistent with i3's existing 11 ROKS solutions</w:t>
      </w:r>
    </w:p>
    <w:p w14:paraId="3E1A3B59" w14:textId="77777777" w:rsidR="00FC40E8" w:rsidRDefault="00000000">
      <w:pPr>
        <w:pStyle w:val="ListParagraph"/>
        <w:numPr>
          <w:ilvl w:val="0"/>
          <w:numId w:val="2"/>
        </w:numPr>
        <w:spacing w:after="80"/>
      </w:pPr>
      <w:r>
        <w:t>API-first: every module exposes REST/</w:t>
      </w:r>
      <w:proofErr w:type="spellStart"/>
      <w:r>
        <w:t>GraphQL</w:t>
      </w:r>
      <w:proofErr w:type="spellEnd"/>
      <w:r>
        <w:t xml:space="preserve"> APIs before it gets a UI, so Connect Hub and third parties integrate the same way internal modules do</w:t>
      </w:r>
    </w:p>
    <w:p w14:paraId="0F63ACF6" w14:textId="77777777" w:rsidR="00FC40E8" w:rsidRDefault="00000000">
      <w:pPr>
        <w:pStyle w:val="ListParagraph"/>
        <w:numPr>
          <w:ilvl w:val="0"/>
          <w:numId w:val="2"/>
        </w:numPr>
        <w:spacing w:after="80"/>
      </w:pPr>
      <w:r>
        <w:lastRenderedPageBreak/>
        <w:t>Event-driven core: customer and campaign events flow through a durable event bus so Journey, Engage and Insight Studio all react to the same real-time truth</w:t>
      </w:r>
    </w:p>
    <w:p w14:paraId="7DEF14DB" w14:textId="77777777" w:rsidR="00FC40E8" w:rsidRDefault="00000000">
      <w:pPr>
        <w:pStyle w:val="ListParagraph"/>
        <w:numPr>
          <w:ilvl w:val="0"/>
          <w:numId w:val="2"/>
        </w:numPr>
        <w:spacing w:after="80"/>
      </w:pPr>
      <w:r>
        <w:t>Composable, not monolithic: modules are independently deployable microservice groups, matching Unica's own modular positioning but on a single shared control plane</w:t>
      </w:r>
    </w:p>
    <w:p w14:paraId="58001E4D" w14:textId="77777777" w:rsidR="00FC40E8" w:rsidRDefault="00000000">
      <w:pPr>
        <w:pStyle w:val="ListParagraph"/>
        <w:numPr>
          <w:ilvl w:val="0"/>
          <w:numId w:val="2"/>
        </w:numPr>
        <w:spacing w:after="80"/>
      </w:pPr>
      <w:r>
        <w:t>Sovereign by default: primary data residency in-region, with the multi-tenant control plane isolated per customer at the namespace and data-encryption-key level</w:t>
      </w:r>
    </w:p>
    <w:p w14:paraId="17975CD9" w14:textId="77777777" w:rsidR="00FC40E8" w:rsidRDefault="00000000">
      <w:pPr>
        <w:pStyle w:val="Heading2"/>
      </w:pPr>
      <w:bookmarkStart w:id="12" w:name="_Toc240719835"/>
      <w:r>
        <w:t>4.2 Logical Architecture Layers</w:t>
      </w:r>
      <w:bookmarkEnd w:id="12"/>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6000"/>
      </w:tblGrid>
      <w:tr w:rsidR="00FC40E8" w14:paraId="771FF13B" w14:textId="77777777">
        <w:tblPrEx>
          <w:tblCellMar>
            <w:top w:w="0" w:type="dxa"/>
            <w:bottom w:w="0" w:type="dxa"/>
          </w:tblCellMar>
        </w:tblPrEx>
        <w:trPr>
          <w:tblHeader/>
        </w:trPr>
        <w:tc>
          <w:tcPr>
            <w:tcW w:w="2000" w:type="dxa"/>
            <w:shd w:val="clear" w:color="auto" w:fill="14213D"/>
            <w:tcMar>
              <w:top w:w="80" w:type="dxa"/>
              <w:left w:w="100" w:type="dxa"/>
              <w:bottom w:w="80" w:type="dxa"/>
              <w:right w:w="100" w:type="dxa"/>
            </w:tcMar>
            <w:vAlign w:val="center"/>
          </w:tcPr>
          <w:p w14:paraId="24D1A163" w14:textId="77777777" w:rsidR="00FC40E8" w:rsidRDefault="00000000">
            <w:r>
              <w:rPr>
                <w:b/>
                <w:bCs/>
                <w:color w:val="FFFFFF"/>
                <w:sz w:val="20"/>
                <w:szCs w:val="20"/>
              </w:rPr>
              <w:t>Layer</w:t>
            </w:r>
          </w:p>
        </w:tc>
        <w:tc>
          <w:tcPr>
            <w:tcW w:w="4200" w:type="dxa"/>
            <w:shd w:val="clear" w:color="auto" w:fill="14213D"/>
            <w:tcMar>
              <w:top w:w="80" w:type="dxa"/>
              <w:left w:w="100" w:type="dxa"/>
              <w:bottom w:w="80" w:type="dxa"/>
              <w:right w:w="100" w:type="dxa"/>
            </w:tcMar>
            <w:vAlign w:val="center"/>
          </w:tcPr>
          <w:p w14:paraId="1929216B" w14:textId="77777777" w:rsidR="00FC40E8" w:rsidRDefault="00000000">
            <w:r>
              <w:rPr>
                <w:b/>
                <w:bCs/>
                <w:color w:val="FFFFFF"/>
                <w:sz w:val="20"/>
                <w:szCs w:val="20"/>
              </w:rPr>
              <w:t>Components</w:t>
            </w:r>
          </w:p>
        </w:tc>
        <w:tc>
          <w:tcPr>
            <w:tcW w:w="6000" w:type="dxa"/>
            <w:shd w:val="clear" w:color="auto" w:fill="14213D"/>
            <w:tcMar>
              <w:top w:w="80" w:type="dxa"/>
              <w:left w:w="100" w:type="dxa"/>
              <w:bottom w:w="80" w:type="dxa"/>
              <w:right w:w="100" w:type="dxa"/>
            </w:tcMar>
            <w:vAlign w:val="center"/>
          </w:tcPr>
          <w:p w14:paraId="59F3C02A" w14:textId="77777777" w:rsidR="00FC40E8" w:rsidRDefault="00000000">
            <w:r>
              <w:rPr>
                <w:b/>
                <w:bCs/>
                <w:color w:val="FFFFFF"/>
                <w:sz w:val="20"/>
                <w:szCs w:val="20"/>
              </w:rPr>
              <w:t>Representative technology</w:t>
            </w:r>
          </w:p>
        </w:tc>
      </w:tr>
      <w:tr w:rsidR="00FC40E8" w14:paraId="6FF3B0E2"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1F766CCE" w14:textId="77777777" w:rsidR="00FC40E8" w:rsidRDefault="00000000">
            <w:r>
              <w:rPr>
                <w:color w:val="000000"/>
                <w:sz w:val="20"/>
                <w:szCs w:val="20"/>
              </w:rPr>
              <w:t>Experience</w:t>
            </w:r>
          </w:p>
        </w:tc>
        <w:tc>
          <w:tcPr>
            <w:tcW w:w="4200" w:type="dxa"/>
            <w:shd w:val="clear" w:color="auto" w:fill="FFFFFF"/>
            <w:tcMar>
              <w:top w:w="80" w:type="dxa"/>
              <w:left w:w="100" w:type="dxa"/>
              <w:bottom w:w="80" w:type="dxa"/>
              <w:right w:w="100" w:type="dxa"/>
            </w:tcMar>
            <w:vAlign w:val="center"/>
          </w:tcPr>
          <w:p w14:paraId="1D38E4CB" w14:textId="77777777" w:rsidR="00FC40E8" w:rsidRDefault="00000000">
            <w:r>
              <w:rPr>
                <w:color w:val="000000"/>
                <w:sz w:val="20"/>
                <w:szCs w:val="20"/>
              </w:rPr>
              <w:t xml:space="preserve">Marketer console, journey canvas, analytics dashboards, consent-preference </w:t>
            </w:r>
            <w:proofErr w:type="spellStart"/>
            <w:r>
              <w:rPr>
                <w:color w:val="000000"/>
                <w:sz w:val="20"/>
                <w:szCs w:val="20"/>
              </w:rPr>
              <w:t>centre</w:t>
            </w:r>
            <w:proofErr w:type="spellEnd"/>
          </w:p>
        </w:tc>
        <w:tc>
          <w:tcPr>
            <w:tcW w:w="6000" w:type="dxa"/>
            <w:shd w:val="clear" w:color="auto" w:fill="FFFFFF"/>
            <w:tcMar>
              <w:top w:w="80" w:type="dxa"/>
              <w:left w:w="100" w:type="dxa"/>
              <w:bottom w:w="80" w:type="dxa"/>
              <w:right w:w="100" w:type="dxa"/>
            </w:tcMar>
            <w:vAlign w:val="center"/>
          </w:tcPr>
          <w:p w14:paraId="2AADFDF0" w14:textId="77777777" w:rsidR="00FC40E8" w:rsidRDefault="00000000">
            <w:r>
              <w:rPr>
                <w:color w:val="000000"/>
                <w:sz w:val="20"/>
                <w:szCs w:val="20"/>
              </w:rPr>
              <w:t>React front end, i3 design system, Red Hat OpenShift routes / API gateway</w:t>
            </w:r>
          </w:p>
        </w:tc>
      </w:tr>
      <w:tr w:rsidR="00FC40E8" w14:paraId="59E43C44"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72D5BFFD" w14:textId="77777777" w:rsidR="00FC40E8" w:rsidRDefault="00000000">
            <w:r>
              <w:rPr>
                <w:color w:val="000000"/>
                <w:sz w:val="20"/>
                <w:szCs w:val="20"/>
              </w:rPr>
              <w:t>API &amp; Orchestration</w:t>
            </w:r>
          </w:p>
        </w:tc>
        <w:tc>
          <w:tcPr>
            <w:tcW w:w="4200" w:type="dxa"/>
            <w:shd w:val="clear" w:color="auto" w:fill="F2F2F2"/>
            <w:tcMar>
              <w:top w:w="80" w:type="dxa"/>
              <w:left w:w="100" w:type="dxa"/>
              <w:bottom w:w="80" w:type="dxa"/>
              <w:right w:w="100" w:type="dxa"/>
            </w:tcMar>
            <w:vAlign w:val="center"/>
          </w:tcPr>
          <w:p w14:paraId="0D3350B6" w14:textId="77777777" w:rsidR="00FC40E8" w:rsidRDefault="00000000">
            <w:r>
              <w:rPr>
                <w:color w:val="000000"/>
                <w:sz w:val="20"/>
                <w:szCs w:val="20"/>
              </w:rPr>
              <w:t>API gateway, auth, campaign orchestration service, journey execution engine</w:t>
            </w:r>
          </w:p>
        </w:tc>
        <w:tc>
          <w:tcPr>
            <w:tcW w:w="6000" w:type="dxa"/>
            <w:shd w:val="clear" w:color="auto" w:fill="F2F2F2"/>
            <w:tcMar>
              <w:top w:w="80" w:type="dxa"/>
              <w:left w:w="100" w:type="dxa"/>
              <w:bottom w:w="80" w:type="dxa"/>
              <w:right w:w="100" w:type="dxa"/>
            </w:tcMar>
            <w:vAlign w:val="center"/>
          </w:tcPr>
          <w:p w14:paraId="04AC1D14" w14:textId="77777777" w:rsidR="00FC40E8" w:rsidRDefault="00000000">
            <w:r>
              <w:rPr>
                <w:color w:val="000000"/>
                <w:sz w:val="20"/>
                <w:szCs w:val="20"/>
              </w:rPr>
              <w:t xml:space="preserve">Node.js / Java microservices on OpenShift, Kong or Red Hat 3scale API Management, </w:t>
            </w:r>
            <w:proofErr w:type="spellStart"/>
            <w:r>
              <w:rPr>
                <w:color w:val="000000"/>
                <w:sz w:val="20"/>
                <w:szCs w:val="20"/>
              </w:rPr>
              <w:t>Keycloak</w:t>
            </w:r>
            <w:proofErr w:type="spellEnd"/>
            <w:r>
              <w:rPr>
                <w:color w:val="000000"/>
                <w:sz w:val="20"/>
                <w:szCs w:val="20"/>
              </w:rPr>
              <w:t xml:space="preserve"> (Red Hat SSO)</w:t>
            </w:r>
          </w:p>
        </w:tc>
      </w:tr>
      <w:tr w:rsidR="00FC40E8" w14:paraId="2CD86A66"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3E8D8CB" w14:textId="77777777" w:rsidR="00FC40E8" w:rsidRDefault="00000000">
            <w:r>
              <w:rPr>
                <w:color w:val="000000"/>
                <w:sz w:val="20"/>
                <w:szCs w:val="20"/>
              </w:rPr>
              <w:t>Real-Time Decisioning</w:t>
            </w:r>
          </w:p>
        </w:tc>
        <w:tc>
          <w:tcPr>
            <w:tcW w:w="4200" w:type="dxa"/>
            <w:shd w:val="clear" w:color="auto" w:fill="FFFFFF"/>
            <w:tcMar>
              <w:top w:w="80" w:type="dxa"/>
              <w:left w:w="100" w:type="dxa"/>
              <w:bottom w:w="80" w:type="dxa"/>
              <w:right w:w="100" w:type="dxa"/>
            </w:tcMar>
            <w:vAlign w:val="center"/>
          </w:tcPr>
          <w:p w14:paraId="36D1A04A" w14:textId="77777777" w:rsidR="00FC40E8" w:rsidRDefault="00000000">
            <w:r>
              <w:rPr>
                <w:color w:val="000000"/>
                <w:sz w:val="20"/>
                <w:szCs w:val="20"/>
              </w:rPr>
              <w:t>Next-best-action engine, offer arbitration, in-session personalization</w:t>
            </w:r>
          </w:p>
        </w:tc>
        <w:tc>
          <w:tcPr>
            <w:tcW w:w="6000" w:type="dxa"/>
            <w:shd w:val="clear" w:color="auto" w:fill="FFFFFF"/>
            <w:tcMar>
              <w:top w:w="80" w:type="dxa"/>
              <w:left w:w="100" w:type="dxa"/>
              <w:bottom w:w="80" w:type="dxa"/>
              <w:right w:w="100" w:type="dxa"/>
            </w:tcMar>
            <w:vAlign w:val="center"/>
          </w:tcPr>
          <w:p w14:paraId="22FF07BC" w14:textId="77777777" w:rsidR="00FC40E8" w:rsidRDefault="00000000">
            <w:r>
              <w:rPr>
                <w:color w:val="000000"/>
                <w:sz w:val="20"/>
                <w:szCs w:val="20"/>
              </w:rPr>
              <w:t>Low-latency Java/Go services, in-memory feature store (Redis), rules + ML scoring</w:t>
            </w:r>
          </w:p>
        </w:tc>
      </w:tr>
      <w:tr w:rsidR="00FC40E8" w14:paraId="7A94EF7F"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0576A041" w14:textId="77777777" w:rsidR="00FC40E8" w:rsidRDefault="00000000">
            <w:r>
              <w:rPr>
                <w:color w:val="000000"/>
                <w:sz w:val="20"/>
                <w:szCs w:val="20"/>
              </w:rPr>
              <w:t>Messaging &amp; Delivery</w:t>
            </w:r>
          </w:p>
        </w:tc>
        <w:tc>
          <w:tcPr>
            <w:tcW w:w="4200" w:type="dxa"/>
            <w:shd w:val="clear" w:color="auto" w:fill="F2F2F2"/>
            <w:tcMar>
              <w:top w:w="80" w:type="dxa"/>
              <w:left w:w="100" w:type="dxa"/>
              <w:bottom w:w="80" w:type="dxa"/>
              <w:right w:w="100" w:type="dxa"/>
            </w:tcMar>
            <w:vAlign w:val="center"/>
          </w:tcPr>
          <w:p w14:paraId="32EE7EE2" w14:textId="77777777" w:rsidR="00FC40E8" w:rsidRDefault="00000000">
            <w:r>
              <w:rPr>
                <w:color w:val="000000"/>
                <w:sz w:val="20"/>
                <w:szCs w:val="20"/>
              </w:rPr>
              <w:t>Channel adapters: SMS, WhatsApp Business API, email (SMTP/API), push, USSD gateway</w:t>
            </w:r>
          </w:p>
        </w:tc>
        <w:tc>
          <w:tcPr>
            <w:tcW w:w="6000" w:type="dxa"/>
            <w:shd w:val="clear" w:color="auto" w:fill="F2F2F2"/>
            <w:tcMar>
              <w:top w:w="80" w:type="dxa"/>
              <w:left w:w="100" w:type="dxa"/>
              <w:bottom w:w="80" w:type="dxa"/>
              <w:right w:w="100" w:type="dxa"/>
            </w:tcMar>
            <w:vAlign w:val="center"/>
          </w:tcPr>
          <w:p w14:paraId="02867075" w14:textId="77777777" w:rsidR="00FC40E8" w:rsidRDefault="00000000">
            <w:r>
              <w:rPr>
                <w:color w:val="000000"/>
                <w:sz w:val="20"/>
                <w:szCs w:val="20"/>
              </w:rPr>
              <w:t>Apache Kafka for dispatch queues, provider-specific connectors, delivery-receipt reconciliation service</w:t>
            </w:r>
          </w:p>
        </w:tc>
      </w:tr>
      <w:tr w:rsidR="00FC40E8" w14:paraId="19B37A6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EB4E7C8" w14:textId="77777777" w:rsidR="00FC40E8" w:rsidRDefault="00000000">
            <w:r>
              <w:rPr>
                <w:color w:val="000000"/>
                <w:sz w:val="20"/>
                <w:szCs w:val="20"/>
              </w:rPr>
              <w:t>Data &amp; AI</w:t>
            </w:r>
          </w:p>
        </w:tc>
        <w:tc>
          <w:tcPr>
            <w:tcW w:w="4200" w:type="dxa"/>
            <w:shd w:val="clear" w:color="auto" w:fill="FFFFFF"/>
            <w:tcMar>
              <w:top w:w="80" w:type="dxa"/>
              <w:left w:w="100" w:type="dxa"/>
              <w:bottom w:w="80" w:type="dxa"/>
              <w:right w:w="100" w:type="dxa"/>
            </w:tcMar>
            <w:vAlign w:val="center"/>
          </w:tcPr>
          <w:p w14:paraId="3D2CABD0" w14:textId="77777777" w:rsidR="00FC40E8" w:rsidRDefault="00000000">
            <w:r>
              <w:rPr>
                <w:color w:val="000000"/>
                <w:sz w:val="20"/>
                <w:szCs w:val="20"/>
              </w:rPr>
              <w:t>Customer Data Platform, identity resolution, feature store, agentic AI layer</w:t>
            </w:r>
          </w:p>
        </w:tc>
        <w:tc>
          <w:tcPr>
            <w:tcW w:w="6000" w:type="dxa"/>
            <w:shd w:val="clear" w:color="auto" w:fill="FFFFFF"/>
            <w:tcMar>
              <w:top w:w="80" w:type="dxa"/>
              <w:left w:w="100" w:type="dxa"/>
              <w:bottom w:w="80" w:type="dxa"/>
              <w:right w:w="100" w:type="dxa"/>
            </w:tcMar>
            <w:vAlign w:val="center"/>
          </w:tcPr>
          <w:p w14:paraId="75C82154" w14:textId="77777777" w:rsidR="00FC40E8" w:rsidRDefault="00000000">
            <w:r>
              <w:rPr>
                <w:color w:val="000000"/>
                <w:sz w:val="20"/>
                <w:szCs w:val="20"/>
              </w:rPr>
              <w:t>PostgreSQL (profiles), Elasticsearch (</w:t>
            </w:r>
            <w:proofErr w:type="spellStart"/>
            <w:r>
              <w:rPr>
                <w:color w:val="000000"/>
                <w:sz w:val="20"/>
                <w:szCs w:val="20"/>
              </w:rPr>
              <w:t>behavioural</w:t>
            </w:r>
            <w:proofErr w:type="spellEnd"/>
            <w:r>
              <w:rPr>
                <w:color w:val="000000"/>
                <w:sz w:val="20"/>
                <w:szCs w:val="20"/>
              </w:rPr>
              <w:t>/event search), object storage for assets, i3 Agentic AI Lab models for content and NBA scoring</w:t>
            </w:r>
          </w:p>
        </w:tc>
      </w:tr>
      <w:tr w:rsidR="00FC40E8" w14:paraId="324EE566"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56B374E" w14:textId="77777777" w:rsidR="00FC40E8" w:rsidRDefault="00000000">
            <w:r>
              <w:rPr>
                <w:color w:val="000000"/>
                <w:sz w:val="20"/>
                <w:szCs w:val="20"/>
              </w:rPr>
              <w:t>Integration</w:t>
            </w:r>
          </w:p>
        </w:tc>
        <w:tc>
          <w:tcPr>
            <w:tcW w:w="4200" w:type="dxa"/>
            <w:shd w:val="clear" w:color="auto" w:fill="F2F2F2"/>
            <w:tcMar>
              <w:top w:w="80" w:type="dxa"/>
              <w:left w:w="100" w:type="dxa"/>
              <w:bottom w:w="80" w:type="dxa"/>
              <w:right w:w="100" w:type="dxa"/>
            </w:tcMar>
            <w:vAlign w:val="center"/>
          </w:tcPr>
          <w:p w14:paraId="4D35712B" w14:textId="77777777" w:rsidR="00FC40E8" w:rsidRDefault="00000000">
            <w:r>
              <w:rPr>
                <w:color w:val="000000"/>
                <w:sz w:val="20"/>
                <w:szCs w:val="20"/>
              </w:rPr>
              <w:t xml:space="preserve">Connect Hub: CRM, core banking/billing, POS, data-warehouse, </w:t>
            </w:r>
            <w:proofErr w:type="spellStart"/>
            <w:r>
              <w:rPr>
                <w:color w:val="000000"/>
                <w:sz w:val="20"/>
                <w:szCs w:val="20"/>
              </w:rPr>
              <w:t>MarTech</w:t>
            </w:r>
            <w:proofErr w:type="spellEnd"/>
            <w:r>
              <w:rPr>
                <w:color w:val="000000"/>
                <w:sz w:val="20"/>
                <w:szCs w:val="20"/>
              </w:rPr>
              <w:t xml:space="preserve"> connectors</w:t>
            </w:r>
          </w:p>
        </w:tc>
        <w:tc>
          <w:tcPr>
            <w:tcW w:w="6000" w:type="dxa"/>
            <w:shd w:val="clear" w:color="auto" w:fill="F2F2F2"/>
            <w:tcMar>
              <w:top w:w="80" w:type="dxa"/>
              <w:left w:w="100" w:type="dxa"/>
              <w:bottom w:w="80" w:type="dxa"/>
              <w:right w:w="100" w:type="dxa"/>
            </w:tcMar>
            <w:vAlign w:val="center"/>
          </w:tcPr>
          <w:p w14:paraId="1643638D" w14:textId="77777777" w:rsidR="00FC40E8" w:rsidRDefault="00000000">
            <w:r>
              <w:rPr>
                <w:color w:val="000000"/>
                <w:sz w:val="20"/>
                <w:szCs w:val="20"/>
              </w:rPr>
              <w:t>Red Hat Fuse / Camel-based integration runtime, pre-built connector catalog</w:t>
            </w:r>
          </w:p>
        </w:tc>
      </w:tr>
      <w:tr w:rsidR="00FC40E8" w14:paraId="5FFE3066"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17C35758" w14:textId="77777777" w:rsidR="00FC40E8" w:rsidRDefault="00000000">
            <w:r>
              <w:rPr>
                <w:color w:val="000000"/>
                <w:sz w:val="20"/>
                <w:szCs w:val="20"/>
              </w:rPr>
              <w:t>Platform &amp; Ops</w:t>
            </w:r>
          </w:p>
        </w:tc>
        <w:tc>
          <w:tcPr>
            <w:tcW w:w="4200" w:type="dxa"/>
            <w:shd w:val="clear" w:color="auto" w:fill="FFFFFF"/>
            <w:tcMar>
              <w:top w:w="80" w:type="dxa"/>
              <w:left w:w="100" w:type="dxa"/>
              <w:bottom w:w="80" w:type="dxa"/>
              <w:right w:w="100" w:type="dxa"/>
            </w:tcMar>
            <w:vAlign w:val="center"/>
          </w:tcPr>
          <w:p w14:paraId="3BFA83EA" w14:textId="77777777" w:rsidR="00FC40E8" w:rsidRDefault="00000000">
            <w:r>
              <w:rPr>
                <w:color w:val="000000"/>
                <w:sz w:val="20"/>
                <w:szCs w:val="20"/>
              </w:rPr>
              <w:t>Multi-tenancy, IAM, audit, observability, CI/CD</w:t>
            </w:r>
          </w:p>
        </w:tc>
        <w:tc>
          <w:tcPr>
            <w:tcW w:w="6000" w:type="dxa"/>
            <w:shd w:val="clear" w:color="auto" w:fill="FFFFFF"/>
            <w:tcMar>
              <w:top w:w="80" w:type="dxa"/>
              <w:left w:w="100" w:type="dxa"/>
              <w:bottom w:w="80" w:type="dxa"/>
              <w:right w:w="100" w:type="dxa"/>
            </w:tcMar>
            <w:vAlign w:val="center"/>
          </w:tcPr>
          <w:p w14:paraId="14A383A6" w14:textId="77777777" w:rsidR="00FC40E8" w:rsidRDefault="00000000">
            <w:r>
              <w:rPr>
                <w:color w:val="000000"/>
                <w:sz w:val="20"/>
                <w:szCs w:val="20"/>
              </w:rPr>
              <w:t xml:space="preserve">Red Hat OpenShift (ROKS) on IBM Cloud, IBM Cloud Object Storage, Prometheus/Grafana, </w:t>
            </w:r>
            <w:proofErr w:type="spellStart"/>
            <w:r>
              <w:rPr>
                <w:color w:val="000000"/>
                <w:sz w:val="20"/>
                <w:szCs w:val="20"/>
              </w:rPr>
              <w:t>GitOps</w:t>
            </w:r>
            <w:proofErr w:type="spellEnd"/>
            <w:r>
              <w:rPr>
                <w:color w:val="000000"/>
                <w:sz w:val="20"/>
                <w:szCs w:val="20"/>
              </w:rPr>
              <w:t xml:space="preserve"> (</w:t>
            </w:r>
            <w:proofErr w:type="spellStart"/>
            <w:r>
              <w:rPr>
                <w:color w:val="000000"/>
                <w:sz w:val="20"/>
                <w:szCs w:val="20"/>
              </w:rPr>
              <w:t>ArgoCD</w:t>
            </w:r>
            <w:proofErr w:type="spellEnd"/>
            <w:r>
              <w:rPr>
                <w:color w:val="000000"/>
                <w:sz w:val="20"/>
                <w:szCs w:val="20"/>
              </w:rPr>
              <w:t>/</w:t>
            </w:r>
            <w:proofErr w:type="spellStart"/>
            <w:r>
              <w:rPr>
                <w:color w:val="000000"/>
                <w:sz w:val="20"/>
                <w:szCs w:val="20"/>
              </w:rPr>
              <w:t>Tekton</w:t>
            </w:r>
            <w:proofErr w:type="spellEnd"/>
            <w:r>
              <w:rPr>
                <w:color w:val="000000"/>
                <w:sz w:val="20"/>
                <w:szCs w:val="20"/>
              </w:rPr>
              <w:t>)</w:t>
            </w:r>
          </w:p>
        </w:tc>
      </w:tr>
    </w:tbl>
    <w:p w14:paraId="3593A2A1" w14:textId="77777777" w:rsidR="00FC40E8" w:rsidRDefault="00000000">
      <w:pPr>
        <w:pStyle w:val="Heading2"/>
      </w:pPr>
      <w:bookmarkStart w:id="13" w:name="_Toc240719836"/>
      <w:r>
        <w:t>4.3 Deployment Topology</w:t>
      </w:r>
      <w:bookmarkEnd w:id="13"/>
    </w:p>
    <w:p w14:paraId="7BD2D1B4" w14:textId="77777777" w:rsidR="00FC40E8" w:rsidRDefault="00000000">
      <w:pPr>
        <w:spacing w:after="160" w:line="276" w:lineRule="auto"/>
      </w:pPr>
      <w:r>
        <w:t>i3 PMC deploys on the same Red Hat OpenShift (ROKS) foundation already running i3's eleven proprietary solutions, on IBM Cloud with IBM Power Systems underpinning the shared 750+ VM lab estate. Each customer tenant is provisioned as an isolated OpenShift namespace with its own encryption keys and, where a regulator requires it, its own dedicated node pool and data-residency zone. Non-production (dev/test/UAT) environments run from the existing i3 Smart Labs capacity, keeping incremental infrastructure spend to production-grade capacity only.</w:t>
      </w:r>
    </w:p>
    <w:p w14:paraId="61C3D0B6" w14:textId="77777777" w:rsidR="00FC40E8" w:rsidRDefault="00000000">
      <w:pPr>
        <w:pStyle w:val="Heading2"/>
      </w:pPr>
      <w:bookmarkStart w:id="14" w:name="_Toc240719837"/>
      <w:r>
        <w:t>4.4 Agentic AI Layer</w:t>
      </w:r>
      <w:bookmarkEnd w:id="14"/>
    </w:p>
    <w:p w14:paraId="302ACCBB" w14:textId="77777777" w:rsidR="00FC40E8" w:rsidRDefault="00000000">
      <w:pPr>
        <w:spacing w:after="160" w:line="276" w:lineRule="auto"/>
      </w:pPr>
      <w:r>
        <w:t>Rather than treating AI as an add-on, i3 PMC's campaign-design, content-generation and next-best-action capabilities are built directly on i3's existing Agentic AI Lab and Enterprise Test Engine work — the same blueprint line already validated against i3's IBM Cloud model-hosting footprint. This gives i3 PMC three AI-native capabilities from Release 1.0: natural-language campaign brief-to-flowchart generation, propensity-scored next-best-offer, and automated test-and-QA of campaign flowcharts before go-live via the Enterprise Test Engine pattern.</w:t>
      </w:r>
    </w:p>
    <w:p w14:paraId="74FCEA03" w14:textId="77777777" w:rsidR="00FC40E8" w:rsidRDefault="00000000">
      <w:pPr>
        <w:pStyle w:val="Heading1"/>
        <w:pBdr>
          <w:bottom w:val="single" w:sz="12" w:space="4" w:color="FCA311"/>
        </w:pBdr>
      </w:pPr>
      <w:bookmarkStart w:id="15" w:name="_Toc240719838"/>
      <w:r>
        <w:lastRenderedPageBreak/>
        <w:t>5. Core Data Model</w:t>
      </w:r>
      <w:bookmarkEnd w:id="15"/>
    </w:p>
    <w:p w14:paraId="25AA6B41" w14:textId="77777777" w:rsidR="00FC40E8" w:rsidRDefault="00000000">
      <w:pPr>
        <w:spacing w:after="160" w:line="276" w:lineRule="auto"/>
      </w:pPr>
      <w:r>
        <w:t>The Consent &amp; Profile Core is the single system of record every other module reads from and writes to. Core entities:</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5800"/>
      </w:tblGrid>
      <w:tr w:rsidR="00FC40E8" w14:paraId="57AAD2B0" w14:textId="77777777">
        <w:tblPrEx>
          <w:tblCellMar>
            <w:top w:w="0" w:type="dxa"/>
            <w:bottom w:w="0" w:type="dxa"/>
          </w:tblCellMar>
        </w:tblPrEx>
        <w:trPr>
          <w:tblHeader/>
        </w:trPr>
        <w:tc>
          <w:tcPr>
            <w:tcW w:w="2200" w:type="dxa"/>
            <w:shd w:val="clear" w:color="auto" w:fill="14213D"/>
            <w:tcMar>
              <w:top w:w="80" w:type="dxa"/>
              <w:left w:w="100" w:type="dxa"/>
              <w:bottom w:w="80" w:type="dxa"/>
              <w:right w:w="100" w:type="dxa"/>
            </w:tcMar>
            <w:vAlign w:val="center"/>
          </w:tcPr>
          <w:p w14:paraId="15E16153" w14:textId="77777777" w:rsidR="00FC40E8" w:rsidRDefault="00000000">
            <w:r>
              <w:rPr>
                <w:b/>
                <w:bCs/>
                <w:color w:val="FFFFFF"/>
                <w:sz w:val="20"/>
                <w:szCs w:val="20"/>
              </w:rPr>
              <w:t>Entity</w:t>
            </w:r>
          </w:p>
        </w:tc>
        <w:tc>
          <w:tcPr>
            <w:tcW w:w="4200" w:type="dxa"/>
            <w:shd w:val="clear" w:color="auto" w:fill="14213D"/>
            <w:tcMar>
              <w:top w:w="80" w:type="dxa"/>
              <w:left w:w="100" w:type="dxa"/>
              <w:bottom w:w="80" w:type="dxa"/>
              <w:right w:w="100" w:type="dxa"/>
            </w:tcMar>
            <w:vAlign w:val="center"/>
          </w:tcPr>
          <w:p w14:paraId="025F7649" w14:textId="77777777" w:rsidR="00FC40E8" w:rsidRDefault="00000000">
            <w:r>
              <w:rPr>
                <w:b/>
                <w:bCs/>
                <w:color w:val="FFFFFF"/>
                <w:sz w:val="20"/>
                <w:szCs w:val="20"/>
              </w:rPr>
              <w:t>Purpose</w:t>
            </w:r>
          </w:p>
        </w:tc>
        <w:tc>
          <w:tcPr>
            <w:tcW w:w="5800" w:type="dxa"/>
            <w:shd w:val="clear" w:color="auto" w:fill="14213D"/>
            <w:tcMar>
              <w:top w:w="80" w:type="dxa"/>
              <w:left w:w="100" w:type="dxa"/>
              <w:bottom w:w="80" w:type="dxa"/>
              <w:right w:w="100" w:type="dxa"/>
            </w:tcMar>
            <w:vAlign w:val="center"/>
          </w:tcPr>
          <w:p w14:paraId="23498CC9" w14:textId="77777777" w:rsidR="00FC40E8" w:rsidRDefault="00000000">
            <w:r>
              <w:rPr>
                <w:b/>
                <w:bCs/>
                <w:color w:val="FFFFFF"/>
                <w:sz w:val="20"/>
                <w:szCs w:val="20"/>
              </w:rPr>
              <w:t>Key attributes</w:t>
            </w:r>
          </w:p>
        </w:tc>
      </w:tr>
      <w:tr w:rsidR="00FC40E8" w14:paraId="4C3C630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F618859" w14:textId="77777777" w:rsidR="00FC40E8" w:rsidRDefault="00000000">
            <w:r>
              <w:rPr>
                <w:color w:val="000000"/>
                <w:sz w:val="20"/>
                <w:szCs w:val="20"/>
              </w:rPr>
              <w:t>Customer Profile</w:t>
            </w:r>
          </w:p>
        </w:tc>
        <w:tc>
          <w:tcPr>
            <w:tcW w:w="4200" w:type="dxa"/>
            <w:shd w:val="clear" w:color="auto" w:fill="FFFFFF"/>
            <w:tcMar>
              <w:top w:w="80" w:type="dxa"/>
              <w:left w:w="100" w:type="dxa"/>
              <w:bottom w:w="80" w:type="dxa"/>
              <w:right w:w="100" w:type="dxa"/>
            </w:tcMar>
            <w:vAlign w:val="center"/>
          </w:tcPr>
          <w:p w14:paraId="6BB89313" w14:textId="77777777" w:rsidR="00FC40E8" w:rsidRDefault="00000000">
            <w:r>
              <w:rPr>
                <w:color w:val="000000"/>
                <w:sz w:val="20"/>
                <w:szCs w:val="20"/>
              </w:rPr>
              <w:t>Unified, deduplicated view of a person or account across channels</w:t>
            </w:r>
          </w:p>
        </w:tc>
        <w:tc>
          <w:tcPr>
            <w:tcW w:w="5800" w:type="dxa"/>
            <w:shd w:val="clear" w:color="auto" w:fill="FFFFFF"/>
            <w:tcMar>
              <w:top w:w="80" w:type="dxa"/>
              <w:left w:w="100" w:type="dxa"/>
              <w:bottom w:w="80" w:type="dxa"/>
              <w:right w:w="100" w:type="dxa"/>
            </w:tcMar>
            <w:vAlign w:val="center"/>
          </w:tcPr>
          <w:p w14:paraId="22EF2A74" w14:textId="77777777" w:rsidR="00FC40E8" w:rsidRDefault="00000000">
            <w:r>
              <w:rPr>
                <w:color w:val="000000"/>
                <w:sz w:val="20"/>
                <w:szCs w:val="20"/>
              </w:rPr>
              <w:t>Identity keys, demographic/firmographic attributes, lifecycle stage, resolved device/channel IDs</w:t>
            </w:r>
          </w:p>
        </w:tc>
      </w:tr>
      <w:tr w:rsidR="00FC40E8" w14:paraId="271848C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3AF066A" w14:textId="77777777" w:rsidR="00FC40E8" w:rsidRDefault="00000000">
            <w:r>
              <w:rPr>
                <w:color w:val="000000"/>
                <w:sz w:val="20"/>
                <w:szCs w:val="20"/>
              </w:rPr>
              <w:t>Consent Record</w:t>
            </w:r>
          </w:p>
        </w:tc>
        <w:tc>
          <w:tcPr>
            <w:tcW w:w="4200" w:type="dxa"/>
            <w:shd w:val="clear" w:color="auto" w:fill="F2F2F2"/>
            <w:tcMar>
              <w:top w:w="80" w:type="dxa"/>
              <w:left w:w="100" w:type="dxa"/>
              <w:bottom w:w="80" w:type="dxa"/>
              <w:right w:w="100" w:type="dxa"/>
            </w:tcMar>
            <w:vAlign w:val="center"/>
          </w:tcPr>
          <w:p w14:paraId="2C95DD50" w14:textId="77777777" w:rsidR="00FC40E8" w:rsidRDefault="00000000">
            <w:r>
              <w:rPr>
                <w:color w:val="000000"/>
                <w:sz w:val="20"/>
                <w:szCs w:val="20"/>
              </w:rPr>
              <w:t>Auditable record of what a customer has agreed to, by channel and purpose</w:t>
            </w:r>
          </w:p>
        </w:tc>
        <w:tc>
          <w:tcPr>
            <w:tcW w:w="5800" w:type="dxa"/>
            <w:shd w:val="clear" w:color="auto" w:fill="F2F2F2"/>
            <w:tcMar>
              <w:top w:w="80" w:type="dxa"/>
              <w:left w:w="100" w:type="dxa"/>
              <w:bottom w:w="80" w:type="dxa"/>
              <w:right w:w="100" w:type="dxa"/>
            </w:tcMar>
            <w:vAlign w:val="center"/>
          </w:tcPr>
          <w:p w14:paraId="0C580083" w14:textId="77777777" w:rsidR="00FC40E8" w:rsidRDefault="00000000">
            <w:r>
              <w:rPr>
                <w:color w:val="000000"/>
                <w:sz w:val="20"/>
                <w:szCs w:val="20"/>
              </w:rPr>
              <w:t>Channel, purpose, consent status, timestamp, source, expiry/renewal date</w:t>
            </w:r>
          </w:p>
        </w:tc>
      </w:tr>
      <w:tr w:rsidR="00FC40E8" w14:paraId="5901A00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9ACD40E" w14:textId="77777777" w:rsidR="00FC40E8" w:rsidRDefault="00000000">
            <w:r>
              <w:rPr>
                <w:color w:val="000000"/>
                <w:sz w:val="20"/>
                <w:szCs w:val="20"/>
              </w:rPr>
              <w:t>Segment</w:t>
            </w:r>
          </w:p>
        </w:tc>
        <w:tc>
          <w:tcPr>
            <w:tcW w:w="4200" w:type="dxa"/>
            <w:shd w:val="clear" w:color="auto" w:fill="FFFFFF"/>
            <w:tcMar>
              <w:top w:w="80" w:type="dxa"/>
              <w:left w:w="100" w:type="dxa"/>
              <w:bottom w:w="80" w:type="dxa"/>
              <w:right w:w="100" w:type="dxa"/>
            </w:tcMar>
            <w:vAlign w:val="center"/>
          </w:tcPr>
          <w:p w14:paraId="26500E28" w14:textId="77777777" w:rsidR="00FC40E8" w:rsidRDefault="00000000">
            <w:r>
              <w:rPr>
                <w:color w:val="000000"/>
                <w:sz w:val="20"/>
                <w:szCs w:val="20"/>
              </w:rPr>
              <w:t>A named, reusable audience definition</w:t>
            </w:r>
          </w:p>
        </w:tc>
        <w:tc>
          <w:tcPr>
            <w:tcW w:w="5800" w:type="dxa"/>
            <w:shd w:val="clear" w:color="auto" w:fill="FFFFFF"/>
            <w:tcMar>
              <w:top w:w="80" w:type="dxa"/>
              <w:left w:w="100" w:type="dxa"/>
              <w:bottom w:w="80" w:type="dxa"/>
              <w:right w:w="100" w:type="dxa"/>
            </w:tcMar>
            <w:vAlign w:val="center"/>
          </w:tcPr>
          <w:p w14:paraId="683BCBAD" w14:textId="77777777" w:rsidR="00FC40E8" w:rsidRDefault="00000000">
            <w:r>
              <w:rPr>
                <w:color w:val="000000"/>
                <w:sz w:val="20"/>
                <w:szCs w:val="20"/>
              </w:rPr>
              <w:t>Rule definition or ML-scored membership, owner, refresh cadence</w:t>
            </w:r>
          </w:p>
        </w:tc>
      </w:tr>
      <w:tr w:rsidR="00FC40E8" w14:paraId="1284654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E665517" w14:textId="77777777" w:rsidR="00FC40E8" w:rsidRDefault="00000000">
            <w:r>
              <w:rPr>
                <w:color w:val="000000"/>
                <w:sz w:val="20"/>
                <w:szCs w:val="20"/>
              </w:rPr>
              <w:t>Campaign</w:t>
            </w:r>
          </w:p>
        </w:tc>
        <w:tc>
          <w:tcPr>
            <w:tcW w:w="4200" w:type="dxa"/>
            <w:shd w:val="clear" w:color="auto" w:fill="F2F2F2"/>
            <w:tcMar>
              <w:top w:w="80" w:type="dxa"/>
              <w:left w:w="100" w:type="dxa"/>
              <w:bottom w:w="80" w:type="dxa"/>
              <w:right w:w="100" w:type="dxa"/>
            </w:tcMar>
            <w:vAlign w:val="center"/>
          </w:tcPr>
          <w:p w14:paraId="26DB0D94" w14:textId="77777777" w:rsidR="00FC40E8" w:rsidRDefault="00000000">
            <w:r>
              <w:rPr>
                <w:color w:val="000000"/>
                <w:sz w:val="20"/>
                <w:szCs w:val="20"/>
              </w:rPr>
              <w:t>A planned or executing marketing initiative</w:t>
            </w:r>
          </w:p>
        </w:tc>
        <w:tc>
          <w:tcPr>
            <w:tcW w:w="5800" w:type="dxa"/>
            <w:shd w:val="clear" w:color="auto" w:fill="F2F2F2"/>
            <w:tcMar>
              <w:top w:w="80" w:type="dxa"/>
              <w:left w:w="100" w:type="dxa"/>
              <w:bottom w:w="80" w:type="dxa"/>
              <w:right w:w="100" w:type="dxa"/>
            </w:tcMar>
            <w:vAlign w:val="center"/>
          </w:tcPr>
          <w:p w14:paraId="3CA49F69" w14:textId="77777777" w:rsidR="00FC40E8" w:rsidRDefault="00000000">
            <w:r>
              <w:rPr>
                <w:color w:val="000000"/>
                <w:sz w:val="20"/>
                <w:szCs w:val="20"/>
              </w:rPr>
              <w:t>Objective, budget, owning team, linked segments, linked offers, schedule</w:t>
            </w:r>
          </w:p>
        </w:tc>
      </w:tr>
      <w:tr w:rsidR="00FC40E8" w14:paraId="7ABB30D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C2DF802" w14:textId="77777777" w:rsidR="00FC40E8" w:rsidRDefault="00000000">
            <w:r>
              <w:rPr>
                <w:color w:val="000000"/>
                <w:sz w:val="20"/>
                <w:szCs w:val="20"/>
              </w:rPr>
              <w:t>Journey</w:t>
            </w:r>
          </w:p>
        </w:tc>
        <w:tc>
          <w:tcPr>
            <w:tcW w:w="4200" w:type="dxa"/>
            <w:shd w:val="clear" w:color="auto" w:fill="FFFFFF"/>
            <w:tcMar>
              <w:top w:w="80" w:type="dxa"/>
              <w:left w:w="100" w:type="dxa"/>
              <w:bottom w:w="80" w:type="dxa"/>
              <w:right w:w="100" w:type="dxa"/>
            </w:tcMar>
            <w:vAlign w:val="center"/>
          </w:tcPr>
          <w:p w14:paraId="0A904CCE" w14:textId="77777777" w:rsidR="00FC40E8" w:rsidRDefault="00000000">
            <w:r>
              <w:rPr>
                <w:color w:val="000000"/>
                <w:sz w:val="20"/>
                <w:szCs w:val="20"/>
              </w:rPr>
              <w:t>A multi-step orchestrated customer experience</w:t>
            </w:r>
          </w:p>
        </w:tc>
        <w:tc>
          <w:tcPr>
            <w:tcW w:w="5800" w:type="dxa"/>
            <w:shd w:val="clear" w:color="auto" w:fill="FFFFFF"/>
            <w:tcMar>
              <w:top w:w="80" w:type="dxa"/>
              <w:left w:w="100" w:type="dxa"/>
              <w:bottom w:w="80" w:type="dxa"/>
              <w:right w:w="100" w:type="dxa"/>
            </w:tcMar>
            <w:vAlign w:val="center"/>
          </w:tcPr>
          <w:p w14:paraId="5CDF39D9" w14:textId="77777777" w:rsidR="00FC40E8" w:rsidRDefault="00000000">
            <w:r>
              <w:rPr>
                <w:color w:val="000000"/>
                <w:sz w:val="20"/>
                <w:szCs w:val="20"/>
              </w:rPr>
              <w:t>Entry criteria, step sequence, decision splits, goal/exit criteria</w:t>
            </w:r>
          </w:p>
        </w:tc>
      </w:tr>
      <w:tr w:rsidR="00FC40E8" w14:paraId="042A1E6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A4CACD8" w14:textId="77777777" w:rsidR="00FC40E8" w:rsidRDefault="00000000">
            <w:r>
              <w:rPr>
                <w:color w:val="000000"/>
                <w:sz w:val="20"/>
                <w:szCs w:val="20"/>
              </w:rPr>
              <w:t>Offer</w:t>
            </w:r>
          </w:p>
        </w:tc>
        <w:tc>
          <w:tcPr>
            <w:tcW w:w="4200" w:type="dxa"/>
            <w:shd w:val="clear" w:color="auto" w:fill="F2F2F2"/>
            <w:tcMar>
              <w:top w:w="80" w:type="dxa"/>
              <w:left w:w="100" w:type="dxa"/>
              <w:bottom w:w="80" w:type="dxa"/>
              <w:right w:w="100" w:type="dxa"/>
            </w:tcMar>
            <w:vAlign w:val="center"/>
          </w:tcPr>
          <w:p w14:paraId="6A8FE276" w14:textId="77777777" w:rsidR="00FC40E8" w:rsidRDefault="00000000">
            <w:r>
              <w:rPr>
                <w:color w:val="000000"/>
                <w:sz w:val="20"/>
                <w:szCs w:val="20"/>
              </w:rPr>
              <w:t>A specific proposition that can be presented to a customer</w:t>
            </w:r>
          </w:p>
        </w:tc>
        <w:tc>
          <w:tcPr>
            <w:tcW w:w="5800" w:type="dxa"/>
            <w:shd w:val="clear" w:color="auto" w:fill="F2F2F2"/>
            <w:tcMar>
              <w:top w:w="80" w:type="dxa"/>
              <w:left w:w="100" w:type="dxa"/>
              <w:bottom w:w="80" w:type="dxa"/>
              <w:right w:w="100" w:type="dxa"/>
            </w:tcMar>
            <w:vAlign w:val="center"/>
          </w:tcPr>
          <w:p w14:paraId="2CEFBCC8" w14:textId="77777777" w:rsidR="00FC40E8" w:rsidRDefault="00000000">
            <w:r>
              <w:rPr>
                <w:color w:val="000000"/>
                <w:sz w:val="20"/>
                <w:szCs w:val="20"/>
              </w:rPr>
              <w:t>Eligibility rules, priority/arbitration weight, valid channel(s), expiry</w:t>
            </w:r>
          </w:p>
        </w:tc>
      </w:tr>
      <w:tr w:rsidR="00FC40E8" w14:paraId="69BB760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EDDDFF0" w14:textId="77777777" w:rsidR="00FC40E8" w:rsidRDefault="00000000">
            <w:r>
              <w:rPr>
                <w:color w:val="000000"/>
                <w:sz w:val="20"/>
                <w:szCs w:val="20"/>
              </w:rPr>
              <w:t>Interaction Event</w:t>
            </w:r>
          </w:p>
        </w:tc>
        <w:tc>
          <w:tcPr>
            <w:tcW w:w="4200" w:type="dxa"/>
            <w:shd w:val="clear" w:color="auto" w:fill="FFFFFF"/>
            <w:tcMar>
              <w:top w:w="80" w:type="dxa"/>
              <w:left w:w="100" w:type="dxa"/>
              <w:bottom w:w="80" w:type="dxa"/>
              <w:right w:w="100" w:type="dxa"/>
            </w:tcMar>
            <w:vAlign w:val="center"/>
          </w:tcPr>
          <w:p w14:paraId="00E4D7B4" w14:textId="77777777" w:rsidR="00FC40E8" w:rsidRDefault="00000000">
            <w:r>
              <w:rPr>
                <w:color w:val="000000"/>
                <w:sz w:val="20"/>
                <w:szCs w:val="20"/>
              </w:rPr>
              <w:t>A timestamped record of a customer touching any channel</w:t>
            </w:r>
          </w:p>
        </w:tc>
        <w:tc>
          <w:tcPr>
            <w:tcW w:w="5800" w:type="dxa"/>
            <w:shd w:val="clear" w:color="auto" w:fill="FFFFFF"/>
            <w:tcMar>
              <w:top w:w="80" w:type="dxa"/>
              <w:left w:w="100" w:type="dxa"/>
              <w:bottom w:w="80" w:type="dxa"/>
              <w:right w:w="100" w:type="dxa"/>
            </w:tcMar>
            <w:vAlign w:val="center"/>
          </w:tcPr>
          <w:p w14:paraId="6633BBE0" w14:textId="77777777" w:rsidR="00FC40E8" w:rsidRDefault="00000000">
            <w:r>
              <w:rPr>
                <w:color w:val="000000"/>
                <w:sz w:val="20"/>
                <w:szCs w:val="20"/>
              </w:rPr>
              <w:t>Channel, event type, context payload, linked campaign/journey (if any)</w:t>
            </w:r>
          </w:p>
        </w:tc>
      </w:tr>
      <w:tr w:rsidR="00FC40E8" w14:paraId="71A9238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7AB3D23" w14:textId="77777777" w:rsidR="00FC40E8" w:rsidRDefault="00000000">
            <w:r>
              <w:rPr>
                <w:color w:val="000000"/>
                <w:sz w:val="20"/>
                <w:szCs w:val="20"/>
              </w:rPr>
              <w:t>Message Template</w:t>
            </w:r>
          </w:p>
        </w:tc>
        <w:tc>
          <w:tcPr>
            <w:tcW w:w="4200" w:type="dxa"/>
            <w:shd w:val="clear" w:color="auto" w:fill="F2F2F2"/>
            <w:tcMar>
              <w:top w:w="80" w:type="dxa"/>
              <w:left w:w="100" w:type="dxa"/>
              <w:bottom w:w="80" w:type="dxa"/>
              <w:right w:w="100" w:type="dxa"/>
            </w:tcMar>
            <w:vAlign w:val="center"/>
          </w:tcPr>
          <w:p w14:paraId="5F553EB4" w14:textId="77777777" w:rsidR="00FC40E8" w:rsidRDefault="00000000">
            <w:r>
              <w:rPr>
                <w:color w:val="000000"/>
                <w:sz w:val="20"/>
                <w:szCs w:val="20"/>
              </w:rPr>
              <w:t>A reusable, channel-specific content asset</w:t>
            </w:r>
          </w:p>
        </w:tc>
        <w:tc>
          <w:tcPr>
            <w:tcW w:w="5800" w:type="dxa"/>
            <w:shd w:val="clear" w:color="auto" w:fill="F2F2F2"/>
            <w:tcMar>
              <w:top w:w="80" w:type="dxa"/>
              <w:left w:w="100" w:type="dxa"/>
              <w:bottom w:w="80" w:type="dxa"/>
              <w:right w:w="100" w:type="dxa"/>
            </w:tcMar>
            <w:vAlign w:val="center"/>
          </w:tcPr>
          <w:p w14:paraId="64537B2C" w14:textId="77777777" w:rsidR="00FC40E8" w:rsidRDefault="00000000">
            <w:r>
              <w:rPr>
                <w:color w:val="000000"/>
                <w:sz w:val="20"/>
                <w:szCs w:val="20"/>
              </w:rPr>
              <w:t xml:space="preserve">Channel, </w:t>
            </w:r>
            <w:proofErr w:type="spellStart"/>
            <w:r>
              <w:rPr>
                <w:color w:val="000000"/>
                <w:sz w:val="20"/>
                <w:szCs w:val="20"/>
              </w:rPr>
              <w:t>localisation</w:t>
            </w:r>
            <w:proofErr w:type="spellEnd"/>
            <w:r>
              <w:rPr>
                <w:color w:val="000000"/>
                <w:sz w:val="20"/>
                <w:szCs w:val="20"/>
              </w:rPr>
              <w:t>/language variant, personalization tokens, approval status</w:t>
            </w:r>
          </w:p>
        </w:tc>
      </w:tr>
    </w:tbl>
    <w:p w14:paraId="00C48BAC" w14:textId="77777777" w:rsidR="00FC40E8" w:rsidRDefault="00000000">
      <w:pPr>
        <w:pStyle w:val="Heading1"/>
        <w:pBdr>
          <w:bottom w:val="single" w:sz="12" w:space="4" w:color="FCA311"/>
        </w:pBdr>
      </w:pPr>
      <w:bookmarkStart w:id="16" w:name="_Toc240719839"/>
      <w:r>
        <w:t>6. Integration Layer (Connect Hub)</w:t>
      </w:r>
      <w:bookmarkEnd w:id="16"/>
    </w:p>
    <w:p w14:paraId="0F2EFDC2" w14:textId="77777777" w:rsidR="00FC40E8" w:rsidRDefault="00000000">
      <w:pPr>
        <w:spacing w:after="160" w:line="276" w:lineRule="auto"/>
      </w:pPr>
      <w:r>
        <w:t>Connect Hub is the low-code connector framework through which i3 PMC exchanges data with the systems each customer already runs, mirroring the role Unica Link plays in the HCL suite.</w:t>
      </w:r>
    </w:p>
    <w:p w14:paraId="18C9BEC4" w14:textId="77777777" w:rsidR="00FC40E8" w:rsidRDefault="00000000">
      <w:pPr>
        <w:pStyle w:val="Heading3"/>
      </w:pPr>
      <w:bookmarkStart w:id="17" w:name="_Toc240719840"/>
      <w:r>
        <w:t>6.1 Priority Connector Catalog</w:t>
      </w:r>
      <w:bookmarkEnd w:id="17"/>
    </w:p>
    <w:p w14:paraId="0EA82888" w14:textId="77777777" w:rsidR="00FC40E8" w:rsidRDefault="00000000">
      <w:pPr>
        <w:pStyle w:val="ListParagraph"/>
        <w:numPr>
          <w:ilvl w:val="0"/>
          <w:numId w:val="2"/>
        </w:numPr>
        <w:spacing w:after="80"/>
      </w:pPr>
      <w:r>
        <w:t>CRM and core banking / billing systems (batch and event-driven sync of customer and product data)</w:t>
      </w:r>
    </w:p>
    <w:p w14:paraId="64279187" w14:textId="77777777" w:rsidR="00FC40E8" w:rsidRDefault="00000000">
      <w:pPr>
        <w:pStyle w:val="ListParagraph"/>
        <w:numPr>
          <w:ilvl w:val="0"/>
          <w:numId w:val="2"/>
        </w:numPr>
        <w:spacing w:after="80"/>
      </w:pPr>
      <w:r>
        <w:t>WhatsApp Business API, SMS aggregators and USSD gateways relevant to East African carriers</w:t>
      </w:r>
    </w:p>
    <w:p w14:paraId="5D06DF5D" w14:textId="77777777" w:rsidR="00FC40E8" w:rsidRDefault="00000000">
      <w:pPr>
        <w:pStyle w:val="ListParagraph"/>
        <w:numPr>
          <w:ilvl w:val="0"/>
          <w:numId w:val="2"/>
        </w:numPr>
        <w:spacing w:after="80"/>
      </w:pPr>
      <w:r>
        <w:t>Email delivery providers (SMTP relay and provider APIs) with deliverability and reputation monitoring</w:t>
      </w:r>
    </w:p>
    <w:p w14:paraId="6BB3E9EB" w14:textId="77777777" w:rsidR="00FC40E8" w:rsidRDefault="00000000">
      <w:pPr>
        <w:pStyle w:val="ListParagraph"/>
        <w:numPr>
          <w:ilvl w:val="0"/>
          <w:numId w:val="2"/>
        </w:numPr>
        <w:spacing w:after="80"/>
      </w:pPr>
      <w:r>
        <w:t>Point-of-sale, ATM and branch systems for real-time offer presentment via the Engage module</w:t>
      </w:r>
    </w:p>
    <w:p w14:paraId="7021D53A" w14:textId="77777777" w:rsidR="00FC40E8" w:rsidRDefault="00000000">
      <w:pPr>
        <w:pStyle w:val="ListParagraph"/>
        <w:numPr>
          <w:ilvl w:val="0"/>
          <w:numId w:val="2"/>
        </w:numPr>
        <w:spacing w:after="80"/>
      </w:pPr>
      <w:r>
        <w:t>Enterprise data warehouse / data lake for analytics hand-off and model training data</w:t>
      </w:r>
    </w:p>
    <w:p w14:paraId="5CFE11D2" w14:textId="77777777" w:rsidR="00FC40E8" w:rsidRDefault="00000000">
      <w:pPr>
        <w:pStyle w:val="ListParagraph"/>
        <w:numPr>
          <w:ilvl w:val="0"/>
          <w:numId w:val="2"/>
        </w:numPr>
        <w:spacing w:after="80"/>
      </w:pPr>
      <w:r>
        <w:t xml:space="preserve">Identity and access: </w:t>
      </w:r>
      <w:proofErr w:type="spellStart"/>
      <w:r>
        <w:t>Keycloak</w:t>
      </w:r>
      <w:proofErr w:type="spellEnd"/>
      <w:r>
        <w:t>/Red Hat SSO, plus customer-side SAML/OIDC federation</w:t>
      </w:r>
    </w:p>
    <w:p w14:paraId="19FE99F4" w14:textId="77777777" w:rsidR="00FC40E8" w:rsidRDefault="00000000">
      <w:pPr>
        <w:pStyle w:val="Heading3"/>
      </w:pPr>
      <w:bookmarkStart w:id="18" w:name="_Toc240719841"/>
      <w:r>
        <w:t>6.2 Integration Pattern</w:t>
      </w:r>
      <w:bookmarkEnd w:id="18"/>
    </w:p>
    <w:p w14:paraId="5764F85C" w14:textId="77777777" w:rsidR="00FC40E8" w:rsidRDefault="00000000">
      <w:pPr>
        <w:spacing w:after="160" w:line="276" w:lineRule="auto"/>
      </w:pPr>
      <w:r>
        <w:t>All connectors are built on a Red Hat Fuse (Apache Camel) integration runtime so that new connectors follow a consistent development, testing and monitoring pattern rather than being bespoke per customer — directly reusing i3's Red Hat partner competency.</w:t>
      </w:r>
    </w:p>
    <w:p w14:paraId="5798CFA4" w14:textId="77777777" w:rsidR="00FC40E8" w:rsidRDefault="00000000">
      <w:pPr>
        <w:pStyle w:val="Heading1"/>
        <w:pBdr>
          <w:bottom w:val="single" w:sz="12" w:space="4" w:color="FCA311"/>
        </w:pBdr>
      </w:pPr>
      <w:bookmarkStart w:id="19" w:name="_Toc240719842"/>
      <w:r>
        <w:t>7. Security, Privacy &amp; Compliance</w:t>
      </w:r>
      <w:bookmarkEnd w:id="19"/>
    </w:p>
    <w:p w14:paraId="1C62A7D6" w14:textId="77777777" w:rsidR="00FC40E8" w:rsidRDefault="00000000">
      <w:pPr>
        <w:pStyle w:val="ListParagraph"/>
        <w:numPr>
          <w:ilvl w:val="0"/>
          <w:numId w:val="2"/>
        </w:numPr>
        <w:spacing w:after="80"/>
      </w:pPr>
      <w:r>
        <w:lastRenderedPageBreak/>
        <w:t>Data residency: primary customer data held in-region; cross-border transfer only where contractually and legally permitted</w:t>
      </w:r>
    </w:p>
    <w:p w14:paraId="0FCD8DBE" w14:textId="77777777" w:rsidR="00FC40E8" w:rsidRDefault="00000000">
      <w:pPr>
        <w:pStyle w:val="ListParagraph"/>
        <w:numPr>
          <w:ilvl w:val="0"/>
          <w:numId w:val="2"/>
        </w:numPr>
        <w:spacing w:after="80"/>
      </w:pPr>
      <w:r>
        <w:t>Regulatory alignment: Kenya Data Protection Act (2019) as the baseline, with per-country adaptation across i3's 12 country teams, and GDPR-equivalent controls for any customer with EU-linked data subjects</w:t>
      </w:r>
    </w:p>
    <w:p w14:paraId="5BC3730F" w14:textId="77777777" w:rsidR="00FC40E8" w:rsidRDefault="00000000">
      <w:pPr>
        <w:pStyle w:val="ListParagraph"/>
        <w:numPr>
          <w:ilvl w:val="0"/>
          <w:numId w:val="2"/>
        </w:numPr>
        <w:spacing w:after="80"/>
      </w:pPr>
      <w:r>
        <w:t>Consent-first design: the Consent Record entity is enforced at the API layer — no channel dispatch can occur for a customer/purpose/channel combination without an active consent record</w:t>
      </w:r>
    </w:p>
    <w:p w14:paraId="7421F9C3" w14:textId="77777777" w:rsidR="00FC40E8" w:rsidRDefault="00000000">
      <w:pPr>
        <w:pStyle w:val="ListParagraph"/>
        <w:numPr>
          <w:ilvl w:val="0"/>
          <w:numId w:val="2"/>
        </w:numPr>
        <w:spacing w:after="80"/>
      </w:pPr>
      <w:r>
        <w:t>Encryption: data encrypted at rest (per-tenant keys) and in transit (TLS 1.2+ minimum) across all layers</w:t>
      </w:r>
    </w:p>
    <w:p w14:paraId="56779C95" w14:textId="77777777" w:rsidR="00FC40E8" w:rsidRDefault="00000000">
      <w:pPr>
        <w:pStyle w:val="ListParagraph"/>
        <w:numPr>
          <w:ilvl w:val="0"/>
          <w:numId w:val="2"/>
        </w:numPr>
        <w:spacing w:after="80"/>
      </w:pPr>
      <w:r>
        <w:t xml:space="preserve">Identity &amp; access: role-based access control, SSO via </w:t>
      </w:r>
      <w:proofErr w:type="spellStart"/>
      <w:r>
        <w:t>Keycloak</w:t>
      </w:r>
      <w:proofErr w:type="spellEnd"/>
      <w:r>
        <w:t>/Red Hat SSO, full audit trail of who changed what campaign, segment or offer and when</w:t>
      </w:r>
    </w:p>
    <w:p w14:paraId="45BEEBF3" w14:textId="77777777" w:rsidR="00FC40E8" w:rsidRDefault="00000000">
      <w:pPr>
        <w:pStyle w:val="ListParagraph"/>
        <w:numPr>
          <w:ilvl w:val="0"/>
          <w:numId w:val="2"/>
        </w:numPr>
        <w:spacing w:after="80"/>
      </w:pPr>
      <w:r>
        <w:t>Tenant isolation: dedicated OpenShift namespace per customer, with dedicated node pools available for regulated customers (banks, government) on request</w:t>
      </w:r>
    </w:p>
    <w:p w14:paraId="486EB1BA" w14:textId="77777777" w:rsidR="00FC40E8" w:rsidRDefault="00000000">
      <w:pPr>
        <w:pStyle w:val="Heading1"/>
        <w:pBdr>
          <w:bottom w:val="single" w:sz="12" w:space="4" w:color="FCA311"/>
        </w:pBdr>
      </w:pPr>
      <w:bookmarkStart w:id="20" w:name="_Toc240719843"/>
      <w:r>
        <w:t>8. Non-Functional Requirements</w:t>
      </w:r>
      <w:bookmarkEnd w:id="20"/>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7600"/>
      </w:tblGrid>
      <w:tr w:rsidR="00FC40E8" w14:paraId="0CA0F2BB" w14:textId="77777777">
        <w:tblPrEx>
          <w:tblCellMar>
            <w:top w:w="0" w:type="dxa"/>
            <w:bottom w:w="0" w:type="dxa"/>
          </w:tblCellMar>
        </w:tblPrEx>
        <w:trPr>
          <w:tblHeader/>
        </w:trPr>
        <w:tc>
          <w:tcPr>
            <w:tcW w:w="4600" w:type="dxa"/>
            <w:shd w:val="clear" w:color="auto" w:fill="14213D"/>
            <w:tcMar>
              <w:top w:w="80" w:type="dxa"/>
              <w:left w:w="100" w:type="dxa"/>
              <w:bottom w:w="80" w:type="dxa"/>
              <w:right w:w="100" w:type="dxa"/>
            </w:tcMar>
            <w:vAlign w:val="center"/>
          </w:tcPr>
          <w:p w14:paraId="59A50E5A" w14:textId="77777777" w:rsidR="00FC40E8" w:rsidRDefault="00000000">
            <w:r>
              <w:rPr>
                <w:b/>
                <w:bCs/>
                <w:color w:val="FFFFFF"/>
                <w:sz w:val="20"/>
                <w:szCs w:val="20"/>
              </w:rPr>
              <w:t>Category</w:t>
            </w:r>
          </w:p>
        </w:tc>
        <w:tc>
          <w:tcPr>
            <w:tcW w:w="7600" w:type="dxa"/>
            <w:shd w:val="clear" w:color="auto" w:fill="14213D"/>
            <w:tcMar>
              <w:top w:w="80" w:type="dxa"/>
              <w:left w:w="100" w:type="dxa"/>
              <w:bottom w:w="80" w:type="dxa"/>
              <w:right w:w="100" w:type="dxa"/>
            </w:tcMar>
            <w:vAlign w:val="center"/>
          </w:tcPr>
          <w:p w14:paraId="2C246E1C" w14:textId="77777777" w:rsidR="00FC40E8" w:rsidRDefault="00000000">
            <w:r>
              <w:rPr>
                <w:b/>
                <w:bCs/>
                <w:color w:val="FFFFFF"/>
                <w:sz w:val="20"/>
                <w:szCs w:val="20"/>
              </w:rPr>
              <w:t>Target</w:t>
            </w:r>
          </w:p>
        </w:tc>
      </w:tr>
      <w:tr w:rsidR="00FC40E8" w14:paraId="0A8DB44C"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158C9926" w14:textId="77777777" w:rsidR="00FC40E8" w:rsidRDefault="00000000">
            <w:r>
              <w:rPr>
                <w:color w:val="000000"/>
                <w:sz w:val="20"/>
                <w:szCs w:val="20"/>
              </w:rPr>
              <w:t>Real-time decisioning latency (Engage module)</w:t>
            </w:r>
          </w:p>
        </w:tc>
        <w:tc>
          <w:tcPr>
            <w:tcW w:w="7600" w:type="dxa"/>
            <w:shd w:val="clear" w:color="auto" w:fill="FFFFFF"/>
            <w:tcMar>
              <w:top w:w="80" w:type="dxa"/>
              <w:left w:w="100" w:type="dxa"/>
              <w:bottom w:w="80" w:type="dxa"/>
              <w:right w:w="100" w:type="dxa"/>
            </w:tcMar>
            <w:vAlign w:val="center"/>
          </w:tcPr>
          <w:p w14:paraId="4DDBF689" w14:textId="77777777" w:rsidR="00FC40E8" w:rsidRDefault="00000000">
            <w:r>
              <w:rPr>
                <w:color w:val="000000"/>
                <w:sz w:val="20"/>
                <w:szCs w:val="20"/>
              </w:rPr>
              <w:t>Sub-200ms p95 response for next-best-action calls</w:t>
            </w:r>
          </w:p>
        </w:tc>
      </w:tr>
      <w:tr w:rsidR="00FC40E8" w14:paraId="14348B2F"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794A88DE" w14:textId="77777777" w:rsidR="00FC40E8" w:rsidRDefault="00000000">
            <w:r>
              <w:rPr>
                <w:color w:val="000000"/>
                <w:sz w:val="20"/>
                <w:szCs w:val="20"/>
              </w:rPr>
              <w:t>Batch campaign throughput (Audience Studio)</w:t>
            </w:r>
          </w:p>
        </w:tc>
        <w:tc>
          <w:tcPr>
            <w:tcW w:w="7600" w:type="dxa"/>
            <w:shd w:val="clear" w:color="auto" w:fill="F2F2F2"/>
            <w:tcMar>
              <w:top w:w="80" w:type="dxa"/>
              <w:left w:w="100" w:type="dxa"/>
              <w:bottom w:w="80" w:type="dxa"/>
              <w:right w:w="100" w:type="dxa"/>
            </w:tcMar>
            <w:vAlign w:val="center"/>
          </w:tcPr>
          <w:p w14:paraId="3B71B4DE" w14:textId="77777777" w:rsidR="00FC40E8" w:rsidRDefault="00000000">
            <w:r>
              <w:rPr>
                <w:color w:val="000000"/>
                <w:sz w:val="20"/>
                <w:szCs w:val="20"/>
              </w:rPr>
              <w:t>Multi-million-record segmentation and wave execution within an overnight batch window</w:t>
            </w:r>
          </w:p>
        </w:tc>
      </w:tr>
      <w:tr w:rsidR="00FC40E8" w14:paraId="28C0C790"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3ECC3815" w14:textId="77777777" w:rsidR="00FC40E8" w:rsidRDefault="00000000">
            <w:r>
              <w:rPr>
                <w:color w:val="000000"/>
                <w:sz w:val="20"/>
                <w:szCs w:val="20"/>
              </w:rPr>
              <w:t>Platform availability</w:t>
            </w:r>
          </w:p>
        </w:tc>
        <w:tc>
          <w:tcPr>
            <w:tcW w:w="7600" w:type="dxa"/>
            <w:shd w:val="clear" w:color="auto" w:fill="FFFFFF"/>
            <w:tcMar>
              <w:top w:w="80" w:type="dxa"/>
              <w:left w:w="100" w:type="dxa"/>
              <w:bottom w:w="80" w:type="dxa"/>
              <w:right w:w="100" w:type="dxa"/>
            </w:tcMar>
            <w:vAlign w:val="center"/>
          </w:tcPr>
          <w:p w14:paraId="3B904556" w14:textId="77777777" w:rsidR="00FC40E8" w:rsidRDefault="00000000">
            <w:r>
              <w:rPr>
                <w:color w:val="000000"/>
                <w:sz w:val="20"/>
                <w:szCs w:val="20"/>
              </w:rPr>
              <w:t>99.9% for production tenants, measured monthly</w:t>
            </w:r>
          </w:p>
        </w:tc>
      </w:tr>
      <w:tr w:rsidR="00FC40E8" w14:paraId="7B51685E"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06B4B88E" w14:textId="77777777" w:rsidR="00FC40E8" w:rsidRDefault="00000000">
            <w:r>
              <w:rPr>
                <w:color w:val="000000"/>
                <w:sz w:val="20"/>
                <w:szCs w:val="20"/>
              </w:rPr>
              <w:t>Message delivery reconciliation</w:t>
            </w:r>
          </w:p>
        </w:tc>
        <w:tc>
          <w:tcPr>
            <w:tcW w:w="7600" w:type="dxa"/>
            <w:shd w:val="clear" w:color="auto" w:fill="F2F2F2"/>
            <w:tcMar>
              <w:top w:w="80" w:type="dxa"/>
              <w:left w:w="100" w:type="dxa"/>
              <w:bottom w:w="80" w:type="dxa"/>
              <w:right w:w="100" w:type="dxa"/>
            </w:tcMar>
            <w:vAlign w:val="center"/>
          </w:tcPr>
          <w:p w14:paraId="5E18DFDF" w14:textId="77777777" w:rsidR="00FC40E8" w:rsidRDefault="00000000">
            <w:r>
              <w:rPr>
                <w:color w:val="000000"/>
                <w:sz w:val="20"/>
                <w:szCs w:val="20"/>
              </w:rPr>
              <w:t>Delivery-receipt status reconciled within 5 minutes of dispatch across all channels</w:t>
            </w:r>
          </w:p>
        </w:tc>
      </w:tr>
      <w:tr w:rsidR="00FC40E8" w14:paraId="46F3EAEF"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7D1DCFBC" w14:textId="77777777" w:rsidR="00FC40E8" w:rsidRDefault="00000000">
            <w:r>
              <w:rPr>
                <w:color w:val="000000"/>
                <w:sz w:val="20"/>
                <w:szCs w:val="20"/>
              </w:rPr>
              <w:t>Multi-tenancy</w:t>
            </w:r>
          </w:p>
        </w:tc>
        <w:tc>
          <w:tcPr>
            <w:tcW w:w="7600" w:type="dxa"/>
            <w:shd w:val="clear" w:color="auto" w:fill="FFFFFF"/>
            <w:tcMar>
              <w:top w:w="80" w:type="dxa"/>
              <w:left w:w="100" w:type="dxa"/>
              <w:bottom w:w="80" w:type="dxa"/>
              <w:right w:w="100" w:type="dxa"/>
            </w:tcMar>
            <w:vAlign w:val="center"/>
          </w:tcPr>
          <w:p w14:paraId="7BB76D95" w14:textId="77777777" w:rsidR="00FC40E8" w:rsidRDefault="00000000">
            <w:r>
              <w:rPr>
                <w:color w:val="000000"/>
                <w:sz w:val="20"/>
                <w:szCs w:val="20"/>
              </w:rPr>
              <w:t>Namespace-level isolation; no cross-tenant data visibility by default</w:t>
            </w:r>
          </w:p>
        </w:tc>
      </w:tr>
      <w:tr w:rsidR="00FC40E8" w14:paraId="6826A9A9"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1688ABC4" w14:textId="77777777" w:rsidR="00FC40E8" w:rsidRDefault="00000000">
            <w:r>
              <w:rPr>
                <w:color w:val="000000"/>
                <w:sz w:val="20"/>
                <w:szCs w:val="20"/>
              </w:rPr>
              <w:t>Disaster recovery</w:t>
            </w:r>
          </w:p>
        </w:tc>
        <w:tc>
          <w:tcPr>
            <w:tcW w:w="7600" w:type="dxa"/>
            <w:shd w:val="clear" w:color="auto" w:fill="F2F2F2"/>
            <w:tcMar>
              <w:top w:w="80" w:type="dxa"/>
              <w:left w:w="100" w:type="dxa"/>
              <w:bottom w:w="80" w:type="dxa"/>
              <w:right w:w="100" w:type="dxa"/>
            </w:tcMar>
            <w:vAlign w:val="center"/>
          </w:tcPr>
          <w:p w14:paraId="143248FC" w14:textId="77777777" w:rsidR="00FC40E8" w:rsidRDefault="00000000">
            <w:r>
              <w:rPr>
                <w:color w:val="000000"/>
                <w:sz w:val="20"/>
                <w:szCs w:val="20"/>
              </w:rPr>
              <w:t>RPO ≤ 1 hour, RTO ≤ 4 hours for production tenants</w:t>
            </w:r>
          </w:p>
        </w:tc>
      </w:tr>
    </w:tbl>
    <w:p w14:paraId="2E47A87D" w14:textId="77777777" w:rsidR="00FC40E8" w:rsidRDefault="00000000">
      <w:pPr>
        <w:pStyle w:val="Heading1"/>
        <w:pBdr>
          <w:bottom w:val="single" w:sz="12" w:space="4" w:color="FCA311"/>
        </w:pBdr>
      </w:pPr>
      <w:bookmarkStart w:id="21" w:name="_Toc240719844"/>
      <w:r>
        <w:t>9. Implementation Roadmap</w:t>
      </w:r>
      <w:bookmarkEnd w:id="21"/>
    </w:p>
    <w:p w14:paraId="0E179310" w14:textId="77777777" w:rsidR="00FC40E8" w:rsidRDefault="00000000">
      <w:pPr>
        <w:pStyle w:val="Heading2"/>
      </w:pPr>
      <w:bookmarkStart w:id="22" w:name="_Toc240719845"/>
      <w:r>
        <w:t>Phase 1 — Foundation (Months 1–3)</w:t>
      </w:r>
      <w:bookmarkEnd w:id="22"/>
    </w:p>
    <w:p w14:paraId="39718383" w14:textId="77777777" w:rsidR="00FC40E8" w:rsidRDefault="00000000">
      <w:pPr>
        <w:pStyle w:val="ListParagraph"/>
        <w:numPr>
          <w:ilvl w:val="0"/>
          <w:numId w:val="2"/>
        </w:numPr>
        <w:spacing w:after="80"/>
      </w:pPr>
      <w:r>
        <w:t>Stand up Consent &amp; Profile Core, tenant provisioning model, and identity/SSO on the existing ROKS estate</w:t>
      </w:r>
    </w:p>
    <w:p w14:paraId="52CF02FE" w14:textId="77777777" w:rsidR="00FC40E8" w:rsidRDefault="00000000">
      <w:pPr>
        <w:pStyle w:val="ListParagraph"/>
        <w:numPr>
          <w:ilvl w:val="0"/>
          <w:numId w:val="2"/>
        </w:numPr>
        <w:spacing w:after="80"/>
      </w:pPr>
      <w:r>
        <w:t>Deliver Audience Studio (Campaign-equivalent) with segmentation, suppression and batch execution</w:t>
      </w:r>
    </w:p>
    <w:p w14:paraId="6AB2B246" w14:textId="77777777" w:rsidR="00FC40E8" w:rsidRDefault="00000000">
      <w:pPr>
        <w:pStyle w:val="ListParagraph"/>
        <w:numPr>
          <w:ilvl w:val="0"/>
          <w:numId w:val="2"/>
        </w:numPr>
        <w:spacing w:after="80"/>
      </w:pPr>
      <w:r>
        <w:t>Deliver Messenger for SMS, WhatsApp and email dispatch, with delivery reconciliation</w:t>
      </w:r>
    </w:p>
    <w:p w14:paraId="646E05C3" w14:textId="77777777" w:rsidR="00FC40E8" w:rsidRDefault="00000000">
      <w:pPr>
        <w:pStyle w:val="Heading2"/>
      </w:pPr>
      <w:bookmarkStart w:id="23" w:name="_Toc240719846"/>
      <w:r>
        <w:t>Phase 2 — Orchestration &amp; Resource Management (Months 4–6)</w:t>
      </w:r>
      <w:bookmarkEnd w:id="23"/>
    </w:p>
    <w:p w14:paraId="6BDFFDFA" w14:textId="77777777" w:rsidR="00FC40E8" w:rsidRDefault="00000000">
      <w:pPr>
        <w:pStyle w:val="ListParagraph"/>
        <w:numPr>
          <w:ilvl w:val="0"/>
          <w:numId w:val="2"/>
        </w:numPr>
        <w:spacing w:after="80"/>
      </w:pPr>
      <w:r>
        <w:t>Deliver Journey Orchestrator and Plan &amp; Resource Manager</w:t>
      </w:r>
    </w:p>
    <w:p w14:paraId="0B1F4E7E" w14:textId="77777777" w:rsidR="00FC40E8" w:rsidRDefault="00000000">
      <w:pPr>
        <w:pStyle w:val="ListParagraph"/>
        <w:numPr>
          <w:ilvl w:val="0"/>
          <w:numId w:val="2"/>
        </w:numPr>
        <w:spacing w:after="80"/>
      </w:pPr>
      <w:r>
        <w:t>Onboard first Connect Hub connectors: CRM and core banking/billing</w:t>
      </w:r>
    </w:p>
    <w:p w14:paraId="4B12F630" w14:textId="77777777" w:rsidR="00FC40E8" w:rsidRDefault="00000000">
      <w:pPr>
        <w:pStyle w:val="Heading2"/>
      </w:pPr>
      <w:bookmarkStart w:id="24" w:name="_Toc240719847"/>
      <w:r>
        <w:t>Phase 3 — Real-Time &amp; Optimization (Months 7–9)</w:t>
      </w:r>
      <w:bookmarkEnd w:id="24"/>
    </w:p>
    <w:p w14:paraId="317B750B" w14:textId="77777777" w:rsidR="00FC40E8" w:rsidRDefault="00000000">
      <w:pPr>
        <w:pStyle w:val="ListParagraph"/>
        <w:numPr>
          <w:ilvl w:val="0"/>
          <w:numId w:val="2"/>
        </w:numPr>
        <w:spacing w:after="80"/>
      </w:pPr>
      <w:r>
        <w:t>Deliver Engage (real-time next-best-action) and Contact Optimizer</w:t>
      </w:r>
    </w:p>
    <w:p w14:paraId="6845E629" w14:textId="77777777" w:rsidR="00FC40E8" w:rsidRDefault="00000000">
      <w:pPr>
        <w:pStyle w:val="ListParagraph"/>
        <w:numPr>
          <w:ilvl w:val="0"/>
          <w:numId w:val="2"/>
        </w:numPr>
        <w:spacing w:after="80"/>
      </w:pPr>
      <w:r>
        <w:t>Extend Connect Hub to POS/ATM/branch touchpoints for real-time offer presentment</w:t>
      </w:r>
    </w:p>
    <w:p w14:paraId="5C9B9174" w14:textId="77777777" w:rsidR="00FC40E8" w:rsidRDefault="00000000">
      <w:pPr>
        <w:pStyle w:val="Heading2"/>
      </w:pPr>
      <w:bookmarkStart w:id="25" w:name="_Toc240719848"/>
      <w:r>
        <w:t>Phase 4 — Analytics &amp; Agentic AI (Months 10–12)</w:t>
      </w:r>
      <w:bookmarkEnd w:id="25"/>
    </w:p>
    <w:p w14:paraId="5727F1D2" w14:textId="77777777" w:rsidR="00FC40E8" w:rsidRDefault="00000000">
      <w:pPr>
        <w:pStyle w:val="ListParagraph"/>
        <w:numPr>
          <w:ilvl w:val="0"/>
          <w:numId w:val="2"/>
        </w:numPr>
        <w:spacing w:after="80"/>
      </w:pPr>
      <w:r>
        <w:lastRenderedPageBreak/>
        <w:t>Deliver Insight Studio with pre-built and ad-hoc reporting</w:t>
      </w:r>
    </w:p>
    <w:p w14:paraId="3274E799" w14:textId="77777777" w:rsidR="00FC40E8" w:rsidRDefault="00000000">
      <w:pPr>
        <w:pStyle w:val="ListParagraph"/>
        <w:numPr>
          <w:ilvl w:val="0"/>
          <w:numId w:val="2"/>
        </w:numPr>
        <w:spacing w:after="80"/>
      </w:pPr>
      <w:r>
        <w:t>Integrate the Agentic AI Lab layer: natural-language campaign design, propensity-scored offers, automated flowchart QA via the Enterprise Test Engine pattern</w:t>
      </w:r>
    </w:p>
    <w:p w14:paraId="49E5980C" w14:textId="77777777" w:rsidR="00FC40E8" w:rsidRDefault="00000000">
      <w:pPr>
        <w:pStyle w:val="ListParagraph"/>
        <w:numPr>
          <w:ilvl w:val="0"/>
          <w:numId w:val="2"/>
        </w:numPr>
        <w:spacing w:after="80"/>
      </w:pPr>
      <w:r>
        <w:t>First external pilot customer go-live</w:t>
      </w:r>
    </w:p>
    <w:p w14:paraId="0806D86F" w14:textId="77777777" w:rsidR="00FC40E8" w:rsidRDefault="00000000">
      <w:pPr>
        <w:pStyle w:val="Heading1"/>
        <w:pBdr>
          <w:bottom w:val="single" w:sz="12" w:space="4" w:color="FCA311"/>
        </w:pBdr>
      </w:pPr>
      <w:bookmarkStart w:id="26" w:name="_Toc240719849"/>
      <w:r>
        <w:t>10. Team Structure &amp; Delivery Model</w:t>
      </w:r>
      <w:bookmarkEnd w:id="26"/>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gridCol w:w="3200"/>
      </w:tblGrid>
      <w:tr w:rsidR="00FC40E8" w14:paraId="1AD573ED" w14:textId="77777777">
        <w:tblPrEx>
          <w:tblCellMar>
            <w:top w:w="0" w:type="dxa"/>
            <w:bottom w:w="0" w:type="dxa"/>
          </w:tblCellMar>
        </w:tblPrEx>
        <w:trPr>
          <w:tblHeader/>
        </w:trPr>
        <w:tc>
          <w:tcPr>
            <w:tcW w:w="2600" w:type="dxa"/>
            <w:shd w:val="clear" w:color="auto" w:fill="14213D"/>
            <w:tcMar>
              <w:top w:w="80" w:type="dxa"/>
              <w:left w:w="100" w:type="dxa"/>
              <w:bottom w:w="80" w:type="dxa"/>
              <w:right w:w="100" w:type="dxa"/>
            </w:tcMar>
            <w:vAlign w:val="center"/>
          </w:tcPr>
          <w:p w14:paraId="09A9C629" w14:textId="77777777" w:rsidR="00FC40E8" w:rsidRDefault="00000000">
            <w:r>
              <w:rPr>
                <w:b/>
                <w:bCs/>
                <w:color w:val="FFFFFF"/>
                <w:sz w:val="20"/>
                <w:szCs w:val="20"/>
              </w:rPr>
              <w:t>Role</w:t>
            </w:r>
          </w:p>
        </w:tc>
        <w:tc>
          <w:tcPr>
            <w:tcW w:w="6400" w:type="dxa"/>
            <w:shd w:val="clear" w:color="auto" w:fill="14213D"/>
            <w:tcMar>
              <w:top w:w="80" w:type="dxa"/>
              <w:left w:w="100" w:type="dxa"/>
              <w:bottom w:w="80" w:type="dxa"/>
              <w:right w:w="100" w:type="dxa"/>
            </w:tcMar>
            <w:vAlign w:val="center"/>
          </w:tcPr>
          <w:p w14:paraId="5123D056" w14:textId="77777777" w:rsidR="00FC40E8" w:rsidRDefault="00000000">
            <w:r>
              <w:rPr>
                <w:b/>
                <w:bCs/>
                <w:color w:val="FFFFFF"/>
                <w:sz w:val="20"/>
                <w:szCs w:val="20"/>
              </w:rPr>
              <w:t>Responsibility</w:t>
            </w:r>
          </w:p>
        </w:tc>
        <w:tc>
          <w:tcPr>
            <w:tcW w:w="3200" w:type="dxa"/>
            <w:shd w:val="clear" w:color="auto" w:fill="14213D"/>
            <w:tcMar>
              <w:top w:w="80" w:type="dxa"/>
              <w:left w:w="100" w:type="dxa"/>
              <w:bottom w:w="80" w:type="dxa"/>
              <w:right w:w="100" w:type="dxa"/>
            </w:tcMar>
            <w:vAlign w:val="center"/>
          </w:tcPr>
          <w:p w14:paraId="65FC4AFB" w14:textId="77777777" w:rsidR="00FC40E8" w:rsidRDefault="00000000">
            <w:r>
              <w:rPr>
                <w:b/>
                <w:bCs/>
                <w:color w:val="FFFFFF"/>
                <w:sz w:val="20"/>
                <w:szCs w:val="20"/>
              </w:rPr>
              <w:t>Indicative allocation</w:t>
            </w:r>
          </w:p>
        </w:tc>
      </w:tr>
      <w:tr w:rsidR="00FC40E8" w14:paraId="5EA16C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CCFE6D" w14:textId="77777777" w:rsidR="00FC40E8" w:rsidRDefault="00000000">
            <w:r>
              <w:rPr>
                <w:color w:val="000000"/>
                <w:sz w:val="20"/>
                <w:szCs w:val="20"/>
              </w:rPr>
              <w:t>Solutions Architect (Lead)</w:t>
            </w:r>
          </w:p>
        </w:tc>
        <w:tc>
          <w:tcPr>
            <w:tcW w:w="6400" w:type="dxa"/>
            <w:shd w:val="clear" w:color="auto" w:fill="FFFFFF"/>
            <w:tcMar>
              <w:top w:w="80" w:type="dxa"/>
              <w:left w:w="100" w:type="dxa"/>
              <w:bottom w:w="80" w:type="dxa"/>
              <w:right w:w="100" w:type="dxa"/>
            </w:tcMar>
            <w:vAlign w:val="center"/>
          </w:tcPr>
          <w:p w14:paraId="18495F56" w14:textId="77777777" w:rsidR="00FC40E8" w:rsidRDefault="00000000">
            <w:r>
              <w:rPr>
                <w:color w:val="000000"/>
                <w:sz w:val="20"/>
                <w:szCs w:val="20"/>
              </w:rPr>
              <w:t>Overall architecture ownership, IBM/Red Hat platform decisions, customer-facing design authority</w:t>
            </w:r>
          </w:p>
        </w:tc>
        <w:tc>
          <w:tcPr>
            <w:tcW w:w="3200" w:type="dxa"/>
            <w:shd w:val="clear" w:color="auto" w:fill="FFFFFF"/>
            <w:tcMar>
              <w:top w:w="80" w:type="dxa"/>
              <w:left w:w="100" w:type="dxa"/>
              <w:bottom w:w="80" w:type="dxa"/>
              <w:right w:w="100" w:type="dxa"/>
            </w:tcMar>
            <w:vAlign w:val="center"/>
          </w:tcPr>
          <w:p w14:paraId="51DB2182" w14:textId="77777777" w:rsidR="00FC40E8" w:rsidRDefault="00000000">
            <w:r>
              <w:rPr>
                <w:color w:val="000000"/>
                <w:sz w:val="20"/>
                <w:szCs w:val="20"/>
              </w:rPr>
              <w:t>1, full engagement</w:t>
            </w:r>
          </w:p>
        </w:tc>
      </w:tr>
      <w:tr w:rsidR="00FC40E8" w14:paraId="28B1129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1BB9AF8" w14:textId="77777777" w:rsidR="00FC40E8" w:rsidRDefault="00000000">
            <w:r>
              <w:rPr>
                <w:color w:val="000000"/>
                <w:sz w:val="20"/>
                <w:szCs w:val="20"/>
              </w:rPr>
              <w:t>Backend Engineers</w:t>
            </w:r>
          </w:p>
        </w:tc>
        <w:tc>
          <w:tcPr>
            <w:tcW w:w="6400" w:type="dxa"/>
            <w:shd w:val="clear" w:color="auto" w:fill="F2F2F2"/>
            <w:tcMar>
              <w:top w:w="80" w:type="dxa"/>
              <w:left w:w="100" w:type="dxa"/>
              <w:bottom w:w="80" w:type="dxa"/>
              <w:right w:w="100" w:type="dxa"/>
            </w:tcMar>
            <w:vAlign w:val="center"/>
          </w:tcPr>
          <w:p w14:paraId="45351148" w14:textId="77777777" w:rsidR="00FC40E8" w:rsidRDefault="00000000">
            <w:r>
              <w:rPr>
                <w:color w:val="000000"/>
                <w:sz w:val="20"/>
                <w:szCs w:val="20"/>
              </w:rPr>
              <w:t>Microservices across Audience Studio, Journey, Engage, Messenger</w:t>
            </w:r>
          </w:p>
        </w:tc>
        <w:tc>
          <w:tcPr>
            <w:tcW w:w="3200" w:type="dxa"/>
            <w:shd w:val="clear" w:color="auto" w:fill="F2F2F2"/>
            <w:tcMar>
              <w:top w:w="80" w:type="dxa"/>
              <w:left w:w="100" w:type="dxa"/>
              <w:bottom w:w="80" w:type="dxa"/>
              <w:right w:w="100" w:type="dxa"/>
            </w:tcMar>
            <w:vAlign w:val="center"/>
          </w:tcPr>
          <w:p w14:paraId="1FE4D44B" w14:textId="77777777" w:rsidR="00FC40E8" w:rsidRDefault="00000000">
            <w:r>
              <w:rPr>
                <w:color w:val="000000"/>
                <w:sz w:val="20"/>
                <w:szCs w:val="20"/>
              </w:rPr>
              <w:t>3–4</w:t>
            </w:r>
          </w:p>
        </w:tc>
      </w:tr>
      <w:tr w:rsidR="00FC40E8" w14:paraId="2B9234F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C241B48" w14:textId="77777777" w:rsidR="00FC40E8" w:rsidRDefault="00000000">
            <w:r>
              <w:rPr>
                <w:color w:val="000000"/>
                <w:sz w:val="20"/>
                <w:szCs w:val="20"/>
              </w:rPr>
              <w:t>Frontend Engineer(s)</w:t>
            </w:r>
          </w:p>
        </w:tc>
        <w:tc>
          <w:tcPr>
            <w:tcW w:w="6400" w:type="dxa"/>
            <w:shd w:val="clear" w:color="auto" w:fill="FFFFFF"/>
            <w:tcMar>
              <w:top w:w="80" w:type="dxa"/>
              <w:left w:w="100" w:type="dxa"/>
              <w:bottom w:w="80" w:type="dxa"/>
              <w:right w:w="100" w:type="dxa"/>
            </w:tcMar>
            <w:vAlign w:val="center"/>
          </w:tcPr>
          <w:p w14:paraId="00375182" w14:textId="77777777" w:rsidR="00FC40E8" w:rsidRDefault="00000000">
            <w:r>
              <w:rPr>
                <w:color w:val="000000"/>
                <w:sz w:val="20"/>
                <w:szCs w:val="20"/>
              </w:rPr>
              <w:t>Marketer console, journey canvas, dashboards</w:t>
            </w:r>
          </w:p>
        </w:tc>
        <w:tc>
          <w:tcPr>
            <w:tcW w:w="3200" w:type="dxa"/>
            <w:shd w:val="clear" w:color="auto" w:fill="FFFFFF"/>
            <w:tcMar>
              <w:top w:w="80" w:type="dxa"/>
              <w:left w:w="100" w:type="dxa"/>
              <w:bottom w:w="80" w:type="dxa"/>
              <w:right w:w="100" w:type="dxa"/>
            </w:tcMar>
            <w:vAlign w:val="center"/>
          </w:tcPr>
          <w:p w14:paraId="653E8C1E" w14:textId="77777777" w:rsidR="00FC40E8" w:rsidRDefault="00000000">
            <w:r>
              <w:rPr>
                <w:color w:val="000000"/>
                <w:sz w:val="20"/>
                <w:szCs w:val="20"/>
              </w:rPr>
              <w:t>2</w:t>
            </w:r>
          </w:p>
        </w:tc>
      </w:tr>
      <w:tr w:rsidR="00FC40E8" w14:paraId="4128150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306B655" w14:textId="77777777" w:rsidR="00FC40E8" w:rsidRDefault="00000000">
            <w:r>
              <w:rPr>
                <w:color w:val="000000"/>
                <w:sz w:val="20"/>
                <w:szCs w:val="20"/>
              </w:rPr>
              <w:t>Data/ML Engineer</w:t>
            </w:r>
          </w:p>
        </w:tc>
        <w:tc>
          <w:tcPr>
            <w:tcW w:w="6400" w:type="dxa"/>
            <w:shd w:val="clear" w:color="auto" w:fill="F2F2F2"/>
            <w:tcMar>
              <w:top w:w="80" w:type="dxa"/>
              <w:left w:w="100" w:type="dxa"/>
              <w:bottom w:w="80" w:type="dxa"/>
              <w:right w:w="100" w:type="dxa"/>
            </w:tcMar>
            <w:vAlign w:val="center"/>
          </w:tcPr>
          <w:p w14:paraId="538DA31C" w14:textId="77777777" w:rsidR="00FC40E8" w:rsidRDefault="00000000">
            <w:r>
              <w:rPr>
                <w:color w:val="000000"/>
                <w:sz w:val="20"/>
                <w:szCs w:val="20"/>
              </w:rPr>
              <w:t>Consent &amp; Profile Core, feature store, Agentic AI Lab integration</w:t>
            </w:r>
          </w:p>
        </w:tc>
        <w:tc>
          <w:tcPr>
            <w:tcW w:w="3200" w:type="dxa"/>
            <w:shd w:val="clear" w:color="auto" w:fill="F2F2F2"/>
            <w:tcMar>
              <w:top w:w="80" w:type="dxa"/>
              <w:left w:w="100" w:type="dxa"/>
              <w:bottom w:w="80" w:type="dxa"/>
              <w:right w:w="100" w:type="dxa"/>
            </w:tcMar>
            <w:vAlign w:val="center"/>
          </w:tcPr>
          <w:p w14:paraId="7BB746E7" w14:textId="77777777" w:rsidR="00FC40E8" w:rsidRDefault="00000000">
            <w:r>
              <w:rPr>
                <w:color w:val="000000"/>
                <w:sz w:val="20"/>
                <w:szCs w:val="20"/>
              </w:rPr>
              <w:t>1–2</w:t>
            </w:r>
          </w:p>
        </w:tc>
      </w:tr>
      <w:tr w:rsidR="00FC40E8" w14:paraId="05A36A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9BBE3B2" w14:textId="77777777" w:rsidR="00FC40E8" w:rsidRDefault="00000000">
            <w:r>
              <w:rPr>
                <w:color w:val="000000"/>
                <w:sz w:val="20"/>
                <w:szCs w:val="20"/>
              </w:rPr>
              <w:t>Integration Engineer</w:t>
            </w:r>
          </w:p>
        </w:tc>
        <w:tc>
          <w:tcPr>
            <w:tcW w:w="6400" w:type="dxa"/>
            <w:shd w:val="clear" w:color="auto" w:fill="FFFFFF"/>
            <w:tcMar>
              <w:top w:w="80" w:type="dxa"/>
              <w:left w:w="100" w:type="dxa"/>
              <w:bottom w:w="80" w:type="dxa"/>
              <w:right w:w="100" w:type="dxa"/>
            </w:tcMar>
            <w:vAlign w:val="center"/>
          </w:tcPr>
          <w:p w14:paraId="781AECF1" w14:textId="77777777" w:rsidR="00FC40E8" w:rsidRDefault="00000000">
            <w:r>
              <w:rPr>
                <w:color w:val="000000"/>
                <w:sz w:val="20"/>
                <w:szCs w:val="20"/>
              </w:rPr>
              <w:t>Connect Hub connector build-out on Red Hat Fuse</w:t>
            </w:r>
          </w:p>
        </w:tc>
        <w:tc>
          <w:tcPr>
            <w:tcW w:w="3200" w:type="dxa"/>
            <w:shd w:val="clear" w:color="auto" w:fill="FFFFFF"/>
            <w:tcMar>
              <w:top w:w="80" w:type="dxa"/>
              <w:left w:w="100" w:type="dxa"/>
              <w:bottom w:w="80" w:type="dxa"/>
              <w:right w:w="100" w:type="dxa"/>
            </w:tcMar>
            <w:vAlign w:val="center"/>
          </w:tcPr>
          <w:p w14:paraId="3C00CC1E" w14:textId="77777777" w:rsidR="00FC40E8" w:rsidRDefault="00000000">
            <w:r>
              <w:rPr>
                <w:color w:val="000000"/>
                <w:sz w:val="20"/>
                <w:szCs w:val="20"/>
              </w:rPr>
              <w:t>1–2</w:t>
            </w:r>
          </w:p>
        </w:tc>
      </w:tr>
      <w:tr w:rsidR="00FC40E8" w14:paraId="1A2A8F1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9359A2D" w14:textId="77777777" w:rsidR="00FC40E8" w:rsidRDefault="00000000">
            <w:r>
              <w:rPr>
                <w:color w:val="000000"/>
                <w:sz w:val="20"/>
                <w:szCs w:val="20"/>
              </w:rPr>
              <w:t>DevOps/Platform Engineer</w:t>
            </w:r>
          </w:p>
        </w:tc>
        <w:tc>
          <w:tcPr>
            <w:tcW w:w="6400" w:type="dxa"/>
            <w:shd w:val="clear" w:color="auto" w:fill="F2F2F2"/>
            <w:tcMar>
              <w:top w:w="80" w:type="dxa"/>
              <w:left w:w="100" w:type="dxa"/>
              <w:bottom w:w="80" w:type="dxa"/>
              <w:right w:w="100" w:type="dxa"/>
            </w:tcMar>
            <w:vAlign w:val="center"/>
          </w:tcPr>
          <w:p w14:paraId="4868A95B" w14:textId="77777777" w:rsidR="00FC40E8" w:rsidRDefault="00000000">
            <w:r>
              <w:rPr>
                <w:color w:val="000000"/>
                <w:sz w:val="20"/>
                <w:szCs w:val="20"/>
              </w:rPr>
              <w:t xml:space="preserve">OpenShift/ROKS pipelines, </w:t>
            </w:r>
            <w:proofErr w:type="spellStart"/>
            <w:r>
              <w:rPr>
                <w:color w:val="000000"/>
                <w:sz w:val="20"/>
                <w:szCs w:val="20"/>
              </w:rPr>
              <w:t>GitOps</w:t>
            </w:r>
            <w:proofErr w:type="spellEnd"/>
            <w:r>
              <w:rPr>
                <w:color w:val="000000"/>
                <w:sz w:val="20"/>
                <w:szCs w:val="20"/>
              </w:rPr>
              <w:t>, observability</w:t>
            </w:r>
          </w:p>
        </w:tc>
        <w:tc>
          <w:tcPr>
            <w:tcW w:w="3200" w:type="dxa"/>
            <w:shd w:val="clear" w:color="auto" w:fill="F2F2F2"/>
            <w:tcMar>
              <w:top w:w="80" w:type="dxa"/>
              <w:left w:w="100" w:type="dxa"/>
              <w:bottom w:w="80" w:type="dxa"/>
              <w:right w:w="100" w:type="dxa"/>
            </w:tcMar>
            <w:vAlign w:val="center"/>
          </w:tcPr>
          <w:p w14:paraId="7235EF4F" w14:textId="77777777" w:rsidR="00FC40E8" w:rsidRDefault="00000000">
            <w:r>
              <w:rPr>
                <w:color w:val="000000"/>
                <w:sz w:val="20"/>
                <w:szCs w:val="20"/>
              </w:rPr>
              <w:t>1</w:t>
            </w:r>
          </w:p>
        </w:tc>
      </w:tr>
      <w:tr w:rsidR="00FC40E8" w14:paraId="3E44177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DBFC2F6" w14:textId="77777777" w:rsidR="00FC40E8" w:rsidRDefault="00000000">
            <w:r>
              <w:rPr>
                <w:color w:val="000000"/>
                <w:sz w:val="20"/>
                <w:szCs w:val="20"/>
              </w:rPr>
              <w:t>QA / Test Engineer</w:t>
            </w:r>
          </w:p>
        </w:tc>
        <w:tc>
          <w:tcPr>
            <w:tcW w:w="6400" w:type="dxa"/>
            <w:shd w:val="clear" w:color="auto" w:fill="FFFFFF"/>
            <w:tcMar>
              <w:top w:w="80" w:type="dxa"/>
              <w:left w:w="100" w:type="dxa"/>
              <w:bottom w:w="80" w:type="dxa"/>
              <w:right w:w="100" w:type="dxa"/>
            </w:tcMar>
            <w:vAlign w:val="center"/>
          </w:tcPr>
          <w:p w14:paraId="70A74941" w14:textId="77777777" w:rsidR="00FC40E8" w:rsidRDefault="00000000">
            <w:r>
              <w:rPr>
                <w:color w:val="000000"/>
                <w:sz w:val="20"/>
                <w:szCs w:val="20"/>
              </w:rPr>
              <w:t>Automated testing, leveraging the Enterprise Test Engine pattern</w:t>
            </w:r>
          </w:p>
        </w:tc>
        <w:tc>
          <w:tcPr>
            <w:tcW w:w="3200" w:type="dxa"/>
            <w:shd w:val="clear" w:color="auto" w:fill="FFFFFF"/>
            <w:tcMar>
              <w:top w:w="80" w:type="dxa"/>
              <w:left w:w="100" w:type="dxa"/>
              <w:bottom w:w="80" w:type="dxa"/>
              <w:right w:w="100" w:type="dxa"/>
            </w:tcMar>
            <w:vAlign w:val="center"/>
          </w:tcPr>
          <w:p w14:paraId="5CB24669" w14:textId="77777777" w:rsidR="00FC40E8" w:rsidRDefault="00000000">
            <w:r>
              <w:rPr>
                <w:color w:val="000000"/>
                <w:sz w:val="20"/>
                <w:szCs w:val="20"/>
              </w:rPr>
              <w:t>1</w:t>
            </w:r>
          </w:p>
        </w:tc>
      </w:tr>
      <w:tr w:rsidR="00FC40E8" w14:paraId="2C50AF5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5450A98" w14:textId="77777777" w:rsidR="00FC40E8" w:rsidRDefault="00000000">
            <w:r>
              <w:rPr>
                <w:color w:val="000000"/>
                <w:sz w:val="20"/>
                <w:szCs w:val="20"/>
              </w:rPr>
              <w:t>Product/Delivery Lead</w:t>
            </w:r>
          </w:p>
        </w:tc>
        <w:tc>
          <w:tcPr>
            <w:tcW w:w="6400" w:type="dxa"/>
            <w:shd w:val="clear" w:color="auto" w:fill="F2F2F2"/>
            <w:tcMar>
              <w:top w:w="80" w:type="dxa"/>
              <w:left w:w="100" w:type="dxa"/>
              <w:bottom w:w="80" w:type="dxa"/>
              <w:right w:w="100" w:type="dxa"/>
            </w:tcMar>
            <w:vAlign w:val="center"/>
          </w:tcPr>
          <w:p w14:paraId="54B4454E" w14:textId="77777777" w:rsidR="00FC40E8" w:rsidRDefault="00000000">
            <w:r>
              <w:rPr>
                <w:color w:val="000000"/>
                <w:sz w:val="20"/>
                <w:szCs w:val="20"/>
              </w:rPr>
              <w:t>Roadmap, customer pilots, i3 Academy talent pipeline coordination</w:t>
            </w:r>
          </w:p>
        </w:tc>
        <w:tc>
          <w:tcPr>
            <w:tcW w:w="3200" w:type="dxa"/>
            <w:shd w:val="clear" w:color="auto" w:fill="F2F2F2"/>
            <w:tcMar>
              <w:top w:w="80" w:type="dxa"/>
              <w:left w:w="100" w:type="dxa"/>
              <w:bottom w:w="80" w:type="dxa"/>
              <w:right w:w="100" w:type="dxa"/>
            </w:tcMar>
            <w:vAlign w:val="center"/>
          </w:tcPr>
          <w:p w14:paraId="22D3A43E" w14:textId="77777777" w:rsidR="00FC40E8" w:rsidRDefault="00000000">
            <w:r>
              <w:rPr>
                <w:color w:val="000000"/>
                <w:sz w:val="20"/>
                <w:szCs w:val="20"/>
              </w:rPr>
              <w:t>1</w:t>
            </w:r>
          </w:p>
        </w:tc>
      </w:tr>
    </w:tbl>
    <w:p w14:paraId="2E64A8FA" w14:textId="77777777" w:rsidR="00FC40E8" w:rsidRDefault="00000000">
      <w:pPr>
        <w:spacing w:after="160" w:line="276" w:lineRule="auto"/>
      </w:pPr>
      <w:r>
        <w:t xml:space="preserve">Delivery draws on i3's existing bench and, </w:t>
      </w:r>
      <w:proofErr w:type="gramStart"/>
      <w:r>
        <w:t>where</w:t>
      </w:r>
      <w:proofErr w:type="gramEnd"/>
      <w:r>
        <w:t xml:space="preserve"> useful, i3 Academy graduates as a talent pipeline for engineering roles, consistent with i3's Talent-as-a-Service model.</w:t>
      </w:r>
    </w:p>
    <w:p w14:paraId="66B35403" w14:textId="77777777" w:rsidR="00FC40E8" w:rsidRDefault="00000000">
      <w:pPr>
        <w:pStyle w:val="Heading1"/>
        <w:pBdr>
          <w:bottom w:val="single" w:sz="12" w:space="4" w:color="FCA311"/>
        </w:pBdr>
      </w:pPr>
      <w:bookmarkStart w:id="27" w:name="_Toc240719850"/>
      <w:r>
        <w:t>11. Infrastructure Considerations</w:t>
      </w:r>
      <w:bookmarkEnd w:id="27"/>
    </w:p>
    <w:p w14:paraId="08AAE517" w14:textId="77777777" w:rsidR="00FC40E8" w:rsidRDefault="00000000">
      <w:pPr>
        <w:pStyle w:val="ListParagraph"/>
        <w:numPr>
          <w:ilvl w:val="0"/>
          <w:numId w:val="2"/>
        </w:numPr>
        <w:spacing w:after="80"/>
      </w:pPr>
      <w:r>
        <w:t>i3 PMC is designed to run on infrastructure i3 already operates, not a new procurement — the 750+ VM IBM Power Systems lab and existing ROKS estate absorb development, testing and pilot workloads</w:t>
      </w:r>
    </w:p>
    <w:p w14:paraId="1F234959" w14:textId="77777777" w:rsidR="00FC40E8" w:rsidRDefault="00000000">
      <w:pPr>
        <w:pStyle w:val="ListParagraph"/>
        <w:numPr>
          <w:ilvl w:val="0"/>
          <w:numId w:val="2"/>
        </w:numPr>
        <w:spacing w:after="80"/>
      </w:pPr>
      <w:r>
        <w:t>Production tenant capacity should be sized and budgeted separately from lab capacity once the first paying pilot is confirmed, since lab capacity is shared across i3's other proprietary solutions and academy cohorts</w:t>
      </w:r>
    </w:p>
    <w:p w14:paraId="27C19255" w14:textId="77777777" w:rsidR="00FC40E8" w:rsidRDefault="00000000">
      <w:pPr>
        <w:pStyle w:val="ListParagraph"/>
        <w:numPr>
          <w:ilvl w:val="0"/>
          <w:numId w:val="2"/>
        </w:numPr>
        <w:spacing w:after="80"/>
      </w:pPr>
      <w:r>
        <w:t>The i3 AI Lab / Agentic AI Lab work this platform depends on is grounded in a specific, currently-tracked IBM Cloud credit balance and a Red Hat OpenShift Partner Subscription with a near-term renewal date — both should be re-checked against current balances and the subscription renewal timeline before Phase 4 (Agentic AI) resourcing is locked in, since that estate is shared across multiple i3 initiatives</w:t>
      </w:r>
    </w:p>
    <w:p w14:paraId="481786CB" w14:textId="77777777" w:rsidR="00FC40E8" w:rsidRDefault="00000000">
      <w:pPr>
        <w:pStyle w:val="ListParagraph"/>
        <w:numPr>
          <w:ilvl w:val="0"/>
          <w:numId w:val="2"/>
        </w:numPr>
        <w:spacing w:after="80"/>
      </w:pPr>
      <w:r>
        <w:t>No new IBM or Red Hat commercial relationship is required — this build extends i3's existing Partner Plus Silver Business Partner and Red Hat subscription position rather than creating a new one</w:t>
      </w:r>
    </w:p>
    <w:p w14:paraId="499AF143" w14:textId="77777777" w:rsidR="00FC40E8" w:rsidRDefault="00000000">
      <w:pPr>
        <w:pStyle w:val="Heading1"/>
        <w:pBdr>
          <w:bottom w:val="single" w:sz="12" w:space="4" w:color="FCA311"/>
        </w:pBdr>
      </w:pPr>
      <w:bookmarkStart w:id="28" w:name="_Toc240719851"/>
      <w:r>
        <w:t>12. Risks &amp; Mitigations</w:t>
      </w:r>
      <w:bookmarkEnd w:id="28"/>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6200"/>
      </w:tblGrid>
      <w:tr w:rsidR="00FC40E8" w14:paraId="101C71B9" w14:textId="77777777">
        <w:tblPrEx>
          <w:tblCellMar>
            <w:top w:w="0" w:type="dxa"/>
            <w:bottom w:w="0" w:type="dxa"/>
          </w:tblCellMar>
        </w:tblPrEx>
        <w:trPr>
          <w:tblHeader/>
        </w:trPr>
        <w:tc>
          <w:tcPr>
            <w:tcW w:w="3400" w:type="dxa"/>
            <w:shd w:val="clear" w:color="auto" w:fill="14213D"/>
            <w:tcMar>
              <w:top w:w="80" w:type="dxa"/>
              <w:left w:w="100" w:type="dxa"/>
              <w:bottom w:w="80" w:type="dxa"/>
              <w:right w:w="100" w:type="dxa"/>
            </w:tcMar>
            <w:vAlign w:val="center"/>
          </w:tcPr>
          <w:p w14:paraId="5826772C" w14:textId="77777777" w:rsidR="00FC40E8" w:rsidRDefault="00000000">
            <w:r>
              <w:rPr>
                <w:b/>
                <w:bCs/>
                <w:color w:val="FFFFFF"/>
                <w:sz w:val="20"/>
                <w:szCs w:val="20"/>
              </w:rPr>
              <w:t>Risk</w:t>
            </w:r>
          </w:p>
        </w:tc>
        <w:tc>
          <w:tcPr>
            <w:tcW w:w="2600" w:type="dxa"/>
            <w:shd w:val="clear" w:color="auto" w:fill="14213D"/>
            <w:tcMar>
              <w:top w:w="80" w:type="dxa"/>
              <w:left w:w="100" w:type="dxa"/>
              <w:bottom w:w="80" w:type="dxa"/>
              <w:right w:w="100" w:type="dxa"/>
            </w:tcMar>
            <w:vAlign w:val="center"/>
          </w:tcPr>
          <w:p w14:paraId="56B6B909" w14:textId="77777777" w:rsidR="00FC40E8" w:rsidRDefault="00000000">
            <w:r>
              <w:rPr>
                <w:b/>
                <w:bCs/>
                <w:color w:val="FFFFFF"/>
                <w:sz w:val="20"/>
                <w:szCs w:val="20"/>
              </w:rPr>
              <w:t>Impact</w:t>
            </w:r>
          </w:p>
        </w:tc>
        <w:tc>
          <w:tcPr>
            <w:tcW w:w="6200" w:type="dxa"/>
            <w:shd w:val="clear" w:color="auto" w:fill="14213D"/>
            <w:tcMar>
              <w:top w:w="80" w:type="dxa"/>
              <w:left w:w="100" w:type="dxa"/>
              <w:bottom w:w="80" w:type="dxa"/>
              <w:right w:w="100" w:type="dxa"/>
            </w:tcMar>
            <w:vAlign w:val="center"/>
          </w:tcPr>
          <w:p w14:paraId="3AE5773F" w14:textId="77777777" w:rsidR="00FC40E8" w:rsidRDefault="00000000">
            <w:r>
              <w:rPr>
                <w:b/>
                <w:bCs/>
                <w:color w:val="FFFFFF"/>
                <w:sz w:val="20"/>
                <w:szCs w:val="20"/>
              </w:rPr>
              <w:t>Mitigation</w:t>
            </w:r>
          </w:p>
        </w:tc>
      </w:tr>
      <w:tr w:rsidR="00FC40E8" w14:paraId="5BEAB21A"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2E4384C6" w14:textId="77777777" w:rsidR="00FC40E8" w:rsidRDefault="00000000">
            <w:r>
              <w:rPr>
                <w:color w:val="000000"/>
                <w:sz w:val="20"/>
                <w:szCs w:val="20"/>
              </w:rPr>
              <w:t>Shared IBM Cloud/Red Hat estate is contended across i3 Academy, other ROKS solutions and this build</w:t>
            </w:r>
          </w:p>
        </w:tc>
        <w:tc>
          <w:tcPr>
            <w:tcW w:w="2600" w:type="dxa"/>
            <w:shd w:val="clear" w:color="auto" w:fill="FFFFFF"/>
            <w:tcMar>
              <w:top w:w="80" w:type="dxa"/>
              <w:left w:w="100" w:type="dxa"/>
              <w:bottom w:w="80" w:type="dxa"/>
              <w:right w:w="100" w:type="dxa"/>
            </w:tcMar>
            <w:vAlign w:val="center"/>
          </w:tcPr>
          <w:p w14:paraId="6F496D1A" w14:textId="77777777" w:rsidR="00FC40E8" w:rsidRDefault="00000000">
            <w:r>
              <w:rPr>
                <w:color w:val="000000"/>
                <w:sz w:val="20"/>
                <w:szCs w:val="20"/>
              </w:rPr>
              <w:t>Delivery delay or resource contention</w:t>
            </w:r>
          </w:p>
        </w:tc>
        <w:tc>
          <w:tcPr>
            <w:tcW w:w="6200" w:type="dxa"/>
            <w:shd w:val="clear" w:color="auto" w:fill="FFFFFF"/>
            <w:tcMar>
              <w:top w:w="80" w:type="dxa"/>
              <w:left w:w="100" w:type="dxa"/>
              <w:bottom w:w="80" w:type="dxa"/>
              <w:right w:w="100" w:type="dxa"/>
            </w:tcMar>
            <w:vAlign w:val="center"/>
          </w:tcPr>
          <w:p w14:paraId="6EEB8217" w14:textId="77777777" w:rsidR="00FC40E8" w:rsidRDefault="00000000">
            <w:r>
              <w:rPr>
                <w:color w:val="000000"/>
                <w:sz w:val="20"/>
                <w:szCs w:val="20"/>
              </w:rPr>
              <w:t>Confirm current credit balances and subscription renewal status before each phase kicks off; ring-fence production capacity separately from lab capacity</w:t>
            </w:r>
          </w:p>
        </w:tc>
      </w:tr>
      <w:tr w:rsidR="00FC40E8" w14:paraId="458349F4"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55BF7220" w14:textId="77777777" w:rsidR="00FC40E8" w:rsidRDefault="00000000">
            <w:r>
              <w:rPr>
                <w:color w:val="000000"/>
                <w:sz w:val="20"/>
                <w:szCs w:val="20"/>
              </w:rPr>
              <w:lastRenderedPageBreak/>
              <w:t>Regulated customers (banks) require in-country data residency i3's current footprint may not yet fully cover</w:t>
            </w:r>
          </w:p>
        </w:tc>
        <w:tc>
          <w:tcPr>
            <w:tcW w:w="2600" w:type="dxa"/>
            <w:shd w:val="clear" w:color="auto" w:fill="F2F2F2"/>
            <w:tcMar>
              <w:top w:w="80" w:type="dxa"/>
              <w:left w:w="100" w:type="dxa"/>
              <w:bottom w:w="80" w:type="dxa"/>
              <w:right w:w="100" w:type="dxa"/>
            </w:tcMar>
            <w:vAlign w:val="center"/>
          </w:tcPr>
          <w:p w14:paraId="2C8A17EF" w14:textId="77777777" w:rsidR="00FC40E8" w:rsidRDefault="00000000">
            <w:r>
              <w:rPr>
                <w:color w:val="000000"/>
                <w:sz w:val="20"/>
                <w:szCs w:val="20"/>
              </w:rPr>
              <w:t>Lost or delayed pilot deals</w:t>
            </w:r>
          </w:p>
        </w:tc>
        <w:tc>
          <w:tcPr>
            <w:tcW w:w="6200" w:type="dxa"/>
            <w:shd w:val="clear" w:color="auto" w:fill="F2F2F2"/>
            <w:tcMar>
              <w:top w:w="80" w:type="dxa"/>
              <w:left w:w="100" w:type="dxa"/>
              <w:bottom w:w="80" w:type="dxa"/>
              <w:right w:w="100" w:type="dxa"/>
            </w:tcMar>
            <w:vAlign w:val="center"/>
          </w:tcPr>
          <w:p w14:paraId="48C4EB4A" w14:textId="77777777" w:rsidR="00FC40E8" w:rsidRDefault="00000000">
            <w:r>
              <w:rPr>
                <w:color w:val="000000"/>
                <w:sz w:val="20"/>
                <w:szCs w:val="20"/>
              </w:rPr>
              <w:t>Prioritize Connect Hub and tenancy design to support dedicated node pools / in-country hosting as an explicit, sellable option, not an afterthought</w:t>
            </w:r>
          </w:p>
        </w:tc>
      </w:tr>
      <w:tr w:rsidR="00FC40E8" w14:paraId="62DB0C52"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8B8E7D6" w14:textId="77777777" w:rsidR="00FC40E8" w:rsidRDefault="00000000">
            <w:r>
              <w:rPr>
                <w:color w:val="000000"/>
                <w:sz w:val="20"/>
                <w:szCs w:val="20"/>
              </w:rPr>
              <w:t>Feature parity with a mature 20+ year Unica suite is a large surface to cover</w:t>
            </w:r>
          </w:p>
        </w:tc>
        <w:tc>
          <w:tcPr>
            <w:tcW w:w="2600" w:type="dxa"/>
            <w:shd w:val="clear" w:color="auto" w:fill="FFFFFF"/>
            <w:tcMar>
              <w:top w:w="80" w:type="dxa"/>
              <w:left w:w="100" w:type="dxa"/>
              <w:bottom w:w="80" w:type="dxa"/>
              <w:right w:w="100" w:type="dxa"/>
            </w:tcMar>
            <w:vAlign w:val="center"/>
          </w:tcPr>
          <w:p w14:paraId="48A2E08C" w14:textId="77777777" w:rsidR="00FC40E8" w:rsidRDefault="00000000">
            <w:r>
              <w:rPr>
                <w:color w:val="000000"/>
                <w:sz w:val="20"/>
                <w:szCs w:val="20"/>
              </w:rPr>
              <w:t>Scope creep, missed timelines</w:t>
            </w:r>
          </w:p>
        </w:tc>
        <w:tc>
          <w:tcPr>
            <w:tcW w:w="6200" w:type="dxa"/>
            <w:shd w:val="clear" w:color="auto" w:fill="FFFFFF"/>
            <w:tcMar>
              <w:top w:w="80" w:type="dxa"/>
              <w:left w:w="100" w:type="dxa"/>
              <w:bottom w:w="80" w:type="dxa"/>
              <w:right w:w="100" w:type="dxa"/>
            </w:tcMar>
            <w:vAlign w:val="center"/>
          </w:tcPr>
          <w:p w14:paraId="2B8D329A" w14:textId="77777777" w:rsidR="00FC40E8" w:rsidRDefault="00000000">
            <w:r>
              <w:rPr>
                <w:color w:val="000000"/>
                <w:sz w:val="20"/>
                <w:szCs w:val="20"/>
              </w:rPr>
              <w:t>Phase strictly to the Release 1.0 module list in Section 3.2; treat paid media, mobile SDKs and social listening as explicit Release 2.0 items</w:t>
            </w:r>
          </w:p>
        </w:tc>
      </w:tr>
      <w:tr w:rsidR="00FC40E8" w14:paraId="3B43E16A"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08747F7B" w14:textId="77777777" w:rsidR="00FC40E8" w:rsidRDefault="00000000">
            <w:r>
              <w:rPr>
                <w:color w:val="000000"/>
                <w:sz w:val="20"/>
                <w:szCs w:val="20"/>
              </w:rPr>
              <w:t>WhatsApp Business API and SMS aggregator relationships vary by country across i3's 12 country teams</w:t>
            </w:r>
          </w:p>
        </w:tc>
        <w:tc>
          <w:tcPr>
            <w:tcW w:w="2600" w:type="dxa"/>
            <w:shd w:val="clear" w:color="auto" w:fill="F2F2F2"/>
            <w:tcMar>
              <w:top w:w="80" w:type="dxa"/>
              <w:left w:w="100" w:type="dxa"/>
              <w:bottom w:w="80" w:type="dxa"/>
              <w:right w:w="100" w:type="dxa"/>
            </w:tcMar>
            <w:vAlign w:val="center"/>
          </w:tcPr>
          <w:p w14:paraId="784B556A" w14:textId="77777777" w:rsidR="00FC40E8" w:rsidRDefault="00000000">
            <w:r>
              <w:rPr>
                <w:color w:val="000000"/>
                <w:sz w:val="20"/>
                <w:szCs w:val="20"/>
              </w:rPr>
              <w:t>Inconsistent channel reliability at scale</w:t>
            </w:r>
          </w:p>
        </w:tc>
        <w:tc>
          <w:tcPr>
            <w:tcW w:w="6200" w:type="dxa"/>
            <w:shd w:val="clear" w:color="auto" w:fill="F2F2F2"/>
            <w:tcMar>
              <w:top w:w="80" w:type="dxa"/>
              <w:left w:w="100" w:type="dxa"/>
              <w:bottom w:w="80" w:type="dxa"/>
              <w:right w:w="100" w:type="dxa"/>
            </w:tcMar>
            <w:vAlign w:val="center"/>
          </w:tcPr>
          <w:p w14:paraId="7D18CB80" w14:textId="77777777" w:rsidR="00FC40E8" w:rsidRDefault="00000000">
            <w:r>
              <w:rPr>
                <w:color w:val="000000"/>
                <w:sz w:val="20"/>
                <w:szCs w:val="20"/>
              </w:rPr>
              <w:t>Build Messenger's channel-adapter layer provider-agnostic from day one, with per-country provider configuration</w:t>
            </w:r>
          </w:p>
        </w:tc>
      </w:tr>
      <w:tr w:rsidR="00FC40E8" w14:paraId="0C2F2258"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362B7959" w14:textId="77777777" w:rsidR="00FC40E8" w:rsidRDefault="00000000">
            <w:r>
              <w:rPr>
                <w:color w:val="000000"/>
                <w:sz w:val="20"/>
                <w:szCs w:val="20"/>
              </w:rPr>
              <w:t>AI-generated campaign content/decisions require human sign-off in regulated sectors</w:t>
            </w:r>
          </w:p>
        </w:tc>
        <w:tc>
          <w:tcPr>
            <w:tcW w:w="2600" w:type="dxa"/>
            <w:shd w:val="clear" w:color="auto" w:fill="FFFFFF"/>
            <w:tcMar>
              <w:top w:w="80" w:type="dxa"/>
              <w:left w:w="100" w:type="dxa"/>
              <w:bottom w:w="80" w:type="dxa"/>
              <w:right w:w="100" w:type="dxa"/>
            </w:tcMar>
            <w:vAlign w:val="center"/>
          </w:tcPr>
          <w:p w14:paraId="3CDB1D01" w14:textId="77777777" w:rsidR="00FC40E8" w:rsidRDefault="00000000">
            <w:r>
              <w:rPr>
                <w:color w:val="000000"/>
                <w:sz w:val="20"/>
                <w:szCs w:val="20"/>
              </w:rPr>
              <w:t>Compliance exposure if AI recommendations are auto-executed</w:t>
            </w:r>
          </w:p>
        </w:tc>
        <w:tc>
          <w:tcPr>
            <w:tcW w:w="6200" w:type="dxa"/>
            <w:shd w:val="clear" w:color="auto" w:fill="FFFFFF"/>
            <w:tcMar>
              <w:top w:w="80" w:type="dxa"/>
              <w:left w:w="100" w:type="dxa"/>
              <w:bottom w:w="80" w:type="dxa"/>
              <w:right w:w="100" w:type="dxa"/>
            </w:tcMar>
            <w:vAlign w:val="center"/>
          </w:tcPr>
          <w:p w14:paraId="3CF488C1" w14:textId="77777777" w:rsidR="00FC40E8" w:rsidRDefault="00000000">
            <w:r>
              <w:rPr>
                <w:color w:val="000000"/>
                <w:sz w:val="20"/>
                <w:szCs w:val="20"/>
              </w:rPr>
              <w:t>Keep Agentic AI Lab outputs as recommend-and-approve by default in Release 1.0, not auto-execute</w:t>
            </w:r>
          </w:p>
        </w:tc>
      </w:tr>
    </w:tbl>
    <w:p w14:paraId="07452F5D" w14:textId="77777777" w:rsidR="00FC40E8" w:rsidRDefault="00000000">
      <w:pPr>
        <w:pStyle w:val="Heading1"/>
        <w:pBdr>
          <w:bottom w:val="single" w:sz="12" w:space="4" w:color="FCA311"/>
        </w:pBdr>
      </w:pPr>
      <w:bookmarkStart w:id="29" w:name="_Toc240719852"/>
      <w:r>
        <w:t>13. Appendix</w:t>
      </w:r>
      <w:bookmarkEnd w:id="29"/>
    </w:p>
    <w:p w14:paraId="0436A867" w14:textId="77777777" w:rsidR="00FC40E8" w:rsidRDefault="00000000">
      <w:pPr>
        <w:pStyle w:val="Heading2"/>
      </w:pPr>
      <w:bookmarkStart w:id="30" w:name="_Toc240719853"/>
      <w:r>
        <w:t>13.1 Glossary</w:t>
      </w:r>
      <w:bookmarkEnd w:id="30"/>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200"/>
      </w:tblGrid>
      <w:tr w:rsidR="00FC40E8" w14:paraId="24B62D66" w14:textId="77777777">
        <w:tblPrEx>
          <w:tblCellMar>
            <w:top w:w="0" w:type="dxa"/>
            <w:bottom w:w="0" w:type="dxa"/>
          </w:tblCellMar>
        </w:tblPrEx>
        <w:trPr>
          <w:tblHeader/>
        </w:trPr>
        <w:tc>
          <w:tcPr>
            <w:tcW w:w="3000" w:type="dxa"/>
            <w:shd w:val="clear" w:color="auto" w:fill="14213D"/>
            <w:tcMar>
              <w:top w:w="80" w:type="dxa"/>
              <w:left w:w="100" w:type="dxa"/>
              <w:bottom w:w="80" w:type="dxa"/>
              <w:right w:w="100" w:type="dxa"/>
            </w:tcMar>
            <w:vAlign w:val="center"/>
          </w:tcPr>
          <w:p w14:paraId="3FE731F0" w14:textId="77777777" w:rsidR="00FC40E8" w:rsidRDefault="00000000">
            <w:r>
              <w:rPr>
                <w:b/>
                <w:bCs/>
                <w:color w:val="FFFFFF"/>
                <w:sz w:val="20"/>
                <w:szCs w:val="20"/>
              </w:rPr>
              <w:t>Term</w:t>
            </w:r>
          </w:p>
        </w:tc>
        <w:tc>
          <w:tcPr>
            <w:tcW w:w="9200" w:type="dxa"/>
            <w:shd w:val="clear" w:color="auto" w:fill="14213D"/>
            <w:tcMar>
              <w:top w:w="80" w:type="dxa"/>
              <w:left w:w="100" w:type="dxa"/>
              <w:bottom w:w="80" w:type="dxa"/>
              <w:right w:w="100" w:type="dxa"/>
            </w:tcMar>
            <w:vAlign w:val="center"/>
          </w:tcPr>
          <w:p w14:paraId="237398B5" w14:textId="77777777" w:rsidR="00FC40E8" w:rsidRDefault="00000000">
            <w:r>
              <w:rPr>
                <w:b/>
                <w:bCs/>
                <w:color w:val="FFFFFF"/>
                <w:sz w:val="20"/>
                <w:szCs w:val="20"/>
              </w:rPr>
              <w:t>Definition</w:t>
            </w:r>
          </w:p>
        </w:tc>
      </w:tr>
      <w:tr w:rsidR="00FC40E8" w14:paraId="2C11684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BF86D21" w14:textId="77777777" w:rsidR="00FC40E8" w:rsidRDefault="00000000">
            <w:r>
              <w:rPr>
                <w:color w:val="000000"/>
                <w:sz w:val="20"/>
                <w:szCs w:val="20"/>
              </w:rPr>
              <w:t>CDP</w:t>
            </w:r>
          </w:p>
        </w:tc>
        <w:tc>
          <w:tcPr>
            <w:tcW w:w="9200" w:type="dxa"/>
            <w:shd w:val="clear" w:color="auto" w:fill="FFFFFF"/>
            <w:tcMar>
              <w:top w:w="80" w:type="dxa"/>
              <w:left w:w="100" w:type="dxa"/>
              <w:bottom w:w="80" w:type="dxa"/>
              <w:right w:w="100" w:type="dxa"/>
            </w:tcMar>
            <w:vAlign w:val="center"/>
          </w:tcPr>
          <w:p w14:paraId="047F8B58" w14:textId="77777777" w:rsidR="00FC40E8" w:rsidRDefault="00000000">
            <w:r>
              <w:rPr>
                <w:color w:val="000000"/>
                <w:sz w:val="20"/>
                <w:szCs w:val="20"/>
              </w:rPr>
              <w:t>Customer Data Platform — unified, addressable customer profile store</w:t>
            </w:r>
          </w:p>
        </w:tc>
      </w:tr>
      <w:tr w:rsidR="00FC40E8" w14:paraId="44A3A7A4"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2DAB700" w14:textId="77777777" w:rsidR="00FC40E8" w:rsidRDefault="00000000">
            <w:r>
              <w:rPr>
                <w:color w:val="000000"/>
                <w:sz w:val="20"/>
                <w:szCs w:val="20"/>
              </w:rPr>
              <w:t>NBA</w:t>
            </w:r>
          </w:p>
        </w:tc>
        <w:tc>
          <w:tcPr>
            <w:tcW w:w="9200" w:type="dxa"/>
            <w:shd w:val="clear" w:color="auto" w:fill="F2F2F2"/>
            <w:tcMar>
              <w:top w:w="80" w:type="dxa"/>
              <w:left w:w="100" w:type="dxa"/>
              <w:bottom w:w="80" w:type="dxa"/>
              <w:right w:w="100" w:type="dxa"/>
            </w:tcMar>
            <w:vAlign w:val="center"/>
          </w:tcPr>
          <w:p w14:paraId="0BAB45DB" w14:textId="77777777" w:rsidR="00FC40E8" w:rsidRDefault="00000000">
            <w:r>
              <w:rPr>
                <w:color w:val="000000"/>
                <w:sz w:val="20"/>
                <w:szCs w:val="20"/>
              </w:rPr>
              <w:t>Next-Best-Action — the real-time recommendation of the optimal offer or message for a customer</w:t>
            </w:r>
          </w:p>
        </w:tc>
      </w:tr>
      <w:tr w:rsidR="00FC40E8" w14:paraId="170ED16E"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5632A8C" w14:textId="77777777" w:rsidR="00FC40E8" w:rsidRDefault="00000000">
            <w:r>
              <w:rPr>
                <w:color w:val="000000"/>
                <w:sz w:val="20"/>
                <w:szCs w:val="20"/>
              </w:rPr>
              <w:t>MRM</w:t>
            </w:r>
          </w:p>
        </w:tc>
        <w:tc>
          <w:tcPr>
            <w:tcW w:w="9200" w:type="dxa"/>
            <w:shd w:val="clear" w:color="auto" w:fill="FFFFFF"/>
            <w:tcMar>
              <w:top w:w="80" w:type="dxa"/>
              <w:left w:w="100" w:type="dxa"/>
              <w:bottom w:w="80" w:type="dxa"/>
              <w:right w:w="100" w:type="dxa"/>
            </w:tcMar>
            <w:vAlign w:val="center"/>
          </w:tcPr>
          <w:p w14:paraId="5864333F" w14:textId="77777777" w:rsidR="00FC40E8" w:rsidRDefault="00000000">
            <w:r>
              <w:rPr>
                <w:color w:val="000000"/>
                <w:sz w:val="20"/>
                <w:szCs w:val="20"/>
              </w:rPr>
              <w:t>Marketing Resource Management — planning, budgeting and asset-management tooling for marketing teams</w:t>
            </w:r>
          </w:p>
        </w:tc>
      </w:tr>
      <w:tr w:rsidR="00FC40E8" w14:paraId="646D636C"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E851EC3" w14:textId="77777777" w:rsidR="00FC40E8" w:rsidRDefault="00000000">
            <w:r>
              <w:rPr>
                <w:color w:val="000000"/>
                <w:sz w:val="20"/>
                <w:szCs w:val="20"/>
              </w:rPr>
              <w:t>ROKS</w:t>
            </w:r>
          </w:p>
        </w:tc>
        <w:tc>
          <w:tcPr>
            <w:tcW w:w="9200" w:type="dxa"/>
            <w:shd w:val="clear" w:color="auto" w:fill="F2F2F2"/>
            <w:tcMar>
              <w:top w:w="80" w:type="dxa"/>
              <w:left w:w="100" w:type="dxa"/>
              <w:bottom w:w="80" w:type="dxa"/>
              <w:right w:w="100" w:type="dxa"/>
            </w:tcMar>
            <w:vAlign w:val="center"/>
          </w:tcPr>
          <w:p w14:paraId="43F9E25A" w14:textId="77777777" w:rsidR="00FC40E8" w:rsidRDefault="00000000">
            <w:r>
              <w:rPr>
                <w:color w:val="000000"/>
                <w:sz w:val="20"/>
                <w:szCs w:val="20"/>
              </w:rPr>
              <w:t>Red Hat OpenShift Kubernetes Service — i3's standard container platform for its proprietary solutions</w:t>
            </w:r>
          </w:p>
        </w:tc>
      </w:tr>
      <w:tr w:rsidR="00FC40E8" w14:paraId="37FBA2C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38C0013" w14:textId="77777777" w:rsidR="00FC40E8" w:rsidRDefault="00000000">
            <w:r>
              <w:rPr>
                <w:color w:val="000000"/>
                <w:sz w:val="20"/>
                <w:szCs w:val="20"/>
              </w:rPr>
              <w:t>Consent Ledger</w:t>
            </w:r>
          </w:p>
        </w:tc>
        <w:tc>
          <w:tcPr>
            <w:tcW w:w="9200" w:type="dxa"/>
            <w:shd w:val="clear" w:color="auto" w:fill="FFFFFF"/>
            <w:tcMar>
              <w:top w:w="80" w:type="dxa"/>
              <w:left w:w="100" w:type="dxa"/>
              <w:bottom w:w="80" w:type="dxa"/>
              <w:right w:w="100" w:type="dxa"/>
            </w:tcMar>
            <w:vAlign w:val="center"/>
          </w:tcPr>
          <w:p w14:paraId="3CEBAA93" w14:textId="77777777" w:rsidR="00FC40E8" w:rsidRDefault="00000000">
            <w:r>
              <w:rPr>
                <w:color w:val="000000"/>
                <w:sz w:val="20"/>
                <w:szCs w:val="20"/>
              </w:rPr>
              <w:t>Auditable record of customer opt-in/opt-out status by channel and purpose</w:t>
            </w:r>
          </w:p>
        </w:tc>
      </w:tr>
    </w:tbl>
    <w:p w14:paraId="4BA113F9" w14:textId="77777777" w:rsidR="00FC40E8" w:rsidRDefault="00000000">
      <w:pPr>
        <w:pStyle w:val="Heading2"/>
      </w:pPr>
      <w:bookmarkStart w:id="31" w:name="_Toc240719854"/>
      <w:r>
        <w:t>13.2 Sources</w:t>
      </w:r>
      <w:bookmarkEnd w:id="31"/>
    </w:p>
    <w:p w14:paraId="7D880335" w14:textId="77777777" w:rsidR="00FC40E8" w:rsidRDefault="00000000">
      <w:pPr>
        <w:spacing w:after="160" w:line="276" w:lineRule="auto"/>
      </w:pPr>
      <w:proofErr w:type="spellStart"/>
      <w:r>
        <w:t>HCLSoftware</w:t>
      </w:r>
      <w:proofErr w:type="spellEnd"/>
      <w:r>
        <w:t xml:space="preserve"> Unica product documentation and release notes (2026); Gartner Peer Insights — HCL Unica reviews and alternatives; </w:t>
      </w:r>
      <w:proofErr w:type="spellStart"/>
      <w:r>
        <w:t>TrustRadius</w:t>
      </w:r>
      <w:proofErr w:type="spellEnd"/>
      <w:r>
        <w:t xml:space="preserve"> comparison data (Adobe Campaign, Salesforce Marketing Cloud, SAS 360); Capterra/</w:t>
      </w:r>
      <w:proofErr w:type="spellStart"/>
      <w:r>
        <w:t>GetApp</w:t>
      </w:r>
      <w:proofErr w:type="spellEnd"/>
      <w:r>
        <w:t xml:space="preserve"> alternatives listings for SAS Customer Intelligence 360; research.com HCL Unica review (2026); </w:t>
      </w:r>
      <w:proofErr w:type="spellStart"/>
      <w:r>
        <w:t>CMSWire</w:t>
      </w:r>
      <w:proofErr w:type="spellEnd"/>
      <w:r>
        <w:t xml:space="preserve"> coverage of the Unica+ launch (2026).</w:t>
      </w:r>
    </w:p>
    <w:sectPr w:rsidR="00FC40E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8514" w14:textId="77777777" w:rsidR="00960A1E" w:rsidRDefault="00960A1E">
      <w:r>
        <w:separator/>
      </w:r>
    </w:p>
  </w:endnote>
  <w:endnote w:type="continuationSeparator" w:id="0">
    <w:p w14:paraId="3692A220" w14:textId="77777777" w:rsidR="00960A1E" w:rsidRDefault="0096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3064" w14:textId="77777777" w:rsidR="00FC40E8" w:rsidRDefault="00000000">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FD3A96">
      <w:rPr>
        <w:noProof/>
        <w:color w:val="444444"/>
        <w:sz w:val="16"/>
        <w:szCs w:val="16"/>
      </w:rPr>
      <w:t>16</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FD3A96">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8321" w14:textId="77777777" w:rsidR="00960A1E" w:rsidRDefault="00960A1E">
      <w:r>
        <w:separator/>
      </w:r>
    </w:p>
  </w:footnote>
  <w:footnote w:type="continuationSeparator" w:id="0">
    <w:p w14:paraId="7A3D7523" w14:textId="77777777" w:rsidR="00960A1E" w:rsidRDefault="0096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386E" w14:textId="77777777" w:rsidR="00FC40E8" w:rsidRDefault="00000000">
    <w:pPr>
      <w:pBdr>
        <w:bottom w:val="single" w:sz="6" w:space="4" w:color="FCA311"/>
      </w:pBdr>
    </w:pPr>
    <w:r>
      <w:rPr>
        <w:color w:val="444444"/>
        <w:sz w:val="16"/>
        <w:szCs w:val="16"/>
      </w:rPr>
      <w:t>i3 Technologies — Technical Build Document — i3 Precision Marketing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771F"/>
    <w:multiLevelType w:val="hybridMultilevel"/>
    <w:tmpl w:val="7C94B416"/>
    <w:lvl w:ilvl="0" w:tplc="35B0F81E">
      <w:start w:val="1"/>
      <w:numFmt w:val="bullet"/>
      <w:lvlText w:val="•"/>
      <w:lvlJc w:val="left"/>
      <w:pPr>
        <w:ind w:left="480" w:hanging="260"/>
      </w:pPr>
    </w:lvl>
    <w:lvl w:ilvl="1" w:tplc="1DD01EE2">
      <w:start w:val="1"/>
      <w:numFmt w:val="bullet"/>
      <w:lvlText w:val="◦"/>
      <w:lvlJc w:val="left"/>
      <w:pPr>
        <w:ind w:left="860" w:hanging="260"/>
      </w:pPr>
    </w:lvl>
    <w:lvl w:ilvl="2" w:tplc="4FF010BC">
      <w:numFmt w:val="decimal"/>
      <w:lvlText w:val=""/>
      <w:lvlJc w:val="left"/>
    </w:lvl>
    <w:lvl w:ilvl="3" w:tplc="5E8A54DE">
      <w:numFmt w:val="decimal"/>
      <w:lvlText w:val=""/>
      <w:lvlJc w:val="left"/>
    </w:lvl>
    <w:lvl w:ilvl="4" w:tplc="46824AB2">
      <w:numFmt w:val="decimal"/>
      <w:lvlText w:val=""/>
      <w:lvlJc w:val="left"/>
    </w:lvl>
    <w:lvl w:ilvl="5" w:tplc="111E1380">
      <w:numFmt w:val="decimal"/>
      <w:lvlText w:val=""/>
      <w:lvlJc w:val="left"/>
    </w:lvl>
    <w:lvl w:ilvl="6" w:tplc="82FECA0C">
      <w:numFmt w:val="decimal"/>
      <w:lvlText w:val=""/>
      <w:lvlJc w:val="left"/>
    </w:lvl>
    <w:lvl w:ilvl="7" w:tplc="EC86869A">
      <w:numFmt w:val="decimal"/>
      <w:lvlText w:val=""/>
      <w:lvlJc w:val="left"/>
    </w:lvl>
    <w:lvl w:ilvl="8" w:tplc="2C10B92C">
      <w:numFmt w:val="decimal"/>
      <w:lvlText w:val=""/>
      <w:lvlJc w:val="left"/>
    </w:lvl>
  </w:abstractNum>
  <w:abstractNum w:abstractNumId="1" w15:restartNumberingAfterBreak="0">
    <w:nsid w:val="2F75588A"/>
    <w:multiLevelType w:val="hybridMultilevel"/>
    <w:tmpl w:val="F7BA6562"/>
    <w:lvl w:ilvl="0" w:tplc="C5F25FBA">
      <w:start w:val="1"/>
      <w:numFmt w:val="bullet"/>
      <w:lvlText w:val="●"/>
      <w:lvlJc w:val="left"/>
      <w:pPr>
        <w:ind w:left="720" w:hanging="360"/>
      </w:pPr>
    </w:lvl>
    <w:lvl w:ilvl="1" w:tplc="C7BC0A5E">
      <w:start w:val="1"/>
      <w:numFmt w:val="bullet"/>
      <w:lvlText w:val="○"/>
      <w:lvlJc w:val="left"/>
      <w:pPr>
        <w:ind w:left="1440" w:hanging="360"/>
      </w:pPr>
    </w:lvl>
    <w:lvl w:ilvl="2" w:tplc="316C8936">
      <w:start w:val="1"/>
      <w:numFmt w:val="bullet"/>
      <w:lvlText w:val="■"/>
      <w:lvlJc w:val="left"/>
      <w:pPr>
        <w:ind w:left="2160" w:hanging="360"/>
      </w:pPr>
    </w:lvl>
    <w:lvl w:ilvl="3" w:tplc="63540554">
      <w:start w:val="1"/>
      <w:numFmt w:val="bullet"/>
      <w:lvlText w:val="●"/>
      <w:lvlJc w:val="left"/>
      <w:pPr>
        <w:ind w:left="2880" w:hanging="360"/>
      </w:pPr>
    </w:lvl>
    <w:lvl w:ilvl="4" w:tplc="C8F4C836">
      <w:start w:val="1"/>
      <w:numFmt w:val="bullet"/>
      <w:lvlText w:val="○"/>
      <w:lvlJc w:val="left"/>
      <w:pPr>
        <w:ind w:left="3600" w:hanging="360"/>
      </w:pPr>
    </w:lvl>
    <w:lvl w:ilvl="5" w:tplc="691CBDE0">
      <w:start w:val="1"/>
      <w:numFmt w:val="bullet"/>
      <w:lvlText w:val="■"/>
      <w:lvlJc w:val="left"/>
      <w:pPr>
        <w:ind w:left="4320" w:hanging="360"/>
      </w:pPr>
    </w:lvl>
    <w:lvl w:ilvl="6" w:tplc="B8DEA4A4">
      <w:start w:val="1"/>
      <w:numFmt w:val="bullet"/>
      <w:lvlText w:val="●"/>
      <w:lvlJc w:val="left"/>
      <w:pPr>
        <w:ind w:left="5040" w:hanging="360"/>
      </w:pPr>
    </w:lvl>
    <w:lvl w:ilvl="7" w:tplc="9CD08550">
      <w:start w:val="1"/>
      <w:numFmt w:val="bullet"/>
      <w:lvlText w:val="●"/>
      <w:lvlJc w:val="left"/>
      <w:pPr>
        <w:ind w:left="5760" w:hanging="360"/>
      </w:pPr>
    </w:lvl>
    <w:lvl w:ilvl="8" w:tplc="D3086DA0">
      <w:start w:val="1"/>
      <w:numFmt w:val="bullet"/>
      <w:lvlText w:val="●"/>
      <w:lvlJc w:val="left"/>
      <w:pPr>
        <w:ind w:left="6480" w:hanging="360"/>
      </w:pPr>
    </w:lvl>
  </w:abstractNum>
  <w:num w:numId="1" w16cid:durableId="1481969483">
    <w:abstractNumId w:val="1"/>
    <w:lvlOverride w:ilvl="0">
      <w:startOverride w:val="1"/>
    </w:lvlOverride>
  </w:num>
  <w:num w:numId="2" w16cid:durableId="1541700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0E8"/>
    <w:rsid w:val="00394C21"/>
    <w:rsid w:val="00960A1E"/>
    <w:rsid w:val="00FC40E8"/>
    <w:rsid w:val="00FD3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52D0"/>
  <w15:docId w15:val="{1D6E6580-108D-437F-8783-00FBF313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4213D"/>
      <w:sz w:val="32"/>
      <w:szCs w:val="32"/>
    </w:rPr>
  </w:style>
  <w:style w:type="paragraph" w:styleId="Heading2">
    <w:name w:val="heading 2"/>
    <w:uiPriority w:val="9"/>
    <w:unhideWhenUsed/>
    <w:qFormat/>
    <w:pPr>
      <w:spacing w:before="300" w:after="120"/>
      <w:outlineLvl w:val="1"/>
    </w:pPr>
    <w:rPr>
      <w:b/>
      <w:bCs/>
      <w:color w:val="2EC4B6"/>
      <w:sz w:val="26"/>
      <w:szCs w:val="26"/>
    </w:rPr>
  </w:style>
  <w:style w:type="paragraph" w:styleId="Heading3">
    <w:name w:val="heading 3"/>
    <w:uiPriority w:val="9"/>
    <w:unhideWhenUsed/>
    <w:qFormat/>
    <w:pPr>
      <w:spacing w:before="200" w:after="100"/>
      <w:outlineLvl w:val="2"/>
    </w:pPr>
    <w:rPr>
      <w:b/>
      <w:bCs/>
      <w:color w:val="1421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A96"/>
    <w:pPr>
      <w:spacing w:after="100"/>
    </w:pPr>
  </w:style>
  <w:style w:type="paragraph" w:styleId="TOC2">
    <w:name w:val="toc 2"/>
    <w:basedOn w:val="Normal"/>
    <w:next w:val="Normal"/>
    <w:autoRedefine/>
    <w:uiPriority w:val="39"/>
    <w:unhideWhenUsed/>
    <w:rsid w:val="00FD3A96"/>
    <w:pPr>
      <w:spacing w:after="100"/>
      <w:ind w:left="220"/>
    </w:pPr>
  </w:style>
  <w:style w:type="paragraph" w:styleId="TOC3">
    <w:name w:val="toc 3"/>
    <w:basedOn w:val="Normal"/>
    <w:next w:val="Normal"/>
    <w:autoRedefine/>
    <w:uiPriority w:val="39"/>
    <w:unhideWhenUsed/>
    <w:rsid w:val="00FD3A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3518</Words>
  <Characters>20056</Characters>
  <Application>Microsoft Office Word</Application>
  <DocSecurity>0</DocSecurity>
  <Lines>167</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Build Document — i3 Precision Marketing Cloud</dc:title>
  <dc:creator>i3 Technologies</dc:creator>
  <cp:lastModifiedBy>Philip Mukiti</cp:lastModifiedBy>
  <cp:revision>2</cp:revision>
  <dcterms:created xsi:type="dcterms:W3CDTF">2026-09-19T11:17:00Z</dcterms:created>
  <dcterms:modified xsi:type="dcterms:W3CDTF">2026-09-19T11:17:00Z</dcterms:modified>
</cp:coreProperties>
</file>